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24" w:lineRule="exact"/>
        <w:rPr>
          <w:sz w:val="24"/>
          <w:szCs w:val="24"/>
          <w:color w:val="auto"/>
        </w:rPr>
      </w:pPr>
    </w:p>
    <w:p>
      <w:pPr>
        <w:ind w:right="340" w:firstLine="8"/>
        <w:spacing w:after="0" w:line="243" w:lineRule="auto"/>
        <w:tabs>
          <w:tab w:leader="none" w:pos="405"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right="320" w:firstLine="8"/>
        <w:spacing w:after="0" w:line="245" w:lineRule="auto"/>
        <w:tabs>
          <w:tab w:leader="none" w:pos="40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8" w:lineRule="exact"/>
        <w:rPr>
          <w:sz w:val="24"/>
          <w:szCs w:val="24"/>
          <w:color w:val="auto"/>
        </w:rPr>
      </w:pPr>
    </w:p>
    <w:p>
      <w:pPr>
        <w:ind w:left="30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-5080</wp:posOffset>
            </wp:positionV>
            <wp:extent cx="800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FULGENT GENETICS,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81-2621304</w:t>
            </w:r>
          </w:p>
        </w:tc>
        <w:tc>
          <w:tcPr>
            <w:tcW w:w="0" w:type="dxa"/>
            <w:vAlign w:val="bottom"/>
          </w:tcPr>
          <w:p>
            <w:pPr>
              <w:spacing w:after="0"/>
              <w:rPr>
                <w:sz w:val="1"/>
                <w:szCs w:val="1"/>
                <w:color w:val="auto"/>
              </w:rPr>
            </w:pPr>
          </w:p>
        </w:tc>
      </w:tr>
      <w:tr>
        <w:trPr>
          <w:trHeight w:val="151"/>
        </w:trPr>
        <w:tc>
          <w:tcPr>
            <w:tcW w:w="4500" w:type="dxa"/>
            <w:vAlign w:val="bottom"/>
            <w:gridSpan w:val="2"/>
          </w:tcPr>
          <w:p>
            <w:pPr>
              <w:jc w:val="center"/>
              <w:ind w:left="105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80" w:type="dxa"/>
            <w:vAlign w:val="bottom"/>
          </w:tcPr>
          <w:p>
            <w:pPr>
              <w:jc w:val="center"/>
              <w:ind w:right="204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gridSpan w:val="2"/>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8"/>
              </w:rPr>
              <w:t>4399 Santa Anita Avenue</w:t>
            </w: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8"/>
                <w:szCs w:val="18"/>
                <w:b w:val="1"/>
                <w:bCs w:val="1"/>
                <w:color w:val="auto"/>
                <w:w w:val="99"/>
              </w:rPr>
              <w:t>El Monte, CA</w:t>
            </w:r>
          </w:p>
        </w:tc>
        <w:tc>
          <w:tcPr>
            <w:tcW w:w="2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91731</w:t>
            </w:r>
          </w:p>
        </w:tc>
        <w:tc>
          <w:tcPr>
            <w:tcW w:w="0" w:type="dxa"/>
            <w:vAlign w:val="bottom"/>
          </w:tcPr>
          <w:p>
            <w:pPr>
              <w:spacing w:after="0"/>
              <w:rPr>
                <w:sz w:val="1"/>
                <w:szCs w:val="1"/>
                <w:color w:val="auto"/>
              </w:rPr>
            </w:pPr>
          </w:p>
        </w:tc>
      </w:tr>
      <w:tr>
        <w:trPr>
          <w:trHeight w:val="193"/>
        </w:trPr>
        <w:tc>
          <w:tcPr>
            <w:tcW w:w="4500" w:type="dxa"/>
            <w:vAlign w:val="bottom"/>
            <w:gridSpan w:val="2"/>
          </w:tcPr>
          <w:p>
            <w:pPr>
              <w:jc w:val="center"/>
              <w:ind w:left="10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3"/>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60" w:type="dxa"/>
            <w:vAlign w:val="bottom"/>
            <w:gridSpan w:val="5"/>
          </w:tcPr>
          <w:p>
            <w:pPr>
              <w:jc w:val="center"/>
              <w:ind w:left="34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gridSpan w:val="2"/>
            <w:vMerge w:val="continue"/>
          </w:tcPr>
          <w:p>
            <w:pPr>
              <w:spacing w:after="0"/>
              <w:rPr>
                <w:sz w:val="23"/>
                <w:szCs w:val="23"/>
                <w:color w:val="auto"/>
              </w:rPr>
            </w:pPr>
          </w:p>
        </w:tc>
        <w:tc>
          <w:tcPr>
            <w:tcW w:w="2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
        </w:trPr>
        <w:tc>
          <w:tcPr>
            <w:tcW w:w="36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80" w:type="dxa"/>
            <w:vAlign w:val="bottom"/>
            <w:tcBorders>
              <w:bottom w:val="single" w:sz="8" w:color="auto"/>
            </w:tcBorders>
          </w:tcPr>
          <w:p>
            <w:pPr>
              <w:spacing w:after="0"/>
              <w:rPr>
                <w:sz w:val="24"/>
                <w:szCs w:val="24"/>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620" w:type="dxa"/>
            <w:vAlign w:val="bottom"/>
            <w:tcBorders>
              <w:left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88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880"/>
              <w:spacing w:after="0" w:line="182" w:lineRule="exact"/>
              <w:rPr>
                <w:sz w:val="20"/>
                <w:szCs w:val="20"/>
                <w:color w:val="auto"/>
              </w:rPr>
            </w:pPr>
            <w:r>
              <w:rPr>
                <w:rFonts w:ascii="Times New Roman" w:cs="Times New Roman" w:eastAsia="Times New Roman" w:hAnsi="Times New Roman"/>
                <w:sz w:val="16"/>
                <w:szCs w:val="16"/>
                <w:color w:val="auto"/>
                <w:w w:val="99"/>
              </w:rPr>
              <w:t>FLGT</w:t>
            </w:r>
          </w:p>
        </w:tc>
        <w:tc>
          <w:tcPr>
            <w:tcW w:w="100" w:type="dxa"/>
            <w:vAlign w:val="bottom"/>
          </w:tcPr>
          <w:p>
            <w:pPr>
              <w:spacing w:after="0"/>
              <w:rPr>
                <w:sz w:val="15"/>
                <w:szCs w:val="15"/>
                <w:color w:val="auto"/>
              </w:rPr>
            </w:pPr>
          </w:p>
        </w:tc>
        <w:tc>
          <w:tcPr>
            <w:tcW w:w="3480" w:type="dxa"/>
            <w:vAlign w:val="bottom"/>
            <w:tcBorders>
              <w:right w:val="single" w:sz="8" w:color="auto"/>
            </w:tcBorders>
          </w:tcPr>
          <w:p>
            <w:pPr>
              <w:jc w:val="center"/>
              <w:ind w:right="100"/>
              <w:spacing w:after="0" w:line="182" w:lineRule="exact"/>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223"/>
        </w:trPr>
        <w:tc>
          <w:tcPr>
            <w:tcW w:w="362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jc w:val="both"/>
        <w:ind w:right="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2024, there were 29,924,288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6"/>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4"/>
          </w:tcPr>
          <w:p>
            <w:pPr>
              <w:ind w:left="4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260" w:type="dxa"/>
            <w:vAlign w:val="bottom"/>
          </w:tcPr>
          <w:p>
            <w:pPr>
              <w:spacing w:after="0"/>
              <w:rPr>
                <w:sz w:val="24"/>
                <w:szCs w:val="24"/>
                <w:color w:val="auto"/>
              </w:rPr>
            </w:pPr>
          </w:p>
        </w:tc>
      </w:tr>
      <w:tr>
        <w:trPr>
          <w:trHeight w:val="46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9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22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4000" w:type="dxa"/>
            <w:vAlign w:val="bottom"/>
            <w:tcBorders>
              <w:left w:val="single" w:sz="8" w:color="0000FF"/>
            </w:tcBorders>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7"/>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9"/>
            <w:shd w:val="clear" w:color="auto" w:fill="0000FF"/>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18"/>
        </w:trPr>
        <w:tc>
          <w:tcPr>
            <w:tcW w:w="89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6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72"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7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accounts receivable, net of allowance for credit losses of $25,831 and $25,226</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51,132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386,509</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507,845</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540,495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423,571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140,989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32,676</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1,229,885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deposit</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75,949</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73,018</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103,239</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50,000 shares authorized, 32,664 and 32,416 shares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respectively, and 29,890 and 29,653 shares outstanding, respectively</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 shares authorized, no shares issued or outstanding</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511,329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501,718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(1,102 )</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619,713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633,175</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Fulgent stockholders’ equity</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1,129,943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1,136,101</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(3,297 )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(2,815 )</w:t>
            </w: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1,126,646</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1,229,885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-4105275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-4105275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-1893570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47,357</w:t>
            </w:r>
          </w:p>
        </w:tc>
        <w:tc>
          <w:tcPr>
            <w:tcW w:w="100" w:type="dxa"/>
            <w:vAlign w:val="bottom"/>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21,489</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0"/>
                <w:szCs w:val="20"/>
                <w:color w:val="auto"/>
              </w:rPr>
            </w:pPr>
          </w:p>
        </w:tc>
      </w:tr>
      <w:tr>
        <w:trPr>
          <w:trHeight w:val="23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43,902</w:t>
            </w: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(21,798 )</w:t>
            </w:r>
          </w:p>
        </w:tc>
        <w:tc>
          <w:tcPr>
            <w:tcW w:w="10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(24,824 )</w:t>
            </w: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(14,173 )</w:t>
            </w:r>
          </w:p>
        </w:tc>
        <w:tc>
          <w:tcPr>
            <w:tcW w:w="10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(21,049 )</w:t>
            </w: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0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(327 )</w:t>
            </w: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(5,200 )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10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(13,846 )</w:t>
            </w:r>
          </w:p>
        </w:tc>
        <w:tc>
          <w:tcPr>
            <w:tcW w:w="10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(15,849 )</w:t>
            </w:r>
          </w:p>
        </w:tc>
      </w:tr>
      <w:tr>
        <w:trPr>
          <w:trHeight w:val="24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0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(13,462 )</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(15,340 )</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attributable to Fulgent:</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(0.45 )</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(0.45 )</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-3419475</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-2477135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-2159635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-1842770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-1525270</wp:posOffset>
            </wp:positionV>
            <wp:extent cx="76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-873760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-856615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-205105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consolidated operations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(13,846 )</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(15,849 )</w:t>
            </w:r>
          </w:p>
        </w:tc>
      </w:tr>
      <w:tr>
        <w:trPr>
          <w:trHeight w:val="241"/>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0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(333 )</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gain on available-for-sale debt securities, net of tax</w:t>
            </w:r>
          </w:p>
        </w:tc>
        <w:tc>
          <w:tcPr>
            <w:tcW w:w="10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(2,072 )</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from consolidated operations</w:t>
            </w:r>
          </w:p>
        </w:tc>
        <w:tc>
          <w:tcPr>
            <w:tcW w:w="10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(16,251 )</w:t>
            </w:r>
          </w:p>
        </w:tc>
        <w:tc>
          <w:tcPr>
            <w:tcW w:w="10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(10,352 )</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r>
      <w:tr>
        <w:trPr>
          <w:trHeight w:val="24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 (gain) attributable to noncontrolling interest</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(1,790 )</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noncontrolling interest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(1,281 )</w:t>
            </w: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Fulgent</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(15,769 )</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(11,633 )</w:t>
            </w: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-350520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92"/>
          </w:cols>
          <w:pgMar w:left="328"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p>
      <w:pPr>
        <w:spacing w:after="0" w:line="48" w:lineRule="exact"/>
        <w:rPr>
          <w:sz w:val="20"/>
          <w:szCs w:val="20"/>
          <w:color w:val="auto"/>
        </w:rPr>
      </w:pPr>
    </w:p>
    <w:p>
      <w:pPr>
        <w:ind w:left="12"/>
        <w:spacing w:after="0" w:line="296" w:lineRule="auto"/>
        <w:rPr>
          <w:sz w:val="20"/>
          <w:szCs w:val="20"/>
          <w:color w:val="auto"/>
        </w:rPr>
      </w:pPr>
      <w:r>
        <w:rPr>
          <w:rFonts w:ascii="Times New Roman" w:cs="Times New Roman" w:eastAsia="Times New Roman" w:hAnsi="Times New Roman"/>
          <w:sz w:val="16"/>
          <w:szCs w:val="16"/>
          <w:color w:val="auto"/>
        </w:rPr>
        <w:t>Equity-based compensation Exercise of common stock options Restricted stock awards Common stock withholding for employee tax obligations Repurchase of common stock Other comprehensive loss, net</w:t>
      </w:r>
    </w:p>
    <w:p>
      <w:pPr>
        <w:spacing w:after="0" w:line="5"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color w:val="auto"/>
        </w:rPr>
        <w:t>Net loss</w:t>
      </w:r>
    </w:p>
    <w:p>
      <w:pPr>
        <w:spacing w:after="0" w:line="84"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6"/>
          <w:szCs w:val="16"/>
          <w:b w:val="1"/>
          <w:bCs w:val="1"/>
          <w:color w:val="auto"/>
        </w:rPr>
        <w:t>Balance at March 31, 2024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6"/>
                <w:szCs w:val="16"/>
                <w:color w:val="auto"/>
              </w:rPr>
            </w:pPr>
          </w:p>
        </w:tc>
        <w:tc>
          <w:tcPr>
            <w:tcW w:w="96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w w:val="98"/>
              </w:rPr>
              <w:t>ng Interest</w:t>
            </w:r>
          </w:p>
        </w:tc>
        <w:tc>
          <w:tcPr>
            <w:tcW w:w="16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29,653</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501,718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633,175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1,136,101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(2,815</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1,133,286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(1,682 )</w:t>
            </w:r>
          </w:p>
        </w:tc>
        <w:tc>
          <w:tcPr>
            <w:tcW w:w="140" w:type="dxa"/>
            <w:vAlign w:val="bottom"/>
          </w:tcPr>
          <w:p>
            <w:pPr>
              <w:spacing w:after="0"/>
              <w:rPr>
                <w:sz w:val="24"/>
                <w:szCs w:val="24"/>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(1,682 )</w:t>
            </w:r>
          </w:p>
        </w:tc>
        <w:tc>
          <w:tcPr>
            <w:tcW w:w="100" w:type="dxa"/>
            <w:vAlign w:val="bottom"/>
          </w:tcPr>
          <w:p>
            <w:pPr>
              <w:spacing w:after="0"/>
              <w:rPr>
                <w:sz w:val="24"/>
                <w:szCs w:val="24"/>
                <w:color w:val="auto"/>
              </w:rPr>
            </w:pPr>
          </w:p>
        </w:tc>
        <w:tc>
          <w:tcPr>
            <w:tcW w:w="9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(1,682 )</w:t>
            </w: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(225 )</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(2,307 )</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(2,307 )</w:t>
            </w:r>
          </w:p>
        </w:tc>
        <w:tc>
          <w:tcPr>
            <w:tcW w:w="100" w:type="dxa"/>
            <w:vAlign w:val="bottom"/>
          </w:tcPr>
          <w:p>
            <w:pPr>
              <w:spacing w:after="0"/>
              <w:rPr>
                <w:sz w:val="19"/>
                <w:szCs w:val="19"/>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(98 )</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(2,405 )</w:t>
            </w: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(13,462 )</w:t>
            </w: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(13,462 )</w:t>
            </w:r>
          </w:p>
        </w:tc>
        <w:tc>
          <w:tcPr>
            <w:tcW w:w="10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(384 )</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(13,846 )</w:t>
            </w: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29,890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511,329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(1,102</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619,713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1,129,943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(3,297</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1,126,646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-1182370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-890905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-471170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-1499870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-170815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252" w:space="360"/>
            <w:col w:w="8580"/>
          </w:cols>
          <w:pgMar w:left="328" w:top="981" w:right="379" w:bottom="1440" w:gutter="0" w:footer="0" w:header="0"/>
          <w:type w:val="continuous"/>
        </w:sectPr>
      </w:pPr>
    </w:p>
    <w:p>
      <w:pPr>
        <w:ind w:left="-8" w:right="200" w:firstLine="8"/>
        <w:spacing w:after="0" w:line="261" w:lineRule="auto"/>
        <w:tabs>
          <w:tab w:leader="none" w:pos="1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185,503 shares of the Company's common stock were not issued and were held back by the Company as partial security for the indemnification obligations in connection with the business combination of Fulgent Pharma Holdings, Inc., or Fulgent Pharma, as of March 31, 2024 and December 31, 2023.</w:t>
      </w:r>
    </w:p>
    <w:p>
      <w:pPr>
        <w:spacing w:after="0" w:line="15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1" w:right="379" w:bottom="1440" w:gutter="0" w:footer="0" w:header="0"/>
          <w:type w:val="continuous"/>
        </w:sectPr>
      </w:pPr>
    </w:p>
    <w:bookmarkStart w:id="6" w:name="page7"/>
    <w:bookmarkEnd w:id="6"/>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92"/>
          </w:cols>
          <w:pgMar w:left="328"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 w:right="100"/>
        <w:spacing w:after="0" w:line="300" w:lineRule="auto"/>
        <w:rPr>
          <w:sz w:val="20"/>
          <w:szCs w:val="20"/>
          <w:color w:val="auto"/>
        </w:rPr>
      </w:pPr>
      <w:r>
        <w:rPr>
          <w:rFonts w:ascii="Times New Roman" w:cs="Times New Roman" w:eastAsia="Times New Roman" w:hAnsi="Times New Roman"/>
          <w:sz w:val="16"/>
          <w:szCs w:val="16"/>
          <w:b w:val="1"/>
          <w:bCs w:val="1"/>
          <w:color w:val="auto"/>
        </w:rPr>
        <w:t xml:space="preserve">Balance at December 31, 2022 </w:t>
      </w:r>
      <w:r>
        <w:rPr>
          <w:rFonts w:ascii="Times New Roman" w:cs="Times New Roman" w:eastAsia="Times New Roman" w:hAnsi="Times New Roman"/>
          <w:sz w:val="16"/>
          <w:szCs w:val="16"/>
          <w:color w:val="auto"/>
        </w:rPr>
        <w:t>Equity-based compensation Restricted stock awards</w:t>
      </w:r>
    </w:p>
    <w:p>
      <w:pPr>
        <w:spacing w:after="0" w:line="1" w:lineRule="exact"/>
        <w:rPr>
          <w:sz w:val="20"/>
          <w:szCs w:val="20"/>
          <w:color w:val="auto"/>
        </w:rPr>
      </w:pPr>
    </w:p>
    <w:p>
      <w:pPr>
        <w:ind w:left="12" w:right="140"/>
        <w:spacing w:after="0" w:line="281" w:lineRule="auto"/>
        <w:rPr>
          <w:sz w:val="20"/>
          <w:szCs w:val="20"/>
          <w:color w:val="auto"/>
        </w:rPr>
      </w:pPr>
      <w:r>
        <w:rPr>
          <w:rFonts w:ascii="Times New Roman" w:cs="Times New Roman" w:eastAsia="Times New Roman" w:hAnsi="Times New Roman"/>
          <w:sz w:val="16"/>
          <w:szCs w:val="16"/>
          <w:color w:val="auto"/>
        </w:rPr>
        <w:t>Common stock withholding for employee tax obligations</w:t>
      </w:r>
    </w:p>
    <w:p>
      <w:pPr>
        <w:spacing w:after="0" w:line="1" w:lineRule="exact"/>
        <w:rPr>
          <w:sz w:val="20"/>
          <w:szCs w:val="20"/>
          <w:color w:val="auto"/>
        </w:rPr>
      </w:pPr>
    </w:p>
    <w:p>
      <w:pPr>
        <w:ind w:left="12"/>
        <w:spacing w:after="0" w:line="333" w:lineRule="auto"/>
        <w:rPr>
          <w:sz w:val="20"/>
          <w:szCs w:val="20"/>
          <w:color w:val="auto"/>
        </w:rPr>
      </w:pPr>
      <w:r>
        <w:rPr>
          <w:rFonts w:ascii="Times New Roman" w:cs="Times New Roman" w:eastAsia="Times New Roman" w:hAnsi="Times New Roman"/>
          <w:sz w:val="16"/>
          <w:szCs w:val="16"/>
          <w:color w:val="auto"/>
        </w:rPr>
        <w:t>Other comprehensive income, net Net loss</w:t>
      </w:r>
    </w:p>
    <w:p>
      <w:pPr>
        <w:ind w:left="12"/>
        <w:spacing w:after="0"/>
        <w:rPr>
          <w:sz w:val="20"/>
          <w:szCs w:val="20"/>
          <w:color w:val="auto"/>
        </w:rPr>
      </w:pPr>
      <w:r>
        <w:rPr>
          <w:rFonts w:ascii="Times New Roman" w:cs="Times New Roman" w:eastAsia="Times New Roman" w:hAnsi="Times New Roman"/>
          <w:sz w:val="16"/>
          <w:szCs w:val="16"/>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Fulgent Stockholders’ Equity</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3"/>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Fulgent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ve</w:t>
            </w:r>
          </w:p>
        </w:tc>
        <w:tc>
          <w:tcPr>
            <w:tcW w:w="12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Noncontrolli</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 (1)</w:t>
            </w:r>
          </w:p>
        </w:tc>
        <w:tc>
          <w:tcPr>
            <w:tcW w:w="140" w:type="dxa"/>
            <w:vAlign w:val="bottom"/>
          </w:tcPr>
          <w:p>
            <w:pPr>
              <w:spacing w:after="0"/>
              <w:rPr>
                <w:sz w:val="12"/>
                <w:szCs w:val="12"/>
                <w:color w:val="auto"/>
              </w:rPr>
            </w:pPr>
          </w:p>
        </w:tc>
        <w:tc>
          <w:tcPr>
            <w:tcW w:w="7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20" w:type="dxa"/>
            <w:vAlign w:val="bottom"/>
            <w:gridSpan w:val="2"/>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ng Interest</w:t>
            </w:r>
          </w:p>
        </w:tc>
        <w:tc>
          <w:tcPr>
            <w:tcW w:w="16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29,438</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486,585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(20,903</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801,000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1,266,685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1,269,875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2"/>
        </w:trPr>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(869 )</w:t>
            </w:r>
          </w:p>
        </w:tc>
        <w:tc>
          <w:tcPr>
            <w:tcW w:w="140" w:type="dxa"/>
            <w:vAlign w:val="bottom"/>
          </w:tcPr>
          <w:p>
            <w:pPr>
              <w:spacing w:after="0"/>
              <w:rPr>
                <w:sz w:val="24"/>
                <w:szCs w:val="24"/>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(869 )</w:t>
            </w: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0" w:type="dxa"/>
            <w:vAlign w:val="bottom"/>
          </w:tcPr>
          <w:p>
            <w:pPr>
              <w:spacing w:after="0"/>
              <w:rPr>
                <w:sz w:val="1"/>
                <w:szCs w:val="1"/>
                <w:color w:val="auto"/>
              </w:rPr>
            </w:pPr>
          </w:p>
        </w:tc>
      </w:tr>
      <w:tr>
        <w:trPr>
          <w:trHeight w:val="229"/>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(15,340 )</w:t>
            </w:r>
          </w:p>
        </w:tc>
        <w:tc>
          <w:tcPr>
            <w:tcW w:w="12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(15,340 )</w:t>
            </w:r>
          </w:p>
        </w:tc>
        <w:tc>
          <w:tcPr>
            <w:tcW w:w="1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(509 )</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(15,849 )</w:t>
            </w:r>
          </w:p>
        </w:tc>
        <w:tc>
          <w:tcPr>
            <w:tcW w:w="0" w:type="dxa"/>
            <w:vAlign w:val="bottom"/>
          </w:tcPr>
          <w:p>
            <w:pPr>
              <w:spacing w:after="0"/>
              <w:rPr>
                <w:sz w:val="1"/>
                <w:szCs w:val="1"/>
                <w:color w:val="auto"/>
              </w:rPr>
            </w:pPr>
          </w:p>
        </w:tc>
      </w:tr>
      <w:tr>
        <w:trPr>
          <w:trHeight w:val="223"/>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29,692</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495,981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(17,196</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785,660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1,264,448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4,471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1,268,919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-890905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-471170</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-1207770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-170815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192" w:space="420"/>
            <w:col w:w="8580"/>
          </w:cols>
          <w:pgMar w:left="328" w:top="981" w:right="379" w:bottom="1440" w:gutter="0" w:footer="0" w:header="0"/>
          <w:type w:val="continuous"/>
        </w:sectPr>
      </w:pPr>
    </w:p>
    <w:p>
      <w:pPr>
        <w:ind w:left="-8" w:right="200" w:firstLine="8"/>
        <w:spacing w:after="0" w:line="261" w:lineRule="auto"/>
        <w:tabs>
          <w:tab w:leader="none" w:pos="1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371,006 shares of the Company's common stock were not issued and were held back by the Company as partial security for the indemnification obligations in connection with the business combination of Fulgent Pharma as of March 31, 2023.</w:t>
      </w:r>
    </w:p>
    <w:p>
      <w:pPr>
        <w:spacing w:after="0" w:line="2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981" w:right="3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7040" w:type="dxa"/>
            <w:vAlign w:val="bottom"/>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consolidated operations</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(13,846 )</w:t>
            </w: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(15,849 )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for credit losses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(2,497 )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(gain) on disposal of fixed asset</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discount of marketable securities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(1,184 )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(478 )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taxes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(557 )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(5,200 )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realized loss on marketable securities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(12 )</w:t>
            </w:r>
          </w:p>
        </w:tc>
        <w:tc>
          <w:tcPr>
            <w:tcW w:w="1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current and long-term assets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(1,629 )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(1,855 )</w:t>
            </w:r>
          </w:p>
        </w:tc>
      </w:tr>
      <w:tr>
        <w:trPr>
          <w:trHeight w:val="239"/>
        </w:trPr>
        <w:tc>
          <w:tcPr>
            <w:tcW w:w="7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 liabilities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(9,114 )</w:t>
            </w:r>
          </w:p>
        </w:tc>
      </w:tr>
      <w:tr>
        <w:trPr>
          <w:trHeight w:val="220"/>
        </w:trPr>
        <w:tc>
          <w:tcPr>
            <w:tcW w:w="7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and finance lease liabilities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(1,512 )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(1,526 )</w:t>
            </w:r>
          </w:p>
        </w:tc>
      </w:tr>
      <w:tr>
        <w:trPr>
          <w:trHeight w:val="23"/>
        </w:trPr>
        <w:tc>
          <w:tcPr>
            <w:tcW w:w="70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7,266</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(7,907 )</w:t>
            </w:r>
          </w:p>
        </w:tc>
      </w:tr>
      <w:tr>
        <w:trPr>
          <w:trHeight w:val="221"/>
        </w:trPr>
        <w:tc>
          <w:tcPr>
            <w:tcW w:w="7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(195,741 )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(143,926 )</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(4,056 )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(2,034 )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1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95,450</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141,408</w:t>
            </w:r>
          </w:p>
        </w:tc>
        <w:tc>
          <w:tcPr>
            <w:tcW w:w="100" w:type="dxa"/>
            <w:vAlign w:val="bottom"/>
          </w:tcPr>
          <w:p>
            <w:pPr>
              <w:spacing w:after="0"/>
              <w:rPr>
                <w:sz w:val="19"/>
                <w:szCs w:val="19"/>
                <w:color w:val="auto"/>
              </w:rPr>
            </w:pPr>
          </w:p>
        </w:tc>
      </w:tr>
      <w:tr>
        <w:trPr>
          <w:trHeight w:val="233"/>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1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56,903</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(47,186 )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(4,354 )</w:t>
            </w:r>
          </w:p>
        </w:tc>
      </w:tr>
      <w:tr>
        <w:trPr>
          <w:trHeight w:val="230"/>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withholding for employee tax obligations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(1,682 )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(869 )</w:t>
            </w: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1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(765 )</w:t>
            </w:r>
          </w:p>
        </w:tc>
        <w:tc>
          <w:tcPr>
            <w:tcW w:w="1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(225 )</w:t>
            </w:r>
          </w:p>
        </w:tc>
        <w:tc>
          <w:tcPr>
            <w:tcW w:w="1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Principal paid for finance lease</w:t>
            </w:r>
          </w:p>
        </w:tc>
        <w:tc>
          <w:tcPr>
            <w:tcW w:w="1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(135 )</w:t>
            </w:r>
          </w:p>
        </w:tc>
        <w:tc>
          <w:tcPr>
            <w:tcW w:w="1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(232 )</w:t>
            </w:r>
          </w:p>
        </w:tc>
      </w:tr>
      <w:tr>
        <w:trPr>
          <w:trHeight w:val="23"/>
        </w:trPr>
        <w:tc>
          <w:tcPr>
            <w:tcW w:w="704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(2,807 )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(1,101 )</w:t>
            </w:r>
          </w:p>
        </w:tc>
      </w:tr>
      <w:tr>
        <w:trPr>
          <w:trHeight w:val="23"/>
        </w:trPr>
        <w:tc>
          <w:tcPr>
            <w:tcW w:w="70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(69 )</w:t>
            </w:r>
          </w:p>
        </w:tc>
        <w:tc>
          <w:tcPr>
            <w:tcW w:w="1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9"/>
                <w:szCs w:val="19"/>
                <w:color w:val="auto"/>
              </w:rPr>
            </w:pPr>
          </w:p>
        </w:tc>
      </w:tr>
      <w:tr>
        <w:trPr>
          <w:trHeight w:val="23"/>
        </w:trPr>
        <w:tc>
          <w:tcPr>
            <w:tcW w:w="7040" w:type="dxa"/>
            <w:vAlign w:val="bottom"/>
            <w:shd w:val="clear" w:color="auto" w:fill="CFF0FC"/>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12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(42,796 )</w:t>
            </w:r>
          </w:p>
        </w:tc>
        <w:tc>
          <w:tcPr>
            <w:tcW w:w="1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(13,334 )</w:t>
            </w:r>
          </w:p>
        </w:tc>
      </w:tr>
      <w:tr>
        <w:trPr>
          <w:trHeight w:val="232"/>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1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97,473</w:t>
            </w:r>
          </w:p>
        </w:tc>
        <w:tc>
          <w:tcPr>
            <w:tcW w:w="3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54,677</w:t>
            </w:r>
          </w:p>
        </w:tc>
        <w:tc>
          <w:tcPr>
            <w:tcW w:w="320" w:type="dxa"/>
            <w:vAlign w:val="bottom"/>
          </w:tcPr>
          <w:p>
            <w:pPr>
              <w:spacing w:after="0"/>
              <w:rPr>
                <w:sz w:val="19"/>
                <w:szCs w:val="19"/>
                <w:color w:val="auto"/>
              </w:rPr>
            </w:pPr>
          </w:p>
        </w:tc>
        <w:tc>
          <w:tcPr>
            <w:tcW w:w="11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66,172</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320" w:type="dxa"/>
            <w:vAlign w:val="bottom"/>
          </w:tcPr>
          <w:p>
            <w:pPr>
              <w:spacing w:after="0"/>
              <w:rPr>
                <w:sz w:val="19"/>
                <w:szCs w:val="19"/>
                <w:color w:val="auto"/>
              </w:rPr>
            </w:pP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interest</w:t>
            </w:r>
          </w:p>
        </w:tc>
        <w:tc>
          <w:tcPr>
            <w:tcW w:w="120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marketable securities in other current liabilities</w:t>
            </w:r>
          </w:p>
        </w:tc>
        <w:tc>
          <w:tcPr>
            <w:tcW w:w="120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shd w:val="clear" w:color="auto" w:fill="CFF0FC"/>
          </w:tcPr>
          <w:p>
            <w:pPr>
              <w:spacing w:after="0"/>
              <w:rPr>
                <w:sz w:val="20"/>
                <w:szCs w:val="20"/>
                <w:color w:val="auto"/>
              </w:rPr>
            </w:pPr>
          </w:p>
        </w:tc>
      </w:tr>
      <w:tr>
        <w:trPr>
          <w:trHeight w:val="22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fixed assets in accounts payable</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320" w:type="dxa"/>
            <w:vAlign w:val="bottom"/>
          </w:tcPr>
          <w:p>
            <w:pPr>
              <w:spacing w:after="0"/>
              <w:rPr>
                <w:sz w:val="19"/>
                <w:szCs w:val="19"/>
                <w:color w:val="auto"/>
              </w:rPr>
            </w:pP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9"/>
                <w:szCs w:val="19"/>
                <w:color w:val="auto"/>
              </w:rPr>
            </w:pPr>
          </w:p>
        </w:tc>
      </w:tr>
      <w:tr>
        <w:trPr>
          <w:trHeight w:val="239"/>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 of fixed assets in other receivable</w:t>
            </w:r>
          </w:p>
        </w:tc>
        <w:tc>
          <w:tcPr>
            <w:tcW w:w="1200" w:type="dxa"/>
            <w:vAlign w:val="bottom"/>
            <w:shd w:val="clear" w:color="auto" w:fill="CFF0FC"/>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reduced due to lease termination</w:t>
            </w:r>
          </w:p>
        </w:tc>
        <w:tc>
          <w:tcPr>
            <w:tcW w:w="1200" w:type="dxa"/>
            <w:vAlign w:val="bottom"/>
          </w:tcPr>
          <w:p>
            <w:pPr>
              <w:jc w:val="right"/>
              <w:ind w:right="10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20" w:type="dxa"/>
            <w:vAlign w:val="bottom"/>
          </w:tcPr>
          <w:p>
            <w:pPr>
              <w:spacing w:after="0"/>
              <w:rPr>
                <w:sz w:val="18"/>
                <w:szCs w:val="18"/>
                <w:color w:val="auto"/>
              </w:rPr>
            </w:pPr>
          </w:p>
        </w:tc>
        <w:tc>
          <w:tcPr>
            <w:tcW w:w="1180" w:type="dxa"/>
            <w:vAlign w:val="bottom"/>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-3716020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-3716020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-2833370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-1941830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-1941830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-1633220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-1633220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-1332865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-1332865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FULGENT GENETICS,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intercompany accounts and transactions are eliminated from the accompanying condensed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Fulgent Genetics, Inc., together with its subsidiaries and affiliated professional corporations, or PCs (collectively referred to as the Company, unless otherwise noted or the context otherwise requires), is a technology-based company with a well-established laboratory services business and a therapeutic development business. Its laboratory services business – to which the Company formerly referred as its clinical diagnostic business, includes technical laboratory services and professional interpretation of laboratory results by licensed physicians. Its therapeutic development business is focused on developing drug candidates for treating a broad range of cancers using a novel nanoencapsulation and targeted therapy platform designed to improve the therapeutic window and pharmacokinetic profile of new and existing cancer drugs.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have been prepared on the same basis as the Company’s audited consolidated financial statements as of and for the fiscal year ended December 31, 2023, which are included in the Company’s annual report on Form 10-K filed with the Securities and Exchange Commission, or SEC, on February 28, 2024, or the 2023 Annual Report, and, in the opinion of management, include all adjustments, which are normal and recurring in nature, necessary for a fair presentation of the Company’s financial position and results of operations.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Operating results for interim periods are not necessarily indicative of the results that may be expected for a full fiscal year or any other period. The accompanying Condensed Consolidated Balance Sheet as of December 31, 2023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2023 Annual Report, including the notes thereto.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See the summary of the Company’s significant accounting policies set forth in the notes to its consolidated financial statements included in the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The Company’s estimates and assumptions may evolve as conditions change. Actual results could differ significantly from these estimates.</w:t>
      </w:r>
    </w:p>
    <w:p>
      <w:pPr>
        <w:spacing w:after="0" w:line="1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(v) valuation of intangible assets and goodwill at time of acquisition and on a recurring basis, and (vi) valuation of investments.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loss rate model or probability-of-default and loss given default model. Following the loss rate method, expected credit losses are determined based on an estimated historical loss rate. The probability of default method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loss rate and factors annually to incorporate the most recent historical data and adjusts the quantitative portion of the reserve through its qualitative reserve overlay. The Company looks at qualitative factors such as general economic conditions in determining expected credit losses.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three months ended March 31, 2024, dollars in thousands,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year</w:t>
            </w:r>
          </w:p>
        </w:tc>
        <w:tc>
          <w:tcPr>
            <w:tcW w:w="11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shd w:val="clear" w:color="auto" w:fill="CFF0FC"/>
          </w:tcPr>
          <w:p>
            <w:pPr>
              <w:spacing w:after="0"/>
              <w:rPr>
                <w:sz w:val="21"/>
                <w:szCs w:val="2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10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(2,497 )</w:t>
            </w:r>
          </w:p>
        </w:tc>
      </w:tr>
      <w:tr>
        <w:trPr>
          <w:trHeight w:val="247"/>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Write-downs</w:t>
            </w:r>
          </w:p>
        </w:tc>
        <w:tc>
          <w:tcPr>
            <w:tcW w:w="11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(1,336 )</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amounts previously charged off</w:t>
            </w:r>
          </w:p>
        </w:tc>
        <w:tc>
          <w:tcPr>
            <w:tcW w:w="1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Pr>
          <w:p>
            <w:pPr>
              <w:spacing w:after="0"/>
              <w:rPr>
                <w:sz w:val="21"/>
                <w:szCs w:val="21"/>
                <w:color w:val="auto"/>
              </w:rPr>
            </w:pPr>
          </w:p>
        </w:tc>
      </w:tr>
      <w:tr>
        <w:trPr>
          <w:trHeight w:val="277"/>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 2024</w:t>
            </w:r>
          </w:p>
        </w:tc>
        <w:tc>
          <w:tcPr>
            <w:tcW w:w="110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Stock Investment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redeemable preferred stock investment of $20.4 million as of March 31, 2024 represents the fair value of redeemable preferred stock of a private company that the Company purchased in July 2021. The investment is classified as available-for-sale debt securities. The fair value of available-for-sale debt security is included in the Condensed Consolidated Statement of Balance Sheets. Unrealized gain of $597,000 was excluded from earnings and reported in other comprehensive loss in the three months ended March 31, 2023, and there was no unrealized gain or loss in the three months ended March 31, 2024. Since the Company intends on holding the preferred stock, and the preferred stock is not redeemable until July 2027, the investment is recorded as a long-term investment.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Intangible assets, unless determined to be indefinite-lived, are amortized over their estimated useful lives. The Company amortizes intangible assets on a straight-line basis with definite lives generally over periods ranging from three to fourteen years. See Note 14, </w:t>
      </w:r>
      <w:r>
        <w:rPr>
          <w:rFonts w:ascii="Times New Roman" w:cs="Times New Roman" w:eastAsia="Times New Roman" w:hAnsi="Times New Roman"/>
          <w:sz w:val="18"/>
          <w:szCs w:val="18"/>
          <w:i w:val="1"/>
          <w:iCs w:val="1"/>
          <w:color w:val="auto"/>
        </w:rPr>
        <w:t>Goodwill and Acquisition-Related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for details of intangible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the carrying amount of its long-lived assets whenever events or changes in circumstances indicate that the assets may not be recoverable. An impairment loss would be recognized when estimated future cash flows expected to result from the use of an asset and its eventual disposition is less than the carrying amount of the asset.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Intangibles in-process research &amp; development costs, or IPR&amp;D, are considered to be indefinite-lived until the completion or abandonment of the associated research and development efforts. If and when development is complete, the associated assets would be deemed finite-lived and would then be amortized based on their respective estimated useful lives at that point in time.</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assesses goodwill and indefinite-lived intangibles for impairment on an annual basis and between annual tests if an event occurs or circumstances change that would more likely than not reduce the fair value of a reporting unit below its carrying amount. The Company may choose to bypass a qualitative assessment of impairment for any reporting unit and proceed directly to performing a quantitative assessment. An impairment loss would be recognized for the amount by which the reporting unit's carrying amount exceeds its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Company’s quantitative assessment includes estimating the fair value of each reporting unit and comparing it to its carrying value. The Company estimates the fair value of reporting units using both income-based and market-based valuation methods and typically engages a third-party appraisal firm to assist with the valuation. The estimated fair value for each reporting unit is determined based upon the range of estimated values developed from the income and market-based methods. If the estimated fair value of a reporting unit exceeds its carrying value, the goodwill is not impaired, and no further review is required.</w:t>
      </w:r>
    </w:p>
    <w:p>
      <w:pPr>
        <w:spacing w:after="0" w:line="183"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income-based fair value methodology is based on a reporting unit’s forecasted future cash flows that are discounted to the present value using the reporting unit’s weighted average cost of capital. Under the income-based approach, it requires management's assumptions and judgments regarding economic conditions in the markets in which the company operates and conditions in the capital markets, many of which are outside of management's control. The market-based fair value methodology looks at the guideline public company valuation method to determine the prices of comparable public companies and looks at merger and acquisition methods, similar businesses that were sold recently, to estimate the value of the reporting units. Under the market-based approach, judgment is required in evaluating market multiples and recent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instruments consist principally of cash and cash equivalents, marketable securities, trade accounts receivable, redeemable preferred stock investment, accounts payable, and accrued liabilities. The carrying amounts of certain of these financial instruments, including cash and cash equivalents, accounts receivable, accounts payable, and accrued liabilities approximate fair value due to their short maturities. Fair value of marketable securities and redeemable preferred stock investment is disclosed in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the accompanying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Customers, and Suppliers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trade accounts receivable, and marketable securities, which consist of debt securities and equity securities. As of March 31, 2024, substantially all of the Company’s cash and cash equivalents were deposited in accounts at financial institutions, and amounts may exceed federally insured limits. Management believes that the Company is not exposed to significant credit risk due to the financial strength of the depository institutions in which its cash and cash equivalents are held.</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certain periods, a small number of customers has accounted for a significant portion of the Company’s revenue. For the laboratory services business, aggregating customers under common control, one customer comprised of $12.6 million or 20% of total revenue in the three months ended as of March 31, 2024. No customer contributed 10% or more of the Company's revenue in the three months ended March 31, 2023. One customer comprised 12% of total accounts receivable, net, as of March 31, 2024, and comprised 13% of total accounts receivable, net, as of December 31, 2023. For the therapeutic development business, as of March 31, 2024 and December 31, 2023, there is no concentration risk, as there are no customers or revenue, as it does not have any commercialized or approved product candidates.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relies on a limited number of suppliers for certain laboratory substances used in the chemical reactions incorporated into its processes, referred to as reagents, as well as for the sequencers and various other equipment and materials it uses in its laboratory operations. In particular, the Company relies on a sole supplier for the next generation sequencers and associated reagents it uses to perform its genetic tests and as the sole provider of maintenance and repair services for these sequencers. The operations of the laboratory services business would be interrupted if it encountered delays or difficulties securing these reagents, sequencers, other equipment or materials or maintenance and repair services, which could occur for a variety of reasons, including if the Company needs a replacement or temporary substitute for any of its limited or sole suppliers and is not able to locate and make arrangements with an acceptable replacement or temporary substitute. The Company's development efforts could also be delayed or interrupted if is unable to procure items needed for its therapeutic development activities. The Company’s therapeutic development business also relies on ANP Technologies, Inc., or ANP, for certain laboratory services, equipment, tools, and drug intermediates in connection with research and development efforts. The Company believes there are currently only a few other manufacturers that are capable of supplying and servicing some of the equipment and other materials necessary for its laboratory operations, including collection kits, sequencers and various associated reagents.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 and Geographic Information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Reportable segments are identified as components of an enterprise about which separate discrete financial information is available for evaluation by the chief operating decision-maker, or CODM, in making decisions regarding resource allocation and assessing performance. The Company’s CODM is its Chief Executive Officer. The Company reports its business in two segments, a laboratory services business and a therapeutic development business. For further financial information about these segments,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information for each of the periods presented regarding revenue, operating income (loss), and other important information, see Note 7, </w:t>
      </w:r>
      <w:r>
        <w:rPr>
          <w:rFonts w:ascii="Times New Roman" w:cs="Times New Roman" w:eastAsia="Times New Roman" w:hAnsi="Times New Roman"/>
          <w:sz w:val="18"/>
          <w:szCs w:val="18"/>
          <w:i w:val="1"/>
          <w:iCs w:val="1"/>
          <w:color w:val="auto"/>
        </w:rPr>
        <w:t>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Geographic Information</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(loss) income in the accompanying Condensed Consolidated Statements of Stockholders’ Equity. The Company and its subsidiaries that use the U.S. dollar as their functional currency remeasure monetary assets and liabilities at exchange rates in effect at the end of each period, and inventories, property and nonmonetary assets and liabilities are measured at historical rates. Losses from these remeasurements were not significant in the three months ended March 31,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There were no reclassifications from other comprehensive income (loss) to net loss in the three months ended March 31, 2024 or 2023. The tax effect related to net unrealized losses on available-for-sale debt securities was zero for the three months ended March 31, 2024 due to the valuation allowance in the current period that precludes the Company from recognizing the deferred tax benefit. The tax effect related to net unrealized losses was $1.9 million for the three months ended March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classifies its customers into three payor types: (i) Insurance, (ii) Institutions, including hospitals, medical institutions, other laboratories, governmental bodies, municipalities and large corporations, or (iii) Patients who pay directly. The Company believes these classifications best depict how the nature, amount, timing, and uncertainty of its revenue and cash flows are affected by economic factors. The following table summarizes revenue from contracts with customers by payor type for the three months ended March 31,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184"/>
        </w:trPr>
        <w:tc>
          <w:tcPr>
            <w:tcW w:w="6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3"/>
        </w:trPr>
        <w:tc>
          <w:tcPr>
            <w:tcW w:w="6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Testing Services by Payor</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Institutional</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33,604</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30,992</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00" w:type="dxa"/>
            <w:vAlign w:val="bottom"/>
            <w:shd w:val="clear" w:color="auto" w:fill="CFF0FC"/>
          </w:tcPr>
          <w:p>
            <w:pPr>
              <w:spacing w:after="0"/>
              <w:rPr>
                <w:sz w:val="21"/>
                <w:szCs w:val="21"/>
                <w:color w:val="auto"/>
              </w:rPr>
            </w:pPr>
          </w:p>
        </w:tc>
      </w:tr>
      <w:tr>
        <w:trPr>
          <w:trHeight w:val="243"/>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Patient</w:t>
            </w:r>
          </w:p>
        </w:tc>
        <w:tc>
          <w:tcPr>
            <w:tcW w:w="1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3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r>
      <w:tr>
        <w:trPr>
          <w:trHeight w:val="27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$1.2 million variable consideration was recognized in the three months ended March 31, 2024, that related to COVID-19 tests completed in the prior periods due to the recent collection efforts, which was included as revenue from insurance in the table above. During the three months ended March 31, 2024, the Company experienced a change in estimate related to variable consideration. The Company estimates variable consideration using the expected value method. Any changes in variable consideration estimates that affect transactions are accounted for on a cumulative catch-up basis. There was no material variable consideration recognized in the three months ended March 31,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from contracts with customers - </w:t>
      </w:r>
      <w:r>
        <w:rPr>
          <w:rFonts w:ascii="Times New Roman" w:cs="Times New Roman" w:eastAsia="Times New Roman" w:hAnsi="Times New Roman"/>
          <w:sz w:val="18"/>
          <w:szCs w:val="18"/>
          <w:color w:val="auto"/>
        </w:rPr>
        <w:t>Receivables from contracts with customers are included within trade accounts receivable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Receivables from Insurance and Institutional customers represented 43% and 57%, respectively, as of March 31, 2024 and 39% and 61%, respectively, as of December 31, 2023.</w:t>
      </w:r>
    </w:p>
    <w:p>
      <w:pPr>
        <w:spacing w:after="0" w:line="17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Contracts assets and liabilities </w:t>
      </w:r>
      <w:r>
        <w:rPr>
          <w:rFonts w:ascii="Times New Roman" w:cs="Times New Roman" w:eastAsia="Times New Roman" w:hAnsi="Times New Roman"/>
          <w:sz w:val="18"/>
          <w:szCs w:val="18"/>
          <w:color w:val="auto"/>
        </w:rPr>
        <w:t>- Contract assets from contracts with customers associated with contract execution and certain costs to fulfill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$860,000 and $1.3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were recognized for the three months ended March 31, 2024 and 2023, respectively, related to contract liabilities at the beginning of the respective periods.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Segments. This update improves reportable segment disclosure requirements and requires enhanced disclosures related to significant segment expenses regularly provided to CODM, the amount for other segment items with descriptions of the composition, segment profit or loss, and clarification on if the CODM uses more than one measurement of a segment's profit or loss in assessing segment performance and deciding how to allocate resources. Amendments in this update are effective for fiscal years beginning after December 15, 2023, and interim periods within fiscal years beginning after December 15, 2024. The Company is currently evaluating the impacts of this amendment on the consolidated financial statements and related disclosure.</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 to Income Tax Disclosures. The update requires more detailed information on certain income tax disclosures including the income tax rate reconciliation and income taxes paid. Amendments in this update are effective for annual periods beginning December 15, 2024 for public entities, and early adoption is permitted. The Company is currently evaluating the impacts of this amendment on the consolidated financial statements and related disclosure.</w:t>
      </w:r>
    </w:p>
    <w:p>
      <w:pPr>
        <w:spacing w:after="0" w:line="18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expect that any other recently issued accounting guidance will have a significant effect on its consolidated financial statements.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3. Equity and Debt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equity and debt securities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16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4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106,187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(1,059 )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45,613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39,356</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(21,718 )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(21,718 )</w:t>
            </w: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251,018</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345,156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151,721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(1,412 )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150,314</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40,265</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FF0FC"/>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560,075</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818,058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(6,836 )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811,951</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833,058</w:t>
            </w:r>
          </w:p>
        </w:tc>
        <w:tc>
          <w:tcPr>
            <w:tcW w:w="2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(6,836 )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826,951</w:t>
            </w:r>
          </w:p>
        </w:tc>
        <w:tc>
          <w:tcPr>
            <w:tcW w:w="100" w:type="dxa"/>
            <w:vAlign w:val="bottom"/>
            <w:shd w:val="clear" w:color="auto" w:fill="CFF0FC"/>
          </w:tcPr>
          <w:p>
            <w:pPr>
              <w:spacing w:after="0"/>
              <w:rPr>
                <w:sz w:val="24"/>
                <w:szCs w:val="24"/>
                <w:color w:val="auto"/>
              </w:rPr>
            </w:pPr>
          </w:p>
        </w:tc>
      </w:tr>
      <w:tr>
        <w:trPr>
          <w:trHeight w:val="628"/>
        </w:trPr>
        <w:tc>
          <w:tcPr>
            <w:tcW w:w="48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-4705350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-4705350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-4705350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-3145790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-3145790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-3145790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-3145790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-1893570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-1893570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-1893570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-1250950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-1250950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-1250950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-925195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-908050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-925195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-908050</wp:posOffset>
            </wp:positionV>
            <wp:extent cx="768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-925195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-908050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right"/>
              <w:ind w:right="64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16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114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119,739</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(1,765 )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117,982</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70,896</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(792 )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Cash equivalents</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(38,291 )</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(38,291 )</w:t>
            </w: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within 1 year</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(3,994 )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326,681</w:t>
            </w:r>
          </w:p>
        </w:tc>
        <w:tc>
          <w:tcPr>
            <w:tcW w:w="100" w:type="dxa"/>
            <w:vAlign w:val="bottom"/>
          </w:tcPr>
          <w:p>
            <w:pPr>
              <w:spacing w:after="0"/>
              <w:rPr>
                <w:sz w:val="20"/>
                <w:szCs w:val="20"/>
                <w:color w:val="auto"/>
              </w:rPr>
            </w:pPr>
          </w:p>
        </w:tc>
      </w:tr>
      <w:tr>
        <w:trPr>
          <w:trHeight w:val="23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247,104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247,788</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Yankee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1 year through 5 years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(1,941 )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443,150</w:t>
            </w:r>
          </w:p>
        </w:tc>
        <w:tc>
          <w:tcPr>
            <w:tcW w:w="100" w:type="dxa"/>
            <w:vAlign w:val="bottom"/>
          </w:tcPr>
          <w:p>
            <w:pPr>
              <w:spacing w:after="0"/>
              <w:rPr>
                <w:sz w:val="20"/>
                <w:szCs w:val="20"/>
                <w:color w:val="auto"/>
              </w:rPr>
            </w:pPr>
          </w:p>
        </w:tc>
      </w:tr>
      <w:tr>
        <w:trPr>
          <w:trHeight w:val="23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debt securities due after 5 years through 10 years</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FF0FC"/>
          </w:tcPr>
          <w:p>
            <w:pPr>
              <w:spacing w:after="0"/>
              <w:rPr>
                <w:sz w:val="20"/>
                <w:szCs w:val="20"/>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8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770,690</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8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equity and debt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789,726</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(5,945 )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785,690</w:t>
            </w:r>
          </w:p>
        </w:tc>
        <w:tc>
          <w:tcPr>
            <w:tcW w:w="100" w:type="dxa"/>
            <w:vAlign w:val="bottom"/>
            <w:shd w:val="clear" w:color="auto" w:fill="CFF0FC"/>
          </w:tcPr>
          <w:p>
            <w:pPr>
              <w:spacing w:after="0"/>
              <w:rPr>
                <w:sz w:val="22"/>
                <w:szCs w:val="22"/>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-3805555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-3805555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-3805555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-2245360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-2245360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-2245360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-993775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-993775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-350520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-350520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-350520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Gross unrealized losses on the Company’s equity and debt securities were $6.8 million and $5.9 million as of March 31, 2024 and December 31, 2023, respectively. The Company did not recognize any credit losses for its available-for-sale debt securities during the three months ended March 31, 2024 and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97" w:lineRule="exact"/>
        <w:rPr>
          <w:sz w:val="20"/>
          <w:szCs w:val="20"/>
          <w:color w:val="auto"/>
        </w:rPr>
      </w:pPr>
    </w:p>
    <w:p>
      <w:pPr>
        <w:ind w:left="1620" w:right="42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are quoted prices (unadjusted) in active markets for identical assets or liabilities that the reporting entity can access at the measurement date.</w:t>
      </w:r>
    </w:p>
    <w:p>
      <w:pPr>
        <w:spacing w:after="0" w:line="67" w:lineRule="exact"/>
        <w:rPr>
          <w:sz w:val="20"/>
          <w:szCs w:val="20"/>
          <w:color w:val="auto"/>
        </w:rPr>
      </w:pPr>
    </w:p>
    <w:p>
      <w:pPr>
        <w:ind w:left="1620" w:right="500" w:hanging="1025"/>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inputs other than quoted prices included within Level 1 that are observable for the asset or liability, either directly or indirectly.</w:t>
      </w:r>
    </w:p>
    <w:p>
      <w:pPr>
        <w:spacing w:after="0" w:line="81" w:lineRule="exact"/>
        <w:rPr>
          <w:sz w:val="20"/>
          <w:szCs w:val="20"/>
          <w:color w:val="auto"/>
        </w:rPr>
      </w:pPr>
    </w:p>
    <w:p>
      <w:pPr>
        <w:ind w:left="600"/>
        <w:spacing w:after="0"/>
        <w:tabs>
          <w:tab w:leader="none" w:pos="16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are unobservable for the asset or liability.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5" w:name="page16"/>
    <w:bookmarkEnd w:id="15"/>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based on the above three-tier fair value hierarchy:</w:t>
      </w:r>
    </w:p>
    <w:p>
      <w:pPr>
        <w:spacing w:after="0" w:line="196"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16510</wp:posOffset>
            </wp:positionV>
            <wp:extent cx="40119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9" w:lineRule="exact"/>
        <w:rPr>
          <w:sz w:val="20"/>
          <w:szCs w:val="20"/>
          <w:color w:val="auto"/>
        </w:rPr>
      </w:pPr>
    </w:p>
    <w:p>
      <w:pPr>
        <w:ind w:left="5360"/>
        <w:spacing w:after="0"/>
        <w:tabs>
          <w:tab w:leader="none" w:pos="6940" w:val="left"/>
          <w:tab w:leader="none" w:pos="8580" w:val="left"/>
          <w:tab w:leader="none" w:pos="10200" w:val="left"/>
        </w:tabs>
        <w:rPr>
          <w:sz w:val="20"/>
          <w:szCs w:val="20"/>
          <w:color w:val="auto"/>
        </w:rPr>
      </w:pPr>
      <w:r>
        <w:rPr>
          <w:rFonts w:ascii="Times New Roman" w:cs="Times New Roman" w:eastAsia="Times New Roman" w:hAnsi="Times New Roman"/>
          <w:sz w:val="14"/>
          <w:szCs w:val="14"/>
          <w:b w:val="1"/>
          <w:bCs w:val="1"/>
          <w:color w:val="auto"/>
        </w:rPr>
        <w:t>Total</w:t>
      </w:r>
      <w:r>
        <w:rPr>
          <w:sz w:val="20"/>
          <w:szCs w:val="20"/>
          <w:color w:val="auto"/>
        </w:rPr>
        <w:tab/>
      </w: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15875</wp:posOffset>
            </wp:positionV>
            <wp:extent cx="40119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448,466</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448,466</w:t>
            </w:r>
          </w:p>
        </w:tc>
        <w:tc>
          <w:tcPr>
            <w:tcW w:w="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206,571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206,571</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45,609</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848,669</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67,327</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745,904</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 securities, debt securities and cash equivalents: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agency debt securities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226,717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preferred stock investment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of privately held company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Yankee debt securities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 securities, debt securities and cash equivalents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823,981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107,541</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681,002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Company’s Level 1 assets include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March 31, 2024, the Company had preferred stock of a privately held company, which was included in other long-term assets in the accompanying Condensed Consolidated Balance Sheets, and redeemable preferred stock of a private company that were measured using unobservable (Level 3) inputs. The fair value of redeemable preferred stock as of March 31, 2024 and December 31, 2023 was based on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preferred stock of the privately held company did not have a readily determinable fair value, and no impairment loss was recorded as of March 31, 2024.</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months ended March 31,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5. Fixed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Major classes of fixed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20" w:type="dxa"/>
            <w:vAlign w:val="bottom"/>
          </w:tcPr>
          <w:p>
            <w:pPr>
              <w:spacing w:after="0"/>
              <w:rPr>
                <w:sz w:val="16"/>
                <w:szCs w:val="16"/>
                <w:color w:val="auto"/>
              </w:rPr>
            </w:pPr>
          </w:p>
        </w:tc>
        <w:tc>
          <w:tcPr>
            <w:tcW w:w="4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340" w:type="dxa"/>
            <w:vAlign w:val="bottom"/>
          </w:tcPr>
          <w:p>
            <w:pPr>
              <w:spacing w:after="0"/>
              <w:rPr>
                <w:sz w:val="16"/>
                <w:szCs w:val="16"/>
                <w:color w:val="auto"/>
              </w:rPr>
            </w:pPr>
          </w:p>
        </w:tc>
        <w:tc>
          <w:tcPr>
            <w:tcW w:w="172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6"/>
                <w:szCs w:val="16"/>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4200" w:type="dxa"/>
            <w:vAlign w:val="bottom"/>
            <w:tcBorders>
              <w:bottom w:val="single" w:sz="8" w:color="auto"/>
            </w:tcBorders>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Medical lab equipment</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 months to 12 Years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 estimated useful life</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39 Years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 to 5 Years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 months to 39 Years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 to 5 Years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7 Years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 to 5 Years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 to 15 Years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 to 7 Years</w:t>
            </w: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equipment</w:t>
            </w:r>
          </w:p>
        </w:tc>
        <w:tc>
          <w:tcPr>
            <w:tcW w:w="4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5 Years</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yet placed in service</w:t>
            </w:r>
          </w:p>
        </w:tc>
        <w:tc>
          <w:tcPr>
            <w:tcW w:w="4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(46,786 )</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(51,633 )</w:t>
            </w:r>
          </w:p>
        </w:tc>
        <w:tc>
          <w:tcPr>
            <w:tcW w:w="0" w:type="dxa"/>
            <w:vAlign w:val="bottom"/>
          </w:tcPr>
          <w:p>
            <w:pPr>
              <w:spacing w:after="0"/>
              <w:rPr>
                <w:sz w:val="1"/>
                <w:szCs w:val="1"/>
                <w:color w:val="auto"/>
              </w:rPr>
            </w:pPr>
          </w:p>
        </w:tc>
      </w:tr>
      <w:tr>
        <w:trPr>
          <w:trHeight w:val="237"/>
        </w:trPr>
        <w:tc>
          <w:tcPr>
            <w:tcW w:w="3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4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-505460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expenses on fixed assets totaled $4.6 million and $4.7 million for the three months ended March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Significant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Reagents and supplies</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interest receivable</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14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820" w:type="dxa"/>
            <w:vAlign w:val="bottom"/>
          </w:tcPr>
          <w:p>
            <w:pPr>
              <w:spacing w:after="0"/>
              <w:rPr>
                <w:sz w:val="24"/>
                <w:szCs w:val="24"/>
                <w:color w:val="auto"/>
              </w:rPr>
            </w:pPr>
          </w:p>
        </w:tc>
        <w:tc>
          <w:tcPr>
            <w:tcW w:w="14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3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liabilities</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liabilities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bonus and commission</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accrual</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1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-2065020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Accrued legal liabilities as of March 31, 2024, and December 31, 2023, included $6.9 million in connection with the Company's voluntary disclosure process as described in Note 8, </w:t>
      </w:r>
      <w:r>
        <w:rPr>
          <w:rFonts w:ascii="Times New Roman" w:cs="Times New Roman" w:eastAsia="Times New Roman" w:hAnsi="Times New Roman"/>
          <w:sz w:val="18"/>
          <w:szCs w:val="18"/>
          <w:i w:val="1"/>
          <w:iCs w:val="1"/>
          <w:color w:val="auto"/>
        </w:rPr>
        <w:t>Debt, Commitments, and Contingencies.</w:t>
      </w:r>
      <w:r>
        <w:rPr>
          <w:rFonts w:ascii="Times New Roman" w:cs="Times New Roman" w:eastAsia="Times New Roman" w:hAnsi="Times New Roman"/>
          <w:sz w:val="18"/>
          <w:szCs w:val="18"/>
          <w:color w:val="auto"/>
        </w:rPr>
        <w:t xml:space="preserve"> Other accrued liabilities included short-term finance lease liabilities, health insurance liabilities, and third-party billing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68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184"/>
        </w:trPr>
        <w:tc>
          <w:tcPr>
            <w:tcW w:w="6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53"/>
        </w:trPr>
        <w:tc>
          <w:tcPr>
            <w:tcW w:w="6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1400" w:type="dxa"/>
            <w:vAlign w:val="bottom"/>
            <w:shd w:val="clear" w:color="auto" w:fill="CFF0FC"/>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0"/>
                <w:szCs w:val="20"/>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14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Reportable Segment and Geographic Information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viewed and managed its operations in one reportable segment prior to December 2023. Given the advancement of the therapeutic development business, the Company made certain changes, including the bifurcation of financial information for the Company’s budget and forecast planning process in December 2023. The CODM manages the operations of the Company and reviews discrete financial information to make resource decisions for its two operating segments separately. These are laboratory services and therapeutic development. The laboratory services operating segment offers technical laboratory services and professional interpretation of laboratory results by licensed physicians who specialize in pathology and oncology. The therapeutic development operating segment is a pharmaceutical research and development entity that the Company acquired in November 2022. These operating segments do not meet the aggregation criteria and therefore represent the Company’s reportable segments.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inter-segment allocation of interest expense and income taxes. There is no inter-segment revenue and operating income or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the Company’s operations and assets for its reportable segments as well as geographic information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2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Precision diagnostics</w:t>
            </w:r>
          </w:p>
        </w:tc>
        <w:tc>
          <w:tcPr>
            <w:tcW w:w="4000" w:type="dxa"/>
            <w:vAlign w:val="bottom"/>
            <w:gridSpan w:val="2"/>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37,446</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Anatomic pathology</w:t>
            </w: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BioPharma services</w:t>
            </w:r>
          </w:p>
        </w:tc>
        <w:tc>
          <w:tcPr>
            <w:tcW w:w="2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28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laboratory services</w:t>
            </w:r>
          </w:p>
        </w:tc>
        <w:tc>
          <w:tcPr>
            <w:tcW w:w="28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84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3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services</w:t>
            </w:r>
          </w:p>
        </w:tc>
        <w:tc>
          <w:tcPr>
            <w:tcW w:w="4000" w:type="dxa"/>
            <w:vAlign w:val="bottom"/>
            <w:gridSpan w:val="2"/>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(16,754 )</w:t>
            </w: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(21,603 )</w:t>
            </w:r>
          </w:p>
        </w:tc>
        <w:tc>
          <w:tcPr>
            <w:tcW w:w="0" w:type="dxa"/>
            <w:vAlign w:val="bottom"/>
          </w:tcPr>
          <w:p>
            <w:pPr>
              <w:spacing w:after="0"/>
              <w:rPr>
                <w:sz w:val="1"/>
                <w:szCs w:val="1"/>
                <w:color w:val="auto"/>
              </w:rPr>
            </w:pPr>
          </w:p>
        </w:tc>
      </w:tr>
      <w:tr>
        <w:trPr>
          <w:trHeight w:val="243"/>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Therapeutic development</w:t>
            </w:r>
          </w:p>
        </w:tc>
        <w:tc>
          <w:tcPr>
            <w:tcW w:w="2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(5,044 )</w:t>
            </w:r>
          </w:p>
        </w:tc>
        <w:tc>
          <w:tcPr>
            <w:tcW w:w="84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(3,221 )</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8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(21,798 )</w:t>
            </w:r>
          </w:p>
        </w:tc>
        <w:tc>
          <w:tcPr>
            <w:tcW w:w="8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(24,824 )</w:t>
            </w:r>
          </w:p>
        </w:tc>
        <w:tc>
          <w:tcPr>
            <w:tcW w:w="0" w:type="dxa"/>
            <w:vAlign w:val="bottom"/>
          </w:tcPr>
          <w:p>
            <w:pPr>
              <w:spacing w:after="0"/>
              <w:rPr>
                <w:sz w:val="1"/>
                <w:szCs w:val="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(14,173 )</w:t>
            </w: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(21,049 )</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4000" w:type="dxa"/>
            <w:vAlign w:val="bottom"/>
            <w:gridSpan w:val="2"/>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32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28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gridSpan w:val="2"/>
          </w:tcPr>
          <w:p>
            <w:pPr>
              <w:jc w:val="right"/>
              <w:ind w:right="98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84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39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-3899535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-3882390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-2176780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-2159635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-1087755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973"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1,140,688</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3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1,229,885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revenue: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countries</w:t>
            </w:r>
          </w:p>
        </w:tc>
        <w:tc>
          <w:tcPr>
            <w:tcW w:w="3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Geographic distribution of property, plant and equipment,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3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Unites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82,168</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86,723</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-3325495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-1602740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Notes payable as of March 31, 2024, consisted of $2.9 million of notes payable related to an installment sale contract the Company entered in February 2022 for a building. The notes payable relate to the installment sale, are due in February 2030, and carry an interest rate of 1.08%. The current portion and noncurrent portion are $413,000 and $2.5 million, respectively, and the noncurrent portion is included in the other long-term liabilities in the accompanying Condensed Consolidated Balance Sheets. The Company also had notes payable to Xilong Scientific Co., which were paid off as of March 31, 2024, and had an interest rate of 4.97%. The interest expenses on all notes payable for the three months ended March 31, 2024 and 2023 were $8,000 and $75,000,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certain purchase commitments with its vendors, consisting primarily of services, reagent and supplies, computer software, medical lab equipment, and building assets. As of March 31, 2024, the Company had purchase obligations of $57.9 million, $39.6 million of which is payable within twelve months, and $18.3 million, the remainder, is payable within the next five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arising in the ordinary course of business.</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received a Civil Investigative Demand, or CID, issued by the U.S. Department of Justice pursuant to the False Claims Act related to its investigation of allegations of medically unnecessary laboratory testing, improper billing for laboratory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9" w:name="page20"/>
    <w:bookmarkEnd w:id="19"/>
    <w:p>
      <w:pPr>
        <w:ind w:right="160"/>
        <w:spacing w:after="0" w:line="256" w:lineRule="auto"/>
        <w:rPr>
          <w:sz w:val="20"/>
          <w:szCs w:val="20"/>
          <w:color w:val="auto"/>
        </w:rPr>
      </w:pPr>
      <w:r>
        <w:rPr>
          <w:rFonts w:ascii="Times New Roman" w:cs="Times New Roman" w:eastAsia="Times New Roman" w:hAnsi="Times New Roman"/>
          <w:sz w:val="18"/>
          <w:szCs w:val="18"/>
          <w:color w:val="auto"/>
        </w:rPr>
        <w:t>testing, and remuneration received or provided in violation of the Anti-Kickback Statute and the Stark Law. Among other things, this CID requests information and records relating to certain of the Company’s customers named in the CID. As previously disclosed in the Company’s Exchange Act reports, the SEC is also conducting a non-public formal investigation, which appears to relate to the matters raised in the CID requests and its Exchange Act reports filed for 2018 through 2020. The Company is fully cooperating with the U.S. Department of Justice and the SEC to promptly respond to the requests for information in this CID and investigation. The Company cannot predict when these matters will be resolved, the outcome of these matters, or their potential impact, which may materially and adversely affect the Company’s business, prospects, and financial condition.</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Similar to other laboratories in the industry, the Company is currently being audited by the U.S. Health Resources and Services Administration, or HRSA, with respect to its reimbursement for COVID-19 tests furnished to patients believed to be uninsured. The Company recorded approximately $548.9 million of reimbursements from HRSA under the Uninsured Program during the years ending December 31, 2022, 2021, and 2020. The Company is fully cooperating and working with HRSA’s auditors to resolve any issues, including any reimbursed amounts that may need to be returned to HRSA. There is uncertainty with respect to the methodology HRSA will use and whether and how they will extrapolate audit results. The results of the HRSA audit may materially and adversely affect the Company’s business, prospects, and financial condition.</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cannot reasonably estimate the loss or range of loss, if any, that may result from any material government investigations,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relation to a recent advisory opinion issued by the Office of Inspector General of the Department of Health and Human Services, the Company’s subsidiary, Symphony Buyer, Inc., or Inform Diagnostics, initiated a voluntary disclosure process with the appropriate government contact. The Company currently has estimated and recorded $6.9 million as a liability in its financial statements in connection with this voluntary disclosure. This estimate may be incorrect, and the actual amount of liability may be lower or may materially exceed this estimate.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is a lessee to various non-cancelable operating leases with varying terms through April 2033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various finance leases for lab equipment with varying terms through December 2026, some of which were acquired in business combinations.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Company’s headquarters are located in El Monte,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Irving, Texas; Needham, Massachusetts; Phoenix, Arizona; Alpharetta, Georgia; and New York, New York.</w:t>
      </w:r>
    </w:p>
    <w:p>
      <w:pPr>
        <w:spacing w:after="0" w:line="1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operating and finance lease right-of-use asset, short-term lease liabilities, and long-term lease liabilities as of March 31, 2024, and December 31, 2023,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r>
      <w:tr>
        <w:trPr>
          <w:trHeight w:val="223"/>
        </w:trPr>
        <w:tc>
          <w:tcPr>
            <w:tcW w:w="4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4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 net</w:t>
            </w:r>
          </w:p>
        </w:tc>
        <w:tc>
          <w:tcPr>
            <w:tcW w:w="416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9,225</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shd w:val="clear" w:color="auto" w:fill="CFF0FC"/>
          </w:tcPr>
          <w:p>
            <w:pPr>
              <w:spacing w:after="0"/>
              <w:rPr>
                <w:sz w:val="21"/>
                <w:szCs w:val="21"/>
                <w:color w:val="auto"/>
              </w:rPr>
            </w:pP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short term</w:t>
            </w:r>
          </w:p>
        </w:tc>
        <w:tc>
          <w:tcPr>
            <w:tcW w:w="416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 term</w:t>
            </w:r>
          </w:p>
        </w:tc>
        <w:tc>
          <w:tcPr>
            <w:tcW w:w="416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FF0FC"/>
          </w:tcPr>
          <w:p>
            <w:pPr>
              <w:spacing w:after="0"/>
              <w:rPr>
                <w:sz w:val="21"/>
                <w:szCs w:val="21"/>
                <w:color w:val="auto"/>
              </w:rPr>
            </w:pP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 net</w:t>
            </w:r>
          </w:p>
        </w:tc>
        <w:tc>
          <w:tcPr>
            <w:tcW w:w="416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0"/>
                <w:szCs w:val="20"/>
                <w:color w:val="auto"/>
              </w:rPr>
            </w:pPr>
          </w:p>
        </w:tc>
      </w:tr>
      <w:tr>
        <w:trPr>
          <w:trHeight w:val="247"/>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short term</w:t>
            </w:r>
          </w:p>
        </w:tc>
        <w:tc>
          <w:tcPr>
            <w:tcW w:w="416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FF0FC"/>
          </w:tcPr>
          <w:p>
            <w:pPr>
              <w:spacing w:after="0"/>
              <w:rPr>
                <w:sz w:val="21"/>
                <w:szCs w:val="21"/>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long term</w:t>
            </w:r>
          </w:p>
        </w:tc>
        <w:tc>
          <w:tcPr>
            <w:tcW w:w="4160" w:type="dxa"/>
            <w:vAlign w:val="bottom"/>
            <w:gridSpan w:val="2"/>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0"/>
                <w:szCs w:val="20"/>
                <w:color w:val="auto"/>
              </w:rPr>
            </w:pPr>
          </w:p>
        </w:tc>
      </w:tr>
      <w:tr>
        <w:trPr>
          <w:trHeight w:val="657"/>
        </w:trPr>
        <w:tc>
          <w:tcPr>
            <w:tcW w:w="4100" w:type="dxa"/>
            <w:vAlign w:val="bottom"/>
          </w:tcPr>
          <w:p>
            <w:pPr>
              <w:spacing w:after="0"/>
              <w:rPr>
                <w:sz w:val="24"/>
                <w:szCs w:val="24"/>
                <w:color w:val="auto"/>
              </w:rPr>
            </w:pPr>
          </w:p>
        </w:tc>
        <w:tc>
          <w:tcPr>
            <w:tcW w:w="27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following were operating and finance lease expenses: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360" w:type="dxa"/>
            <w:vAlign w:val="bottom"/>
            <w:gridSpan w:val="4"/>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52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52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information related to operating and finance leases were the following:</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1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4.57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0" w:type="dxa"/>
            <w:vAlign w:val="bottom"/>
          </w:tcPr>
          <w:p>
            <w:pPr>
              <w:spacing w:after="0"/>
              <w:rPr>
                <w:sz w:val="1"/>
                <w:szCs w:val="1"/>
                <w:color w:val="auto"/>
              </w:rPr>
            </w:pPr>
          </w:p>
        </w:tc>
      </w:tr>
      <w:tr>
        <w:trPr>
          <w:trHeight w:val="252"/>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finance lease</w:t>
            </w:r>
          </w:p>
        </w:tc>
        <w:tc>
          <w:tcPr>
            <w:tcW w:w="1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2.48 years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-1365250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maturity analysis of operating and finance lease liabilities using undiscounted cash flows on an annual basis with renewal periods included: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gridSpan w:val="2"/>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16"/>
                <w:szCs w:val="16"/>
                <w:color w:val="auto"/>
              </w:rPr>
            </w:pPr>
          </w:p>
        </w:tc>
      </w:tr>
      <w:tr>
        <w:trPr>
          <w:trHeight w:val="237"/>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FF0FC"/>
          </w:tcPr>
          <w:p>
            <w:pPr>
              <w:spacing w:after="0"/>
              <w:rPr>
                <w:sz w:val="21"/>
                <w:szCs w:val="21"/>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top w:val="single" w:sz="8" w:color="auto"/>
            </w:tcBorders>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20"/>
                <w:szCs w:val="20"/>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(1,021 )</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77"/>
        </w:trPr>
        <w:tc>
          <w:tcPr>
            <w:tcW w:w="6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9,489</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out space in buildings it owns and leases to third-party tenants under noncancelable operating leases. As of March 31, 2024, the remaining lease term is 9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0"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lease income was included in interest and other income, net, in the accompanying Condensed Consolidated Statements of Operations. Total lease income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236"/>
        </w:trPr>
        <w:tc>
          <w:tcPr>
            <w:tcW w:w="6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color w:val="auto"/>
        </w:rPr>
        <w:t>Future fixed lease payments from tenants for all noncancelable operating leases as of March 31, 2024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226"/>
        </w:trPr>
        <w:tc>
          <w:tcPr>
            <w:tcW w:w="8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from Tenants</w:t>
            </w:r>
          </w:p>
        </w:tc>
        <w:tc>
          <w:tcPr>
            <w:tcW w:w="100" w:type="dxa"/>
            <w:vAlign w:val="bottom"/>
          </w:tcPr>
          <w:p>
            <w:pPr>
              <w:spacing w:after="0"/>
              <w:rPr>
                <w:sz w:val="19"/>
                <w:szCs w:val="19"/>
                <w:color w:val="auto"/>
              </w:rPr>
            </w:pPr>
          </w:p>
        </w:tc>
      </w:tr>
      <w:tr>
        <w:trPr>
          <w:trHeight w:val="237"/>
        </w:trPr>
        <w:tc>
          <w:tcPr>
            <w:tcW w:w="8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8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40" w:type="dxa"/>
            <w:vAlign w:val="bottom"/>
            <w:shd w:val="clear" w:color="auto" w:fill="CFF0FC"/>
          </w:tcPr>
          <w:p>
            <w:pPr>
              <w:spacing w:after="0"/>
              <w:rPr>
                <w:sz w:val="21"/>
                <w:szCs w:val="21"/>
                <w:color w:val="auto"/>
              </w:rPr>
            </w:pPr>
          </w:p>
        </w:tc>
        <w:tc>
          <w:tcPr>
            <w:tcW w:w="2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77"/>
        </w:trPr>
        <w:tc>
          <w:tcPr>
            <w:tcW w:w="8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included equity-based compensation expense as part of cost of revenue and operating expenses in the accompanying Condensed Consolidated Statements of Operations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116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160" w:type="dxa"/>
            <w:vAlign w:val="bottom"/>
            <w:gridSpan w:val="3"/>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20"/>
                <w:szCs w:val="20"/>
                <w:color w:val="auto"/>
              </w:rPr>
            </w:pPr>
          </w:p>
        </w:tc>
      </w:tr>
      <w:tr>
        <w:trPr>
          <w:trHeight w:val="27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(loss)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recorded consolidated benefit from income taxes of $327,000 and $5.2 million for the three months ended March 31, 2024 and 2023, respectively. The Company’s effective tax rate was 2% for the three months ended March 31, 2024, compared with 25% for the three months ended March 31, 2023. The change in the effective tax rate compared to prior period is due to the valuation allowance in the current period that precludes the Company from recognizing the benefit from net operating losses.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is under examination by certain tax authorities for the 2020 to 2021 tax years. While the timing of the conclusion of the examination is uncertain, the Company believes that adequate amounts have been reserved for adjustments that may result. During 2024, the statutes of limitations will lapse on the Company’s 2020 federal tax year and certain 2019 and 2020 state tax years. The Company does not believe the federal or state statute lapses or any other event will significantly impact the balance of unrecognized tax benefits in the next twelve months.</w:t>
      </w:r>
    </w:p>
    <w:p>
      <w:pPr>
        <w:spacing w:after="0" w:line="180"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$6.2 million and $657,000 income tax refunds in the three months ended March 31, 2024 and 2023, respectively, and income tax refunds received were not netted in the income tax paid amounts included in the supplemental disclosure in the accompanying Condensed Consolidated Statements of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loss per share for the three months ended March 31, 2024 and 2023:</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820" w:type="dxa"/>
            <w:vAlign w:val="bottom"/>
          </w:tcPr>
          <w:p>
            <w:pPr>
              <w:spacing w:after="0"/>
              <w:rPr>
                <w:sz w:val="20"/>
                <w:szCs w:val="20"/>
                <w:color w:val="auto"/>
              </w:rPr>
            </w:pPr>
          </w:p>
        </w:tc>
        <w:tc>
          <w:tcPr>
            <w:tcW w:w="360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160" w:type="dxa"/>
            <w:vAlign w:val="bottom"/>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(13,462 )</w:t>
            </w:r>
          </w:p>
        </w:tc>
        <w:tc>
          <w:tcPr>
            <w:tcW w:w="128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(15,340 )</w:t>
            </w:r>
          </w:p>
        </w:tc>
      </w:tr>
      <w:tr>
        <w:trPr>
          <w:trHeight w:val="228"/>
        </w:trPr>
        <w:tc>
          <w:tcPr>
            <w:tcW w:w="682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79"/>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basic</w:t>
            </w:r>
          </w:p>
        </w:tc>
        <w:tc>
          <w:tcPr>
            <w:tcW w:w="116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3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 outstanding, diluted</w:t>
            </w:r>
          </w:p>
        </w:tc>
        <w:tc>
          <w:tcPr>
            <w:tcW w:w="1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29,769</w:t>
            </w:r>
          </w:p>
        </w:tc>
        <w:tc>
          <w:tcPr>
            <w:tcW w:w="3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8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(0.45 )</w:t>
            </w:r>
          </w:p>
        </w:tc>
        <w:tc>
          <w:tcPr>
            <w:tcW w:w="1280" w:type="dxa"/>
            <w:vAlign w:val="bottom"/>
            <w:shd w:val="clear" w:color="auto" w:fill="CFF0FC"/>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34"/>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(0.45 )</w:t>
            </w:r>
          </w:p>
        </w:tc>
        <w:tc>
          <w:tcPr>
            <w:tcW w:w="128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-1151255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-1134110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-1151255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-816610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-799465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-816610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securities have been excluded from the calculation of diluted loss per share because their effect would have been anti-dilutive:</w:t>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6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Pr>
          <w:p>
            <w:pPr>
              <w:spacing w:after="0"/>
              <w:rPr>
                <w:sz w:val="20"/>
                <w:szCs w:val="20"/>
                <w:color w:val="auto"/>
              </w:rPr>
            </w:pPr>
          </w:p>
        </w:tc>
      </w:tr>
      <w:tr>
        <w:trPr>
          <w:trHeight w:val="247"/>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Contingently Issuable Shares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anti-dilutive shares described above were calculated using the treasury stock method. In the three months ended March 31, 2024 and 2023, the Company had outstanding stock options and restricted stock units and contingently issuable shares for shares held back in connection with the business combination of Fulgent Pharma that were excluded from the weighted-average share calculation for continuing operations due to the Company’s net loss positions.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Linda Marsh, who is a member of the Company’s Board of Directors, or the Board, is currently the Senior Executive Vice President of AHMC Healthcare Inc., or AHMC. The Company performs genetic testing and other testing services, on an arms-length basis for AHMC, and the Company recognized $95,000 in revenue from AHMC in the three months ended March 31, 2023. The revenue recognized for the three months ended March 31, 2024, was insignificant. As of March 31, 2024, and December 31, 2023, $11,000 and $13,000, respectively, was owed to the Company by AHMC, which is included in trade accounts receivable, net, in the accompanying Condensed Consolidated Balance Sheets, in connection with this relationship.</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Ming Hsieh, the Chief Executive Officer and Chairperson of the Board, is on the board of directors and an approximately 20% owner of ANP, from which the Company entered into certain drug-related licensing and development service agreements. The Chief Executive Officer of Fulgent Pharma, Ray Yin, is the Founder, President and Chief Technology Officer of ANP. The Company incurred $651,000 and $959,000 related to the licensing and development services in the three months ended March 31, 2024 and 2023, respectively. As of March 31, 2024, and December 31, 2023, $193,000 and zero, respectively, were owed to ANP by the Company in connection with these relationships. The Company also entered into an employee service agreement with ANP in April 2023 and recognized $77,000 and zero in revenue in the three months ended March 31, 2024 and 2023, respectively, and $56,000 and $29,000 was owed to the Company by ANP in connection with the employee service agreement as of March 31, 2024 and December 31, 2023,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Goodwill and Acquisition-Related Intangibles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change in the carrying amount in the three months ended March 31, 2024. Goodwill, net, as of March 31,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by reporting unit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82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services</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Therapeutic development</w:t>
            </w:r>
          </w:p>
        </w:tc>
        <w:tc>
          <w:tcPr>
            <w:tcW w:w="14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22,055</w:t>
            </w:r>
          </w:p>
        </w:tc>
        <w:tc>
          <w:tcPr>
            <w:tcW w:w="10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has identified its laboratory services business and its therapeutic development business as its two operating segments, and the Company determined that the two operating segments represented the two reporting units.</w:t>
      </w:r>
    </w:p>
    <w:p>
      <w:pPr>
        <w:spacing w:after="0" w:line="162" w:lineRule="exact"/>
        <w:rPr>
          <w:sz w:val="20"/>
          <w:szCs w:val="20"/>
          <w:color w:val="auto"/>
        </w:rPr>
      </w:pPr>
    </w:p>
    <w:p>
      <w:pPr>
        <w:ind w:right="102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for goodwill impairment at the reporting unit level on December 31st of each year and more frequently if events or circumstances indicate a potential impairment.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Laboratory Services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a full goodwill impairment loss for the goodwill of its laboratory services reporting unit as of December 31, 2023 due to a continued decline in its share price and market capitalization.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Therapeutic Development</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Based upon the results of the quantitative assessments the Company performed as of December 31, 2023, the Company concluded that the fair values of the therapeutic development reporting unit and the IPR&amp;D asset, at December 31, 2023, were greater than the carrying values and that there was no impairment. There have been no significant changes in the three months ended March 31, 2024.</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the estimates and assumptions management made for the purposes of the goodwill or IPR&amp;D impairment analysis will prove to be accurate predictions of future performance. It is possible that the conclusions regarding impairment or recoverability of goodwill or intangible assets could change in future periods. Management will continue to monitor the therapeutic development reporting unit. For all IPR&amp;D projects, there are major risks and uncertainties associated with the timely and successful completion of development and commercialization of these product candidates, including the ability to confirm their efficacy based on data from clinical trials, the ability to obtain necessary regulatory approvals, and the ability to successfully complete these tasks within budgeted costs. The Company is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payors, including government healthcare programs and private insurance plans, impact the revenues a product can generate. Consequently, the eventual realized value, if any, of these acquired IPR&amp;D projects may vary from their estimated fair values.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Summaries of intangible asset balances as of March 31, 2024 and December 31, 2023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Amortization Period</w:t>
            </w:r>
          </w:p>
        </w:tc>
        <w:tc>
          <w:tcPr>
            <w:tcW w:w="320" w:type="dxa"/>
            <w:vAlign w:val="bottom"/>
          </w:tcPr>
          <w:p>
            <w:pPr>
              <w:spacing w:after="0"/>
              <w:rPr>
                <w:sz w:val="16"/>
                <w:szCs w:val="16"/>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3700" w:type="dxa"/>
            <w:vAlign w:val="bottom"/>
            <w:vMerge w:val="continue"/>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040" w:type="dxa"/>
            <w:vAlign w:val="bottom"/>
          </w:tcPr>
          <w:p>
            <w:pPr>
              <w:spacing w:after="0"/>
              <w:rPr>
                <w:sz w:val="5"/>
                <w:szCs w:val="5"/>
                <w:color w:val="auto"/>
              </w:rPr>
            </w:pPr>
          </w:p>
        </w:tc>
        <w:tc>
          <w:tcPr>
            <w:tcW w:w="37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0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Laboratory Services:</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Royalty-free technology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(1,495 )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(1,390 )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Royalty-free technology,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 Years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(14,204 )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68,897</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70,533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 Years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(1,030 )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Trade name,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In-place lease intangible assets,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(992 )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32"/>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Laboratory information system platform,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1"/>
                <w:szCs w:val="21"/>
                <w:color w:val="auto"/>
              </w:rPr>
            </w:pP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patent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 Years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7"/>
        </w:trPr>
        <w:tc>
          <w:tcPr>
            <w:tcW w:w="4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Purchased patent, net</w:t>
            </w:r>
          </w:p>
        </w:tc>
        <w:tc>
          <w:tcPr>
            <w:tcW w:w="37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Therapeutic Development:</w:t>
            </w:r>
          </w:p>
        </w:tc>
        <w:tc>
          <w:tcPr>
            <w:tcW w:w="37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&amp; development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7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140,989</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-4268470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-3642360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-3642360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-3016885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-2390775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-1765300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-1139190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Acquisition-related intangibles included in the above tables are generally finite-lived and are carried at cost less accumulated amortization, except for IPR&amp;D, which is related to the business combination of Fulgent Pharma in 2022 and has an indefinite life until research and development efforts are completed or abandoned. All other finite-lived acquisition-related intangibles related to the business combinations in 2022 and 2021 are amortized on a straight-line basis over their estimated lives, which approximates the pattern in which the economic benefits of the intangible assets are expected to be realized.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$2.0 million in each of the three months ended March 31, 2024 and 2023.</w:t>
      </w:r>
    </w:p>
    <w:p>
      <w:pPr>
        <w:spacing w:after="0" w:line="22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Based on the carrying value of finite-lived intangible assets recorded as of March 31, 2024, and assuming no subsequent impairment of the underlying assets, the annual amortization expense for intangible assets is expected to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9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69"/>
        </w:trPr>
        <w:tc>
          <w:tcPr>
            <w:tcW w:w="37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tcPr>
          <w:p>
            <w:pPr>
              <w:jc w:val="right"/>
              <w:ind w:right="1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8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(remaining 9 months)</w:t>
            </w:r>
          </w:p>
        </w:tc>
        <w:tc>
          <w:tcPr>
            <w:tcW w:w="4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7,963</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00" w:type="dxa"/>
            <w:vAlign w:val="bottom"/>
            <w:shd w:val="clear" w:color="auto" w:fill="CFF0FC"/>
          </w:tcPr>
          <w:p>
            <w:pPr>
              <w:spacing w:after="0"/>
              <w:rPr>
                <w:sz w:val="21"/>
                <w:szCs w:val="21"/>
                <w:color w:val="auto"/>
              </w:rPr>
            </w:pP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100" w:type="dxa"/>
            <w:vAlign w:val="bottom"/>
          </w:tcPr>
          <w:p>
            <w:pPr>
              <w:spacing w:after="0"/>
              <w:rPr>
                <w:sz w:val="21"/>
                <w:szCs w:val="21"/>
                <w:color w:val="auto"/>
              </w:rPr>
            </w:pPr>
          </w:p>
        </w:tc>
      </w:tr>
      <w:tr>
        <w:trPr>
          <w:trHeight w:val="276"/>
        </w:trPr>
        <w:tc>
          <w:tcPr>
            <w:tcW w:w="3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5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76,399</w:t>
            </w:r>
          </w:p>
        </w:tc>
        <w:tc>
          <w:tcPr>
            <w:tcW w:w="100" w:type="dxa"/>
            <w:vAlign w:val="bottom"/>
            <w:shd w:val="clear" w:color="auto" w:fill="CFF0FC"/>
          </w:tcPr>
          <w:p>
            <w:pPr>
              <w:spacing w:after="0"/>
              <w:rPr>
                <w:sz w:val="24"/>
                <w:szCs w:val="24"/>
                <w:color w:val="auto"/>
              </w:rPr>
            </w:pPr>
          </w:p>
        </w:tc>
      </w:tr>
      <w:tr>
        <w:trPr>
          <w:trHeight w:val="629"/>
        </w:trPr>
        <w:tc>
          <w:tcPr>
            <w:tcW w:w="3760" w:type="dxa"/>
            <w:vAlign w:val="bottom"/>
            <w:tcBorders>
              <w:top w:val="single" w:sz="8" w:color="CFF0FC"/>
            </w:tcBorders>
          </w:tcPr>
          <w:p>
            <w:pPr>
              <w:spacing w:after="0"/>
              <w:rPr>
                <w:sz w:val="24"/>
                <w:szCs w:val="24"/>
                <w:color w:val="auto"/>
              </w:rPr>
            </w:pPr>
          </w:p>
        </w:tc>
        <w:tc>
          <w:tcPr>
            <w:tcW w:w="3800" w:type="dxa"/>
            <w:vAlign w:val="bottom"/>
            <w:tcBorders>
              <w:top w:val="single" w:sz="8" w:color="CFF0FC"/>
            </w:tcBorders>
          </w:tcPr>
          <w:p>
            <w:pPr>
              <w:jc w:val="right"/>
              <w:ind w:right="175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555" w:gutter="0" w:footer="0" w:header="0"/>
        </w:sectPr>
      </w:pPr>
    </w:p>
    <w:bookmarkStart w:id="25" w:name="page26"/>
    <w:bookmarkEnd w:id="2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 Repurchase Program</w:t>
      </w:r>
    </w:p>
    <w:p>
      <w:pPr>
        <w:spacing w:after="0" w:line="121"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In March 2022, the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three months ended March 31, 2024, the Company repurchased 10,000 shares of its common stock at an aggregate cost of $225,000 under the stock repurchase program. During the three months ended March 31, 2023, the Company did not repurchase any shares of its common stock. As of March 31, 2024, a total of approximately $150.5 million remained available for future repurchases under the stock repurchase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Retirement Plans</w:t>
      </w:r>
    </w:p>
    <w:p>
      <w:pPr>
        <w:spacing w:after="0" w:line="121" w:lineRule="exact"/>
        <w:rPr>
          <w:sz w:val="20"/>
          <w:szCs w:val="20"/>
          <w:color w:val="auto"/>
        </w:rPr>
      </w:pPr>
    </w:p>
    <w:p>
      <w:pPr>
        <w:ind w:right="60" w:firstLine="494"/>
        <w:spacing w:after="0" w:line="256" w:lineRule="auto"/>
        <w:rPr>
          <w:sz w:val="20"/>
          <w:szCs w:val="20"/>
          <w:color w:val="auto"/>
        </w:rPr>
      </w:pPr>
      <w:r>
        <w:rPr>
          <w:rFonts w:ascii="Times New Roman" w:cs="Times New Roman" w:eastAsia="Times New Roman" w:hAnsi="Times New Roman"/>
          <w:sz w:val="18"/>
          <w:szCs w:val="18"/>
          <w:color w:val="auto"/>
        </w:rPr>
        <w:t>The Company offers a 401(k) retirement savings plan, or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provides safe harbor match of the employee contribution to his or her 401(k) Plan account. Total Company matching contributions to the 401(k) Plan were $1.0 million for each of the three months ended March 31, 2024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3, 2024, no subsequent events are being reported.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U.S. Securities and Exchange Commission, or SEC, in preparing this discussion and analysis, we presume that readers have access to and have read the discussion and analysis of our financial condition and results of operations included in our annual report on Form 10-K for our fiscal year ended December 31, 2023, filed with the SEC on February 28, 2024, or the 2023 Annual Report. As used in this discussion and analysis and elsewhere in this report, unless the context otherwise requires, the terms “Fulgent,” the “Company,” “we,” “us” and “our” refer to Fulgent Genetics, Inc. and its consolidated subsidiaries.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the development of our drug candidates, as well as anticipated trends in our business and industry. These forward-looking statements are subject to a number of risks and uncertainties, including, among others, those described under “Item 1A. Risk Factors” in Part I of the 2023 Annual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technology-based company with a well-established laboratory services business and a therapeutic development business. Our laboratory services business, to which we formerly referred to as our clinical diagnostic business, includes technical laboratory services and professional interpretation of laboratory results by licensed physicians. Our therapeutic development business is focused on developing drug candidates for treating a broad range of cancers using a novel nanoencapsulation and targeted therapy platform designed to improve the therapeutic window and pharmacokinetic profile, or PK profile, of new and existing cancer drugs.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Risks and Uncertainties and Other Factors Affecting Our Performance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business and prospects are exposed to numerous risks and uncertainties. For more information, see “Item 1A. Risk Factors” in Part I of the 2023 Annual Report. In addition, our performance in any period is affected by a number of other factors. See the description of some of the material factors affecting our performance in “Item 7. Management’s Discussion and Analysis of Financial Condition and Results of Operations” of the 2023 Annual Report.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table below summarizes the results of our continuing operations for each of the periods presented. For a financial overview relating to our results of operations, including general descriptions of the make-up of material line items of our statement of operations data, see “Item 7. Management’s Discussion and Analysis of Financial Condition and Results of Operations” of the 2023 Annual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7"/>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69"/>
        </w:trPr>
        <w:tc>
          <w:tcPr>
            <w:tcW w:w="4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64,485</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2"/>
              </w:rPr>
              <w:t>66,168</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(1,683 )</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(3%)</w:t>
            </w:r>
          </w:p>
        </w:tc>
      </w:tr>
      <w:tr>
        <w:trPr>
          <w:trHeight w:val="247"/>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42,381</w:t>
            </w:r>
          </w:p>
        </w:tc>
        <w:tc>
          <w:tcPr>
            <w:tcW w:w="1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right w:val="single" w:sz="8" w:color="CFF0FC"/>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47,357</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4"/>
              </w:rPr>
              <w:t>(4,976 )</w:t>
            </w:r>
          </w:p>
        </w:tc>
        <w:tc>
          <w:tcPr>
            <w:tcW w:w="1020" w:type="dxa"/>
            <w:vAlign w:val="bottom"/>
            <w:tcBorders>
              <w:bottom w:val="single" w:sz="8" w:color="CFF0FC"/>
            </w:tcBorders>
            <w:gridSpan w:val="2"/>
            <w:shd w:val="clear" w:color="auto" w:fill="CFF0FC"/>
          </w:tcPr>
          <w:p>
            <w:pPr>
              <w:jc w:val="center"/>
              <w:ind w:left="92"/>
              <w:spacing w:after="0"/>
              <w:rPr>
                <w:sz w:val="20"/>
                <w:szCs w:val="20"/>
                <w:color w:val="auto"/>
              </w:rPr>
            </w:pPr>
            <w:r>
              <w:rPr>
                <w:rFonts w:ascii="Times New Roman" w:cs="Times New Roman" w:eastAsia="Times New Roman" w:hAnsi="Times New Roman"/>
                <w:sz w:val="18"/>
                <w:szCs w:val="18"/>
                <w:color w:val="auto"/>
                <w:w w:val="97"/>
              </w:rPr>
              <w:t>(11%)</w:t>
            </w:r>
          </w:p>
        </w:tc>
      </w:tr>
      <w:tr>
        <w:trPr>
          <w:trHeight w:val="237"/>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22,104</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2"/>
              </w:rPr>
              <w:t>18,811</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3,293</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4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11,434</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9,782</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1,652</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17%</w:t>
            </w: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8,989</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tcBorders>
              <w:right w:val="single" w:sz="8" w:color="CFF0FC"/>
            </w:tcBorders>
            <w:shd w:val="clear" w:color="auto" w:fill="CFF0FC"/>
          </w:tcPr>
          <w:p>
            <w:pPr>
              <w:spacing w:after="0"/>
              <w:rPr>
                <w:sz w:val="21"/>
                <w:szCs w:val="21"/>
                <w:color w:val="auto"/>
              </w:rPr>
            </w:pPr>
          </w:p>
        </w:tc>
        <w:tc>
          <w:tcPr>
            <w:tcW w:w="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2"/>
              </w:rPr>
              <w:t>10,083</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4"/>
              </w:rPr>
              <w:t>(1,094 )</w:t>
            </w:r>
          </w:p>
        </w:tc>
        <w:tc>
          <w:tcPr>
            <w:tcW w:w="1020" w:type="dxa"/>
            <w:vAlign w:val="bottom"/>
            <w:gridSpan w:val="2"/>
            <w:shd w:val="clear" w:color="auto" w:fill="CFF0FC"/>
          </w:tcPr>
          <w:p>
            <w:pPr>
              <w:jc w:val="center"/>
              <w:ind w:left="92"/>
              <w:spacing w:after="0"/>
              <w:rPr>
                <w:sz w:val="20"/>
                <w:szCs w:val="20"/>
                <w:color w:val="auto"/>
              </w:rPr>
            </w:pPr>
            <w:r>
              <w:rPr>
                <w:rFonts w:ascii="Times New Roman" w:cs="Times New Roman" w:eastAsia="Times New Roman" w:hAnsi="Times New Roman"/>
                <w:sz w:val="18"/>
                <w:szCs w:val="18"/>
                <w:color w:val="auto"/>
                <w:w w:val="97"/>
              </w:rPr>
              <w:t>(11%)</w:t>
            </w:r>
          </w:p>
        </w:tc>
      </w:tr>
      <w:tr>
        <w:trPr>
          <w:trHeight w:val="239"/>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21,489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2"/>
              </w:rPr>
              <w:t>21,802</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(313 )</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(1%)</w:t>
            </w:r>
          </w:p>
        </w:tc>
      </w:tr>
      <w:tr>
        <w:trPr>
          <w:trHeight w:val="247"/>
        </w:trPr>
        <w:tc>
          <w:tcPr>
            <w:tcW w:w="4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right w:val="single" w:sz="8" w:color="CFF0FC"/>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Borders>
              <w:bottom w:val="single" w:sz="8" w:color="CFF0FC"/>
            </w:tcBorders>
            <w:gridSpan w:val="2"/>
            <w:shd w:val="clear" w:color="auto" w:fill="CFF0FC"/>
          </w:tcPr>
          <w:p>
            <w:pPr>
              <w:jc w:val="center"/>
              <w:ind w:left="92"/>
              <w:spacing w:after="0"/>
              <w:rPr>
                <w:sz w:val="20"/>
                <w:szCs w:val="20"/>
                <w:color w:val="auto"/>
              </w:rPr>
            </w:pPr>
            <w:r>
              <w:rPr>
                <w:rFonts w:ascii="Times New Roman" w:cs="Times New Roman" w:eastAsia="Times New Roman" w:hAnsi="Times New Roman"/>
                <w:sz w:val="18"/>
                <w:szCs w:val="18"/>
                <w:color w:val="auto"/>
                <w:w w:val="99"/>
              </w:rPr>
              <w:t>1%</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43,902</w:t>
            </w: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2"/>
              </w:rPr>
              <w:t>43,635</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1%</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(21,798 )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(24,824 )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w:t>
            </w:r>
          </w:p>
        </w:tc>
        <w:tc>
          <w:tcPr>
            <w:tcW w:w="1020" w:type="dxa"/>
            <w:vAlign w:val="bottom"/>
            <w:gridSpan w:val="2"/>
            <w:shd w:val="clear" w:color="auto" w:fill="CFF0FC"/>
          </w:tcPr>
          <w:p>
            <w:pPr>
              <w:jc w:val="center"/>
              <w:ind w:left="72"/>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7,625</w:t>
            </w: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3,775</w:t>
            </w:r>
          </w:p>
        </w:tc>
        <w:tc>
          <w:tcPr>
            <w:tcW w:w="1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3,850</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102%</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(14,173 )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(21,049 )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6,876</w:t>
            </w:r>
          </w:p>
        </w:tc>
        <w:tc>
          <w:tcPr>
            <w:tcW w:w="1020" w:type="dxa"/>
            <w:vAlign w:val="bottom"/>
            <w:gridSpan w:val="2"/>
            <w:shd w:val="clear" w:color="auto" w:fill="CFF0FC"/>
          </w:tcPr>
          <w:p>
            <w:pPr>
              <w:jc w:val="center"/>
              <w:ind w:left="72"/>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(327 )</w:t>
            </w: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(5,200 )</w:t>
            </w:r>
          </w:p>
        </w:tc>
        <w:tc>
          <w:tcPr>
            <w:tcW w:w="1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4,873</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94%</w:t>
            </w:r>
          </w:p>
        </w:tc>
      </w:tr>
      <w:tr>
        <w:trPr>
          <w:trHeight w:val="23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consolidated operations</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(13,846 )</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(15,849 )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2,003</w:t>
            </w:r>
          </w:p>
        </w:tc>
        <w:tc>
          <w:tcPr>
            <w:tcW w:w="1020" w:type="dxa"/>
            <w:vAlign w:val="bottom"/>
            <w:gridSpan w:val="2"/>
            <w:shd w:val="clear" w:color="auto" w:fill="CFF0FC"/>
          </w:tcPr>
          <w:p>
            <w:pPr>
              <w:jc w:val="center"/>
              <w:ind w:left="72"/>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10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(25%)</w:t>
            </w:r>
          </w:p>
        </w:tc>
      </w:tr>
      <w:tr>
        <w:trPr>
          <w:trHeight w:val="27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Fulgent</w:t>
            </w:r>
          </w:p>
        </w:tc>
        <w:tc>
          <w:tcPr>
            <w:tcW w:w="86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(13,462 )</w:t>
            </w:r>
          </w:p>
        </w:tc>
        <w:tc>
          <w:tcPr>
            <w:tcW w:w="6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(15,340 )</w:t>
            </w:r>
          </w:p>
        </w:tc>
        <w:tc>
          <w:tcPr>
            <w:tcW w:w="102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4"/>
                <w:szCs w:val="24"/>
                <w:color w:val="auto"/>
              </w:rPr>
            </w:pP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1,878</w:t>
            </w:r>
          </w:p>
        </w:tc>
        <w:tc>
          <w:tcPr>
            <w:tcW w:w="1020" w:type="dxa"/>
            <w:vAlign w:val="bottom"/>
            <w:gridSpan w:val="2"/>
            <w:shd w:val="clear" w:color="auto" w:fill="CFF0FC"/>
          </w:tcPr>
          <w:p>
            <w:pPr>
              <w:jc w:val="center"/>
              <w:ind w:left="72"/>
              <w:spacing w:after="0"/>
              <w:rPr>
                <w:sz w:val="20"/>
                <w:szCs w:val="20"/>
                <w:color w:val="auto"/>
              </w:rPr>
            </w:pPr>
            <w:r>
              <w:rPr>
                <w:rFonts w:ascii="Times New Roman" w:cs="Times New Roman" w:eastAsia="Times New Roman" w:hAnsi="Times New Roman"/>
                <w:sz w:val="18"/>
                <w:szCs w:val="18"/>
                <w:color w:val="auto"/>
              </w:rPr>
              <w:t>12%</w:t>
            </w:r>
          </w:p>
        </w:tc>
      </w:tr>
      <w:tr>
        <w:trPr>
          <w:trHeight w:val="520"/>
        </w:trPr>
        <w:tc>
          <w:tcPr>
            <w:tcW w:w="48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60" w:type="dxa"/>
            <w:vAlign w:val="bottom"/>
            <w:tcBorders>
              <w:top w:val="single" w:sz="8" w:color="CFF0FC"/>
            </w:tcBorders>
          </w:tcPr>
          <w:p>
            <w:pPr>
              <w:spacing w:after="0"/>
              <w:rPr>
                <w:sz w:val="24"/>
                <w:szCs w:val="24"/>
                <w:color w:val="auto"/>
              </w:rPr>
            </w:pPr>
          </w:p>
        </w:tc>
      </w:tr>
      <w:tr>
        <w:trPr>
          <w:trHeight w:val="445"/>
        </w:trPr>
        <w:tc>
          <w:tcPr>
            <w:tcW w:w="4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23"/>
        </w:trPr>
        <w:tc>
          <w:tcPr>
            <w:tcW w:w="48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Data:</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Precision diagnostics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37,446</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color w:val="auto"/>
                <w:w w:val="96"/>
              </w:rPr>
              <w:t>34%</w:t>
            </w: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Anatomic pathology</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(3,304 )</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center"/>
              <w:ind w:right="388"/>
              <w:spacing w:after="0"/>
              <w:rPr>
                <w:sz w:val="20"/>
                <w:szCs w:val="20"/>
                <w:color w:val="auto"/>
              </w:rPr>
            </w:pPr>
            <w:r>
              <w:rPr>
                <w:rFonts w:ascii="Times New Roman" w:cs="Times New Roman" w:eastAsia="Times New Roman" w:hAnsi="Times New Roman"/>
                <w:sz w:val="18"/>
                <w:szCs w:val="18"/>
                <w:color w:val="auto"/>
                <w:w w:val="97"/>
              </w:rPr>
              <w:t>(13)%</w:t>
            </w: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BioPharma services</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(5,764 )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color w:val="auto"/>
                <w:w w:val="97"/>
              </w:rPr>
              <w:t>(68)%</w:t>
            </w: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COVID-19</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(2,156 )</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center"/>
              <w:ind w:right="388"/>
              <w:spacing w:after="0"/>
              <w:rPr>
                <w:sz w:val="20"/>
                <w:szCs w:val="20"/>
                <w:color w:val="auto"/>
              </w:rPr>
            </w:pPr>
            <w:r>
              <w:rPr>
                <w:rFonts w:ascii="Times New Roman" w:cs="Times New Roman" w:eastAsia="Times New Roman" w:hAnsi="Times New Roman"/>
                <w:sz w:val="18"/>
                <w:szCs w:val="18"/>
                <w:color w:val="auto"/>
                <w:w w:val="97"/>
              </w:rPr>
              <w:t>(63)%</w:t>
            </w:r>
          </w:p>
        </w:tc>
      </w:tr>
      <w:tr>
        <w:trPr>
          <w:trHeight w:val="20"/>
        </w:trPr>
        <w:tc>
          <w:tcPr>
            <w:tcW w:w="4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66,168</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(1,683 )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center"/>
              <w:ind w:right="388"/>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4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-4148455</wp:posOffset>
            </wp:positionV>
            <wp:extent cx="1028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-4148455</wp:posOffset>
            </wp:positionV>
            <wp:extent cx="1028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-3205480</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-3205480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-1927860</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-1910715</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-1927860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-1910715</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-187960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Revenue decreased $1.7 million, or 3%, from $66.2 million in the three months ended March 31, 2023 to $64.5 million in the three months ended March 31, 2024. The decrease in revenue between periods was primarily due to decreased revenue from BioPharma services, anatomic pathology, and COVID-19 testing, and partially offset by an increase in our precision diagnostic testing services.</w:t>
      </w:r>
    </w:p>
    <w:p>
      <w:pPr>
        <w:spacing w:after="0" w:line="17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decrease in BioPharma services was attributed to timing of BioPharma service projects. The decrease in anatomic pathology services was due to weather issues and changes in reimbursement rates in the three months ended March 31, 2024. The decrease in COVID-19 revenue was due to ceased COVID-19 testing operations at the end of March 2023. For the three months ended March 31, 2024, precision diagnostics accounted for 58% of our consolidated revenue and increased $9.5 million compared to the three months ended March 31, 2023. The increase in precision diagnostics revenue was due to a growth in our reproductive health services, including our expanded Beacon787 testing, which launched in late February 2023, and growth in our specialized oncology tests and testing services.</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believe the factors that will affect our ability to grow these revenue streams are 1) the average price point we offer and the reimbursement rate from third-party payors; 2) the concentration of our payor base; 3) the competitive advantage we have due to our broad and flexible test menu, detection rate, and turnaround times; and 4) growth in size of an addressable market. Estimated collection amounts from third-party payors are subject to the complexities and ambiguities of billing, reimbursement regulations and claims processing, as well as considerations unique to Medicare and Medicaid programs. Because our proprietary technology platform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right="60"/>
        <w:spacing w:after="0" w:line="282" w:lineRule="auto"/>
        <w:rPr>
          <w:sz w:val="20"/>
          <w:szCs w:val="20"/>
          <w:color w:val="auto"/>
        </w:rPr>
      </w:pPr>
      <w:r>
        <w:rPr>
          <w:rFonts w:ascii="Times New Roman" w:cs="Times New Roman" w:eastAsia="Times New Roman" w:hAnsi="Times New Roman"/>
          <w:sz w:val="18"/>
          <w:szCs w:val="18"/>
          <w:color w:val="auto"/>
        </w:rPr>
        <w:t>allows for rapid scaling of a broad, flexible testing menu, we can offer our customers more scalable and affordable testing. Going forward, we will strive to maintain this competitive advantage and emphasize this in our marketing efforts to grow our testing revenue.</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customer base includes insurance, institutional, and individual payors. In some periods, our revenue is concentrated on a smaller number of customers. For the laboratory services business, aggregating customers that are under common control, one customer comprised $12.6 million or 20% of our revenue in the three months ended March 31, 2024. No customer contributed 10% or more of the Company’s revenue in the three months ended March 31, 2023. To reduce this revenue risk, we will focus on increasing the number of customers and thereby reducing the concentration.</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Revenue from non-U.S. sources increased $2.5 million, or 62%, from $4.1 million in the three months ended March 31, 2023 to $6.6 million in the three months ended March 31, 2024. The increase in revenue from non-U.S. sources between periods were primarily due to increased sales of our traditional genetic testing services to customers in China through Fujian Fujun Gene Biotech Co., Ltd., or FF Gene Biotech.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48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48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9"/>
                <w:szCs w:val="19"/>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80" w:type="dxa"/>
            <w:vAlign w:val="bottom"/>
          </w:tcPr>
          <w:p>
            <w:pPr>
              <w:spacing w:after="0"/>
              <w:rPr>
                <w:sz w:val="20"/>
                <w:szCs w:val="20"/>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42,381</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(4,976 )</w:t>
            </w:r>
          </w:p>
        </w:tc>
        <w:tc>
          <w:tcPr>
            <w:tcW w:w="1480" w:type="dxa"/>
            <w:vAlign w:val="bottom"/>
            <w:shd w:val="clear" w:color="auto" w:fill="CFF0FC"/>
          </w:tcPr>
          <w:p>
            <w:pPr>
              <w:jc w:val="right"/>
              <w:ind w:right="442"/>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as a % of revenue</w:t>
            </w:r>
          </w:p>
        </w:tc>
        <w:tc>
          <w:tcPr>
            <w:tcW w:w="86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65.7 %</w:t>
            </w:r>
          </w:p>
        </w:tc>
        <w:tc>
          <w:tcPr>
            <w:tcW w:w="84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71.6 %</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10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consolidated cost of revenue decreased $5.0 million, or 11%, from $47.4 million in the three months ended March 31, 2023 to $42.4 million in the three months ended March 31, 2024. The decrease was primarily due to decreases of $2.1 million consulting and outside labor costs, $921,000 in personnel costs including equity-based compensation, $615,000 in facility expenses, $591,000 in shipping and handling expenses, and $575,000 in reagents and supply expenses related to cessation of COVID-19 testing operations and closure of a laboratory.</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consolidated cost of revenues as a percentage of revenue decreased from 71.6% to 65.7%. Our gross profit increased $3.3 million, from $18.8 million in the three months ended March 31, 2023 to $22.1 million in the three months ended March 31, 2024. Our gross profit as a percentage of revenue, or gross margin, increased from 28.4% to 34.3%. The changes were primarily due to product mix.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3"/>
        </w:trPr>
        <w:tc>
          <w:tcPr>
            <w:tcW w:w="48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3"/>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Laboratory services</w:t>
            </w: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1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Therapeutic development</w:t>
            </w:r>
          </w:p>
        </w:tc>
        <w:tc>
          <w:tcPr>
            <w:tcW w:w="8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1,640</w:t>
            </w:r>
          </w:p>
        </w:tc>
        <w:tc>
          <w:tcPr>
            <w:tcW w:w="17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66%</w:t>
            </w:r>
          </w:p>
        </w:tc>
      </w:tr>
      <w:tr>
        <w:trPr>
          <w:trHeight w:val="277"/>
        </w:trPr>
        <w:tc>
          <w:tcPr>
            <w:tcW w:w="484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1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1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1,652</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17%</w:t>
            </w:r>
          </w:p>
        </w:tc>
      </w:tr>
      <w:tr>
        <w:trPr>
          <w:trHeight w:val="629"/>
        </w:trPr>
        <w:tc>
          <w:tcPr>
            <w:tcW w:w="484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spacing w:after="0"/>
              <w:rPr>
                <w:sz w:val="24"/>
                <w:szCs w:val="24"/>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-933450</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-916305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-933450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-916305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-916305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for the laboratory services business were mainly for developing our technology and future testing and testing services. The expenses were flat for the three months ended March 31, 2024 and 2023.</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therapeutic development business were primarily related to the development of FID-007. The expenses increased $1.6 million, or 66%, from $2.5 million in the three months ended March 31, 2023 to $4.1 million in the three months ended March 31, 2024. The change was primarily due to increased expenses related to a drug study with our contract research organizations. We anticipate research and development expenditures for this segment to increase as we expect to begin enrollment for a phase 2 study of FID-007 in the second quarter of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selling and marketing expenses decreased $1.1 million, or 11%, from $10.1 million in the three months ended March 31, 2023 to $9.0 million in the three months ended March 31, 2024. The decrease was primarily due to decreases of $607,000 in consulting and outside labor costs related to cessation of COVID-19 testing operations and $482,000 in facility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consolidated general and administrative expenses decreased $313,000, or 1%, from $21.8 million in the three months ended March 31, 2023 to $21.5 million in the three months ended March 31, 2024 due to decreases of $2.4 million in provisions for credit losses and $881,000 in business insurance expense, partially offset by increases of $2.4 million in personnel costs including equity-based compensation expense and $708,000 in facility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represents amortization expenses on the intangible assets arose from the business combinations in 2022 and 2021 and a patent purchased in 2021. Amortization expenses were $2.0 million for each of the three months ended March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Interest and other income, net, is primarily comprised of interest income, net, which was $7.6 million and $3.8 million in the three months ended March 31, 2024 and 2023, respectively. This interest income, net, related to interest earned on various investments in marketable securities including realized gain or loss on sale of marketable securities, net of interest expenses incurred for our notes payable. The increase in interest income, net, was primarily due to increased interest rates on marketable securities relative to the prior comparative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from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Benefit from income taxes was $327,000 and $5.2 million for the three months ended March 31, 2024 and 2023, respectively. The effective tax rate was 2% and 25% for the three months ended March 31, 2024 and 2023, respectively. The change in the effective tax rate compared to prior period is due to the valuation allowance in the current period that precludes us from recognizing the benefit from our net operating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net loss attributable to the minority shareholders from entities not wholly owned.</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Sources of Cash</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had $846.2 million and $847.7 million in cash, cash equivalents, and marketable securities as of March 31, 2024 and December 31, 2023, respectively. Our marketable securities primarily consist of U.S. government and U.S. agency debt securities, U.S. treasury bills, corporate bonds, municipal bonds, and Yankee debt securities as of March 31, 2024 and December 31, 2023.</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our operations, repurchase our stock, and to fund strategic acquisitions as we continue to invest in and seek to grow our business. Cash used to fund operating expenses is impacted by the timing of our expense payments, as reflected in the changes in our outstanding accounts payable and accrued expenses.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0" w:name="page31"/>
    <w:bookmarkEnd w:id="30"/>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our existing cash, cash equivalent, and short-term marketable securities will be sufficient to meet our anticipated cash requirements for at least the next 12 months. Cash provided by operations has significantly contributed to our ability to meet our liquidity needs, including paying for capital expenditures; however, cash provided by our operations has in the past experienced fluctuations from period to period, which we expect may continue in the future. These fluctuations can occur because of a variety of factors, including, among others, factors relating to the demand for our tests, the amount and timing of sales,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indicated: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r>
      <w:tr>
        <w:trPr>
          <w:trHeight w:val="236"/>
        </w:trPr>
        <w:tc>
          <w:tcPr>
            <w:tcW w:w="6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60" w:type="dxa"/>
            <w:vAlign w:val="bottom"/>
            <w:shd w:val="clear" w:color="auto" w:fill="CFF0FC"/>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(7,907 )</w:t>
            </w: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(47,186 )</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(4,354 )</w:t>
            </w:r>
          </w:p>
        </w:tc>
      </w:tr>
      <w:tr>
        <w:trPr>
          <w:trHeight w:val="247"/>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shd w:val="clear" w:color="auto" w:fill="CFF0FC"/>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(2,807 )</w:t>
            </w:r>
          </w:p>
        </w:tc>
        <w:tc>
          <w:tcPr>
            <w:tcW w:w="84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(1,101 )</w:t>
            </w: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our operations provided $7.3 million of cash, as compared to $7.9 million used in the three months ended March 31, 2023. The increase in cash provided from operating activities in the three months ended March 31, 2024, as compared with the corresponding period in 2023 was primarily due to the timing of cash receipts from customers and cash payments for operating expenses. We expect to incur more operating expenses and use more cash in operating activities in the coming year as a result of our planned and ongoing clinical trials for FID-007 and as we continue to invest resources to grow our laboratory services business.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cash provided by or used in investing activities are impacted by capital expenditures for operation needs and timing of payments, timing of maturities of marketable securities, and discretionary business combinations and other investment.</w:t>
      </w:r>
    </w:p>
    <w:p>
      <w:pPr>
        <w:spacing w:after="0" w:line="162"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2024, was $47.2 million, which primarily related to $195.7 million on purchase of marketable securities and $4.1 million on purchases of fixed assets, partially offset by $95.5 million related to maturities of marketable securities and $56.9 million on proceeds from the sale of marketable securities.</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2023, was $4.4 million, which primarily related to $143.9 million on purchase of marketable securities and $2.0 million on purchases of fixed assets, partially offset by $141.4 million related to maturities of marketable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2024, was $2.8 million, which primarily related to $1.7 million common stock withholding for employee tax obligations and $765,000 for repayment of notes payable.</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2023, was $1.1 million, which primarily related to $869,000 common stock withholding for employee tax obligations.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expect to use any credit facilities for the foreseeable future due to the strong cash position as of March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March 2022, our Board of Directors authorized a $250.0 million stock repurchase program. The stock repurchase program has no expiration from the date of authorization. Under the stock repurchase program, we may repurchase shares from time to time in the open market or in privately negotiated transactions.</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repurchased 10,000 shares of our common stock under our stock repurchase program at an aggregate cost of $225,000 under the stock repurchase program. We did not repurchase any common stock under our stock repurchase program during the three months ended March 31, 2023. As of March 31, 2024, a total of approximately $150.5 million remained available for future repurchases of our common stock under our stock repurchase program.</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1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estimates from the information provided in Part II, Item 7, “Management’s Discussion and Analysis of Financial Condition and Results of Operations,” included in the 2023 Annual Report.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 included in this report for information about recent accounting pronouncements.</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494"/>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our 2023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March 31, 2024. Based on this evaluation, our Chief Executive Officer and Chief Financial Officer concluded that our disclosure controls and procedures were effective as of March 31,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(as required by Rule 13a-15(b) under the Exchange Act) over the financial reporting during the three months ended March 31, 2024 that have materially affected or are reasonably likely to materially affect our internal control over financial reporting.</w:t>
      </w: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Inherent Limitations on Disclosure Controls and Procedures and Internal Control over Financial Reporting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right="700" w:firstLine="509"/>
        <w:spacing w:after="0" w:line="290" w:lineRule="auto"/>
        <w:rPr>
          <w:sz w:val="20"/>
          <w:szCs w:val="20"/>
          <w:color w:val="auto"/>
        </w:rPr>
      </w:pPr>
      <w:r>
        <w:rPr>
          <w:rFonts w:ascii="Times New Roman" w:cs="Times New Roman" w:eastAsia="Times New Roman" w:hAnsi="Times New Roman"/>
          <w:sz w:val="17"/>
          <w:szCs w:val="17"/>
          <w:color w:val="auto"/>
        </w:rPr>
        <w:t xml:space="preserve">From time to time, we may be involved in legal proceedings arising in the ordinary course of our business. As disclosed in Note 8,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to the Condensed Consolidated Financial Statements, we are engaged in certain legal investigations, audits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voluntary disclosures processes, and the disclosure set forth in Note 8 relating to these certain legal matters is incorporated herein by reference.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outcome of litigation is inherently uncertain, and there can be no assurances that favorable outcomes will be obtained.</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Regardless of outcome, litigation can have an adverse impact on us due to defense and settlement costs, diversion of management resources, negative publicity, and reputational harm, among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set forth in Part I, Item 1A, “Risk Factors,” of the 2023 Annual Report.</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Any changes in laws, regulations, or the enforcement discretion of the FDA with respect to the marketing of diagnostic products, or violations of laws or regulations by us, could materially and adversely affect our business, prospects, results of operations, or financial condition.</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have no significant regulatory or judicial interpretations of these laws and regulations. Pursuant to its authority under the federal FDC Act, the FDA has jurisdiction over medical devices, including IVDs,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the FDA has statutory authority to assure that medical devices and IVDs, potentially including our tests, are safe and effective for their intended uses, the FDA had historically exercised enforcement discretion and not enforced applicable provisions of the FDC Act and regulations with respect to LDTs, which are a particular type of medical device. We believe our tests are not currently subject to the FDA’s medical device regulations and the applicable FDC Act provisions due to their status as LDTs. However, in October 2023, the FDA issued a proposed rule aimed at regulating LDTs under the current medical device framework and proposing to phase out its existing enforcement discretion policy for this category of diagnostic tests. The agency’s final rule was released to the public on April 29, 2024 and will be officially published in the Federal Register on May 6, 2024, with an effective date of July 5, 2024.</w:t>
      </w:r>
    </w:p>
    <w:p>
      <w:pPr>
        <w:spacing w:after="0" w:line="189"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4-year mark, although FDA has stated that if premarket submissions are pending review it will continue to exercise enforcement discretion with respect to those tests. . Litigation challenging the agency’s authority to take adopt this final rule is highly likely, although the outcome of such litigation is uncertain. Litigation challenging the final rule may also have an impact on FDA’s plans to implement these new LDT requirements, making the potential implementation timeline somewhat uncertain. Affected stakeholders continue to press for a comprehensive legislative solution to create a harmonized paradigm for oversight of LDTs by both the FDA and CMS, instead of implementation of the FDA’s final rule, which may be disruptive to the industry and to patient access to certain diagnostic tests.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Separately, members of Congress have been working with stakeholders for several years on a possible bill to reform the regulation of in vitro clinical tests including LDTs. For example, as drafted and re-introduced for consideration by the current Congress, the Verifying Accurate, Leading-edge IVCT Development Act, or the VALID Act, has been garnering bipartisan and bicameral support. The VALID Act would codify into law the term “in vitro clinical test”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 Most recently, on March 21, 2024, the House Energy and Commerce held a subcommittee hearing titled “Evaluating Approaches to Diagnostic Test Regulation and the Impact of the FDA’s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4" w:name="page35"/>
    <w:bookmarkEnd w:id="34"/>
    <w:p>
      <w:pPr>
        <w:ind w:right="160"/>
        <w:spacing w:after="0" w:line="282" w:lineRule="auto"/>
        <w:rPr>
          <w:sz w:val="20"/>
          <w:szCs w:val="20"/>
          <w:color w:val="auto"/>
        </w:rPr>
      </w:pPr>
      <w:r>
        <w:rPr>
          <w:rFonts w:ascii="Times New Roman" w:cs="Times New Roman" w:eastAsia="Times New Roman" w:hAnsi="Times New Roman"/>
          <w:sz w:val="18"/>
          <w:szCs w:val="18"/>
          <w:color w:val="auto"/>
        </w:rPr>
        <w:t>Proposed Rule.” The private witnesses testifying at the hearing expressed broad support for the bipartisan VALID Act instead of the FDA’s plan to use its medical device authorities to regulate LDTs.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It is unclear whether Congress will take action, through the VALID Act or otherwise, to supersede FDA’s recent final rule with comprehensive diagnostic reform legislation, or whether such legislation would be signed into law by President Biden. In addition, at this time it is unclear what testing and data may be required to support any required FDA clearance or approval of our tests, should the final rule be fully implemented as envisioned by FDA and HHS.</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If FDA implements the LDT final rule or Congress enacts comprehensive legislation to regulate in vitro diagnostics, or if the FDA disagrees with our assessment that our tests meet the criteria to be marketed LDTs, we could, for the first time, be subject to enforcement of a variety of regulatory requirements, including registration and listing, medical device reporting and quality control, and we could be required to obtain premarket clearance 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9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To date, we have used $146.7 million of the net proceeds from sales of our common stock, of which, $4.5 million was used for contributions to FF Gene Biotech prior to the FF Gene Biotech Acquisition, $126.4 million was used to fund the Company’s operations and a business combination, and $15.8 million was used to pay off the investment margin loan. All other net proceeds from sales of our common stock are invested in investment-grade and interest-bearing securities, such as U.S. government and U.S. agency debt securities, corporate bonds, and municipal bonds. There has been no material change in the planned use of proceeds from the sales of our common stock from that described in the Prospectus.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repurchased by the Company under the stock repurchase program and the average price paid per share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60" w:type="dxa"/>
            <w:vAlign w:val="bottom"/>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 Maximum Dollar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2"/>
                <w:szCs w:val="12"/>
                <w:color w:val="auto"/>
              </w:rPr>
            </w:pPr>
          </w:p>
        </w:tc>
        <w:tc>
          <w:tcPr>
            <w:tcW w:w="14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 Yet</w:t>
            </w:r>
          </w:p>
        </w:tc>
        <w:tc>
          <w:tcPr>
            <w:tcW w:w="0" w:type="dxa"/>
            <w:vAlign w:val="bottom"/>
          </w:tcPr>
          <w:p>
            <w:pPr>
              <w:spacing w:after="0"/>
              <w:rPr>
                <w:sz w:val="1"/>
                <w:szCs w:val="1"/>
                <w:color w:val="auto"/>
              </w:rPr>
            </w:pPr>
          </w:p>
        </w:tc>
      </w:tr>
      <w:tr>
        <w:trPr>
          <w:trHeight w:val="68"/>
        </w:trPr>
        <w:tc>
          <w:tcPr>
            <w:tcW w:w="4740" w:type="dxa"/>
            <w:vAlign w:val="bottom"/>
            <w:vMerge w:val="restart"/>
          </w:tcPr>
          <w:p>
            <w:pPr>
              <w:ind w:left="21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5"/>
                <w:szCs w:val="5"/>
                <w:color w:val="auto"/>
              </w:rPr>
            </w:pPr>
          </w:p>
        </w:tc>
        <w:tc>
          <w:tcPr>
            <w:tcW w:w="14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81"/>
        </w:trPr>
        <w:tc>
          <w:tcPr>
            <w:tcW w:w="4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Paid Per Share (1)</w:t>
            </w:r>
          </w:p>
        </w:tc>
        <w:tc>
          <w:tcPr>
            <w:tcW w:w="2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4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 2022 (5/1/2022 - 5/31/2022)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248,515,000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2022 (6/1/2022 - 6/30/2022)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239,429,000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2022 (8/1/2022 - 8/31/2022)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227,657,000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2022 (9/1/2022 - 9/30/2022)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204,752,000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2022 (10/1/2022 - 10/31/2022)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195,661,000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2022 (11/1/2022 - 11/30/2022)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187,276,000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2022 (12/1/2022 - 12/31/2022)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175,718,000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2023 (9/1/2023-9/30/2023)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173,522,000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2023 (10/1/2023-10/31/2023)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159,864,000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 (11/1/2023-11/30/2023)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2023 (12/1/2023-12/31/2023)</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150,686,000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2024 (3/1/2024-3/31/2024)</w:t>
            </w:r>
          </w:p>
        </w:tc>
        <w:tc>
          <w:tcPr>
            <w:tcW w:w="1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2,773,000</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2,773,000</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Includes commissions for the shares repurchased under the stock repurchase program.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officers adopted or terminated “Rule 10b5-1 trading arrangement” or “non-Rule 10b5-1 trading arrangement,”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6 is set forth on the Exhibit Index that immediately precedes the signature page to this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71"/>
        </w:trPr>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ind w:left="230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69"/>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7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040" w:type="dxa"/>
            <w:vAlign w:val="bottom"/>
            <w:gridSpan w:val="9"/>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5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Certificate of Amendment to Certificate of Incorporation of the registrant, dated August 2, 2016.</w:t>
              </w:r>
            </w:hyperlink>
          </w:p>
        </w:tc>
        <w:tc>
          <w:tcPr>
            <w:tcW w:w="280" w:type="dxa"/>
            <w:vAlign w:val="bottom"/>
            <w:gridSpan w:val="4"/>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4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Certificate of Amendment to Certificate of Incorporation of the registrant, dated May 17, 2017.</w:t>
              </w:r>
            </w:hyperlink>
          </w:p>
        </w:tc>
        <w:tc>
          <w:tcPr>
            <w:tcW w:w="360" w:type="dxa"/>
            <w:vAlign w:val="bottom"/>
            <w:gridSpan w:val="6"/>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27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Amended and Restated Bylaws of the registrant.</w:t>
              </w:r>
            </w:hyperlink>
          </w:p>
        </w:tc>
        <w:tc>
          <w:tcPr>
            <w:tcW w:w="20" w:type="dxa"/>
            <w:vAlign w:val="bottom"/>
            <w:tcBorders>
              <w:bottom w:val="single" w:sz="8" w:color="0000EE"/>
            </w:tcBorders>
          </w:tcPr>
          <w:p>
            <w:pPr>
              <w:spacing w:after="0"/>
              <w:rPr>
                <w:sz w:val="24"/>
                <w:szCs w:val="24"/>
                <w:color w:val="auto"/>
              </w:rPr>
            </w:pPr>
          </w:p>
        </w:tc>
        <w:tc>
          <w:tcPr>
            <w:tcW w:w="3040" w:type="dxa"/>
            <w:vAlign w:val="bottom"/>
            <w:gridSpan w:val="11"/>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w:t>
            </w:r>
          </w:p>
        </w:tc>
      </w:tr>
      <w:tr>
        <w:trPr>
          <w:trHeight w:val="128"/>
        </w:trPr>
        <w:tc>
          <w:tcPr>
            <w:tcW w:w="940" w:type="dxa"/>
            <w:vAlign w:val="bottom"/>
          </w:tcPr>
          <w:p>
            <w:pPr>
              <w:spacing w:after="0"/>
              <w:rPr>
                <w:sz w:val="11"/>
                <w:szCs w:val="11"/>
                <w:color w:val="auto"/>
              </w:rPr>
            </w:pPr>
          </w:p>
        </w:tc>
        <w:tc>
          <w:tcPr>
            <w:tcW w:w="55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260" w:type="dxa"/>
            <w:vAlign w:val="bottom"/>
            <w:gridSpan w:val="3"/>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w w:val="85"/>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w:t>
            </w: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w:t>
            </w:r>
          </w:p>
        </w:tc>
        <w:tc>
          <w:tcPr>
            <w:tcW w:w="300" w:type="dxa"/>
            <w:vAlign w:val="bottom"/>
            <w:gridSpan w:val="5"/>
          </w:tcPr>
          <w:p>
            <w:pPr>
              <w:jc w:val="right"/>
              <w:ind w:right="140"/>
              <w:spacing w:after="0" w:line="129" w:lineRule="exact"/>
              <w:rPr>
                <w:sz w:val="20"/>
                <w:szCs w:val="20"/>
                <w:color w:val="auto"/>
              </w:rPr>
            </w:pPr>
            <w:r>
              <w:rPr>
                <w:rFonts w:ascii="Times New Roman" w:cs="Times New Roman" w:eastAsia="Times New Roman" w:hAnsi="Times New Roman"/>
                <w:sz w:val="14"/>
                <w:szCs w:val="14"/>
                <w:color w:val="0000FF"/>
              </w:rPr>
              <w:t>of</w:t>
            </w: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top w:val="single" w:sz="8" w:color="0000FF"/>
              <w:bottom w:val="single" w:sz="8" w:color="0000EE"/>
            </w:tcBorders>
          </w:tcPr>
          <w:p>
            <w:pPr>
              <w:spacing w:after="0"/>
              <w:rPr>
                <w:sz w:val="11"/>
                <w:szCs w:val="11"/>
                <w:color w:val="auto"/>
              </w:rPr>
            </w:pPr>
          </w:p>
        </w:tc>
        <w:tc>
          <w:tcPr>
            <w:tcW w:w="24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r>
      <w:tr>
        <w:trPr>
          <w:trHeight w:val="30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w:t>
            </w:r>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680" w:type="dxa"/>
            <w:vAlign w:val="bottom"/>
            <w:tcBorders>
              <w:top w:val="single" w:sz="8" w:color="0000FF"/>
            </w:tcBorders>
            <w:gridSpan w:val="5"/>
          </w:tcPr>
          <w:p>
            <w:pPr>
              <w:spacing w:after="0"/>
              <w:rPr>
                <w:sz w:val="11"/>
                <w:szCs w:val="11"/>
                <w:color w:val="auto"/>
              </w:rPr>
            </w:pPr>
          </w:p>
        </w:tc>
        <w:tc>
          <w:tcPr>
            <w:tcW w:w="220" w:type="dxa"/>
            <w:vAlign w:val="bottom"/>
            <w:gridSpan w:val="2"/>
          </w:tcPr>
          <w:p>
            <w:pPr>
              <w:spacing w:after="0"/>
              <w:rPr>
                <w:sz w:val="11"/>
                <w:szCs w:val="11"/>
                <w:color w:val="auto"/>
              </w:rPr>
            </w:pPr>
          </w:p>
        </w:tc>
      </w:tr>
      <w:tr>
        <w:trPr>
          <w:trHeight w:val="295"/>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w:t>
            </w:r>
          </w:p>
        </w:tc>
      </w:tr>
      <w:tr>
        <w:trPr>
          <w:trHeight w:val="188"/>
        </w:trPr>
        <w:tc>
          <w:tcPr>
            <w:tcW w:w="940" w:type="dxa"/>
            <w:vAlign w:val="bottom"/>
          </w:tcPr>
          <w:p>
            <w:pPr>
              <w:spacing w:after="0"/>
              <w:rPr>
                <w:sz w:val="16"/>
                <w:szCs w:val="16"/>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because XBRL tags are embedded within the Inline XBRL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36" w:lineRule="exact"/>
        <w:rPr>
          <w:sz w:val="20"/>
          <w:szCs w:val="20"/>
          <w:color w:val="auto"/>
        </w:rPr>
      </w:pPr>
    </w:p>
    <w:p>
      <w:pPr>
        <w:ind w:left="-20" w:right="1220" w:firstLine="21"/>
        <w:spacing w:after="0" w:line="543" w:lineRule="auto"/>
        <w:tabs>
          <w:tab w:leader="none" w:pos="925"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11912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48"/>
        </w:trPr>
        <w:tc>
          <w:tcPr>
            <w:tcW w:w="11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Filed with this</w:t>
            </w:r>
          </w:p>
        </w:tc>
        <w:tc>
          <w:tcPr>
            <w:tcW w:w="60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Form No.</w:t>
            </w:r>
          </w:p>
        </w:tc>
        <w:tc>
          <w:tcPr>
            <w:tcW w:w="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Date Filed</w:t>
            </w:r>
          </w:p>
        </w:tc>
      </w:tr>
      <w:tr>
        <w:trPr>
          <w:trHeight w:val="190"/>
        </w:trPr>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51"/>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24"/>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24"/>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8/14/2017</w:t>
            </w:r>
          </w:p>
        </w:tc>
      </w:tr>
      <w:tr>
        <w:trPr>
          <w:trHeight w:val="324"/>
        </w:trPr>
        <w:tc>
          <w:tcPr>
            <w:tcW w:w="110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10-Q</w:t>
            </w:r>
          </w:p>
        </w:tc>
        <w:tc>
          <w:tcPr>
            <w:tcW w:w="14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001-37894</w:t>
            </w:r>
          </w:p>
        </w:tc>
        <w:tc>
          <w:tcPr>
            <w:tcW w:w="84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8/4/2023</w:t>
            </w:r>
          </w:p>
        </w:tc>
      </w:tr>
    </w:tbl>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780" w:space="380"/>
            <w:col w:w="3940"/>
          </w:cols>
          <w:pgMar w:left="340" w:top="981"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6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FULGENT GENETICS, INC.</w:t>
            </w:r>
          </w:p>
        </w:tc>
      </w:tr>
      <w:tr>
        <w:trPr>
          <w:trHeight w:val="47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30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ing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sieh</w:t>
            </w:r>
          </w:p>
        </w:tc>
      </w:tr>
      <w:tr>
        <w:trPr>
          <w:trHeight w:val="205"/>
        </w:trPr>
        <w:tc>
          <w:tcPr>
            <w:tcW w:w="4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Ming Hsieh</w:t>
            </w:r>
          </w:p>
        </w:tc>
      </w:tr>
      <w:tr>
        <w:trPr>
          <w:trHeight w:val="214"/>
        </w:trPr>
        <w:tc>
          <w:tcPr>
            <w:tcW w:w="4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72"/>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30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aul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im</w:t>
            </w:r>
          </w:p>
        </w:tc>
      </w:tr>
      <w:tr>
        <w:trPr>
          <w:trHeight w:val="205"/>
        </w:trPr>
        <w:tc>
          <w:tcPr>
            <w:tcW w:w="40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Paul Kim</w:t>
            </w:r>
          </w:p>
        </w:tc>
      </w:tr>
      <w:tr>
        <w:trPr>
          <w:trHeight w:val="234"/>
        </w:trPr>
        <w:tc>
          <w:tcPr>
            <w:tcW w:w="40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Ming Hsieh, certify that:</w:t>
      </w:r>
    </w:p>
    <w:p>
      <w:pPr>
        <w:spacing w:after="0" w:line="225"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62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Ming Hsieh</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Kim,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2024 of Fulgent Genetics,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60" w:val="left"/>
          <w:tab w:leader="none" w:pos="87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Paul Kim</w:t>
      </w:r>
    </w:p>
    <w:p>
      <w:pPr>
        <w:spacing w:after="0" w:line="32"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quarterly period ended March 31, 2024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0"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5680" w:val="left"/>
          <w:tab w:leader="none" w:pos="808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Ming Hsieh</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20"/>
        <w:spacing w:after="0"/>
        <w:tabs>
          <w:tab w:leader="none" w:pos="5680" w:val="left"/>
          <w:tab w:leader="none" w:pos="816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Paul Kim</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lvl w:ilvl="1">
      <w:lvlJc w:val="left"/>
      <w:lvlText w:val="%2"/>
      <w:numFmt w:val="decimal"/>
      <w:start w:val="104"/>
    </w:lvl>
  </w:abstractNum>
  <w:abstractNum w:abstractNumId="5">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65" Type="http://schemas.openxmlformats.org/officeDocument/2006/relationships/hyperlink" Target="https://www.sec.gov/Archives/edgar/data/1674930/000119312516700733/d360404dex31.htm" TargetMode="External"/><Relationship Id="rId266" Type="http://schemas.openxmlformats.org/officeDocument/2006/relationships/hyperlink" Target="https://www.sec.gov/Archives/edgar/data/1674930/000119312516700733/d360404dex311.htm" TargetMode="External"/><Relationship Id="rId267" Type="http://schemas.openxmlformats.org/officeDocument/2006/relationships/hyperlink" Target="https://www.sec.gov/Archives/edgar/data/1674930/000156459017017670/flgt-ex312_342.htm" TargetMode="External"/><Relationship Id="rId268" Type="http://schemas.openxmlformats.org/officeDocument/2006/relationships/hyperlink" Target="https://www.sec.gov/Archives/edgar/data/1674930/000095017023038316/flgt-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2024-05-03T06:40:28Z</dcterms:created>
  <dcterms:modified xsi:type="dcterms:W3CDTF">2024-05-03T06:40:28Z</dcterms:modified>
</cp:coreProperties>
</file>