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-7620</wp:posOffset>
            </wp:positionV>
            <wp:extent cx="1751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right"/>
              <w:ind w:right="2300"/>
              <w:spacing w:after="0"/>
              <w:rPr>
                <w:sz w:val="20"/>
                <w:szCs w:val="20"/>
                <w:color w:val="auto"/>
              </w:rPr>
            </w:pPr>
            <w:r>
              <w:rPr>
                <w:rFonts w:ascii="Arial" w:cs="Arial" w:eastAsia="Arial" w:hAnsi="Arial"/>
                <w:sz w:val="18"/>
                <w:szCs w:val="18"/>
                <w:b w:val="1"/>
                <w:bCs w:val="1"/>
                <w:color w:val="auto"/>
              </w:rPr>
              <w:t>81-2621304</w:t>
            </w:r>
          </w:p>
        </w:tc>
        <w:tc>
          <w:tcPr>
            <w:tcW w:w="0" w:type="dxa"/>
            <w:vAlign w:val="bottom"/>
          </w:tcPr>
          <w:p>
            <w:pPr>
              <w:spacing w:after="0"/>
              <w:rPr>
                <w:sz w:val="1"/>
                <w:szCs w:val="1"/>
                <w:color w:val="auto"/>
              </w:rPr>
            </w:pPr>
          </w:p>
        </w:tc>
      </w:tr>
      <w:tr>
        <w:trPr>
          <w:trHeight w:val="149"/>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8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64"/>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89"/>
              </w:rPr>
              <w:t>4978 Santa Anita Avenue</w:t>
            </w:r>
          </w:p>
        </w:tc>
        <w:tc>
          <w:tcPr>
            <w:tcW w:w="2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2"/>
              </w:rPr>
              <w:t>Temple City, CA</w:t>
            </w: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right"/>
              <w:ind w:right="2500"/>
              <w:spacing w:after="0"/>
              <w:rPr>
                <w:sz w:val="20"/>
                <w:szCs w:val="20"/>
                <w:color w:val="auto"/>
              </w:rPr>
            </w:pPr>
            <w:r>
              <w:rPr>
                <w:rFonts w:ascii="Arial" w:cs="Arial" w:eastAsia="Arial" w:hAnsi="Arial"/>
                <w:sz w:val="18"/>
                <w:szCs w:val="18"/>
                <w:b w:val="1"/>
                <w:bCs w:val="1"/>
                <w:color w:val="auto"/>
              </w:rPr>
              <w:t>91780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(626) 350-0537</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60" w:type="dxa"/>
            <w:vAlign w:val="bottom"/>
            <w:gridSpan w:val="6"/>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gridSpan w:val="3"/>
            <w:vMerge w:val="restart"/>
          </w:tcPr>
          <w:p>
            <w:pPr>
              <w:ind w:left="5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500" w:type="dxa"/>
            <w:vAlign w:val="bottom"/>
            <w:gridSpan w:val="3"/>
            <w:vMerge w:val="continue"/>
          </w:tcPr>
          <w:p>
            <w:pPr>
              <w:spacing w:after="0"/>
              <w:rPr>
                <w:sz w:val="22"/>
                <w:szCs w:val="22"/>
                <w:color w:val="auto"/>
              </w:rPr>
            </w:pPr>
          </w:p>
        </w:tc>
        <w:tc>
          <w:tcPr>
            <w:tcW w:w="2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gridSpan w:val="2"/>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94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6"/>
                <w:szCs w:val="16"/>
                <w:b w:val="1"/>
                <w:bCs w:val="1"/>
                <w:color w:val="auto"/>
                <w:w w:val="92"/>
              </w:rPr>
              <w:t>Trading Symbol(s)</w:t>
            </w:r>
          </w:p>
        </w:tc>
        <w:tc>
          <w:tcPr>
            <w:tcW w:w="220" w:type="dxa"/>
            <w:vAlign w:val="bottom"/>
            <w:tcBorders>
              <w:bottom w:val="single" w:sz="8" w:color="auto"/>
              <w:right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89"/>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 per share</w:t>
            </w:r>
          </w:p>
        </w:tc>
        <w:tc>
          <w:tcPr>
            <w:tcW w:w="2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94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6"/>
                <w:szCs w:val="16"/>
                <w:color w:val="auto"/>
              </w:rPr>
              <w:t>FLGT</w:t>
            </w:r>
          </w:p>
        </w:tc>
        <w:tc>
          <w:tcPr>
            <w:tcW w:w="2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w:t>
            </w:r>
          </w:p>
        </w:tc>
        <w:tc>
          <w:tcPr>
            <w:tcW w:w="0" w:type="dxa"/>
            <w:vAlign w:val="bottom"/>
          </w:tcPr>
          <w:p>
            <w:pPr>
              <w:spacing w:after="0"/>
              <w:rPr>
                <w:sz w:val="1"/>
                <w:szCs w:val="1"/>
                <w:color w:val="auto"/>
              </w:rPr>
            </w:pPr>
          </w:p>
        </w:tc>
      </w:tr>
      <w:tr>
        <w:trPr>
          <w:trHeight w:val="209"/>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18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216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2021, there were 29,521,259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5"/>
          </w:tcPr>
          <w:p>
            <w:pPr>
              <w:ind w:left="42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r>
      <w:tr>
        <w:trPr>
          <w:trHeight w:val="42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Arial" w:cs="Arial" w:eastAsia="Arial" w:hAnsi="Arial"/>
                <w:sz w:val="18"/>
                <w:szCs w:val="18"/>
                <w:b w:val="1"/>
                <w:bCs w:val="1"/>
                <w:color w:val="auto"/>
                <w:w w:val="78"/>
              </w:rPr>
              <w:t>Page</w:t>
            </w:r>
          </w:p>
        </w:tc>
      </w:tr>
      <w:tr>
        <w:trPr>
          <w:trHeight w:val="270"/>
        </w:trPr>
        <w:tc>
          <w:tcPr>
            <w:tcW w:w="892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91"/>
        </w:trPr>
        <w:tc>
          <w:tcPr>
            <w:tcW w:w="3160" w:type="dxa"/>
            <w:vAlign w:val="bottom"/>
            <w:tcBorders>
              <w:top w:val="single" w:sz="8" w:color="0000EE"/>
            </w:tcBorders>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 (Unaudited)</w:t>
              </w:r>
            </w:hyperlink>
          </w:p>
        </w:tc>
        <w:tc>
          <w:tcPr>
            <w:tcW w:w="576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91"/>
        </w:trPr>
        <w:tc>
          <w:tcPr>
            <w:tcW w:w="2980" w:type="dxa"/>
            <w:vAlign w:val="bottom"/>
            <w:tcBorders>
              <w:top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5940" w:type="dxa"/>
            <w:vAlign w:val="bottom"/>
            <w:gridSpan w:val="10"/>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5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3820" w:type="dxa"/>
            <w:vAlign w:val="bottom"/>
            <w:gridSpan w:val="2"/>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3</w:t>
            </w:r>
          </w:p>
        </w:tc>
      </w:tr>
      <w:tr>
        <w:trPr>
          <w:trHeight w:val="291"/>
        </w:trPr>
        <w:tc>
          <w:tcPr>
            <w:tcW w:w="89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4</w:t>
            </w:r>
          </w:p>
        </w:tc>
      </w:tr>
      <w:tr>
        <w:trPr>
          <w:trHeight w:val="291"/>
        </w:trPr>
        <w:tc>
          <w:tcPr>
            <w:tcW w:w="440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4520" w:type="dxa"/>
            <w:vAlign w:val="bottom"/>
            <w:gridSpan w:val="5"/>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7</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7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23</w:t>
            </w:r>
          </w:p>
        </w:tc>
      </w:tr>
      <w:tr>
        <w:trPr>
          <w:trHeight w:val="291"/>
        </w:trPr>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3. Quantitative and Qualitative Disclosures About Market Risk</w:t>
              </w:r>
            </w:hyperlink>
          </w:p>
        </w:tc>
        <w:tc>
          <w:tcPr>
            <w:tcW w:w="400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91"/>
        </w:trPr>
        <w:tc>
          <w:tcPr>
            <w:tcW w:w="2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4. Controls and Procedures</w:t>
              </w:r>
            </w:hyperlink>
          </w:p>
        </w:tc>
        <w:tc>
          <w:tcPr>
            <w:tcW w:w="658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91"/>
        </w:trPr>
        <w:tc>
          <w:tcPr>
            <w:tcW w:w="8920" w:type="dxa"/>
            <w:vAlign w:val="bottom"/>
            <w:gridSpan w:val="1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II—OTHER INFORMATION</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33</w:t>
            </w:r>
          </w:p>
        </w:tc>
      </w:tr>
      <w:tr>
        <w:trPr>
          <w:trHeight w:val="290"/>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960" w:type="dxa"/>
            <w:vAlign w:val="bottom"/>
            <w:tcBorders>
              <w:top w:val="single" w:sz="8" w:color="0000EE"/>
            </w:tcBorders>
            <w:gridSpan w:val="2"/>
          </w:tcPr>
          <w:p>
            <w:pPr>
              <w:spacing w:after="0"/>
              <w:rPr>
                <w:sz w:val="24"/>
                <w:szCs w:val="24"/>
                <w:color w:val="auto"/>
              </w:rPr>
            </w:pPr>
          </w:p>
        </w:tc>
        <w:tc>
          <w:tcPr>
            <w:tcW w:w="6060" w:type="dxa"/>
            <w:vAlign w:val="bottom"/>
            <w:gridSpan w:val="12"/>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33</w:t>
            </w:r>
          </w:p>
        </w:tc>
      </w:tr>
      <w:tr>
        <w:trPr>
          <w:trHeight w:val="291"/>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1A. Risk Factors</w:t>
              </w:r>
            </w:hyperlink>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33</w:t>
            </w: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2. Unregistered Sales of Equity Securities and Use of Proceeds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63</w:t>
            </w:r>
          </w:p>
        </w:tc>
      </w:tr>
      <w:tr>
        <w:trPr>
          <w:trHeight w:val="291"/>
        </w:trPr>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 Exhibits</w:t>
              </w:r>
            </w:hyperlink>
          </w:p>
        </w:tc>
        <w:tc>
          <w:tcPr>
            <w:tcW w:w="4020" w:type="dxa"/>
            <w:vAlign w:val="bottom"/>
            <w:gridSpan w:val="4"/>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64</w:t>
            </w:r>
          </w:p>
        </w:tc>
      </w:tr>
      <w:tr>
        <w:trPr>
          <w:trHeight w:val="291"/>
        </w:trPr>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Exhibit Index</w:t>
              </w:r>
            </w:hyperlink>
          </w:p>
        </w:tc>
        <w:tc>
          <w:tcPr>
            <w:tcW w:w="160" w:type="dxa"/>
            <w:vAlign w:val="bottom"/>
            <w:tcBorders>
              <w:top w:val="single" w:sz="8" w:color="0000EE"/>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65</w:t>
            </w: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66</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rPr>
              <w:t>FULGENT GENETICS, INC.</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89"/>
              </w:rPr>
              <w:t>(in thousands, except par value data)</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100,461</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283,328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receivable, net of allowance for credit losses of $6,044 and $1,898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June 30, 2021 and December 31, 2020, respectively</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Acquisition-related intangible assets,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14,743</w:t>
            </w:r>
          </w:p>
        </w:tc>
        <w:tc>
          <w:tcPr>
            <w:tcW w:w="18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deposit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Investment margin loan</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121,524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per share, 50,000 shares authorized, 29,513 and</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28,178 shares issued and outstanding at June 30, 2021 and December 31, 2020,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Preferred stock, $0.0001 par value per share, 1,000 shares authorized, no shares issued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or outstanding at June 30, 2021 and December 31, 2020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430,736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Fulgent stockholders' equity</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912,729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920,725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w w:val="95"/>
              </w:rPr>
              <w:t>Three Months Ended June 30,</w:t>
            </w:r>
          </w:p>
        </w:tc>
        <w:tc>
          <w:tcPr>
            <w:tcW w:w="240" w:type="dxa"/>
            <w:vAlign w:val="bottom"/>
          </w:tcPr>
          <w:p>
            <w:pPr>
              <w:spacing w:after="0"/>
              <w:rPr>
                <w:sz w:val="18"/>
                <w:szCs w:val="18"/>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17,265</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513,045</w:t>
            </w:r>
          </w:p>
        </w:tc>
        <w:tc>
          <w:tcPr>
            <w:tcW w:w="26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117,758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403,112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w:t>
            </w: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net</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 gain on</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 method investment and equity loss in investee</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366,706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gain on equity method investment</w:t>
            </w:r>
          </w:p>
        </w:tc>
        <w:tc>
          <w:tcPr>
            <w:tcW w:w="7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equity loss in investee</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276,604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Gain on equity method investment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Equity loss in investee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Net income from consolidated</w:t>
            </w: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79,647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interests</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Fulgent</w:t>
            </w:r>
          </w:p>
        </w:tc>
        <w:tc>
          <w:tcPr>
            <w:tcW w:w="7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79,812</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4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280,503</w:t>
            </w: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income per common share attributable to Fulgent: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52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21,747</w:t>
            </w: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190"/>
              <w:spacing w:after="0"/>
              <w:rPr>
                <w:sz w:val="20"/>
                <w:szCs w:val="20"/>
                <w:color w:val="auto"/>
              </w:rPr>
            </w:pPr>
            <w:r>
              <w:rPr>
                <w:rFonts w:ascii="Arial" w:cs="Arial" w:eastAsia="Arial" w:hAnsi="Arial"/>
                <w:sz w:val="16"/>
                <w:szCs w:val="16"/>
                <w:b w:val="1"/>
                <w:bCs w:val="1"/>
                <w:color w:val="auto"/>
                <w:w w:val="95"/>
              </w:rPr>
              <w:t>Three Months Ended June 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26"/>
        </w:trPr>
        <w:tc>
          <w:tcPr>
            <w:tcW w:w="54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from consolidated operations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Net unrealized gain (loss) on marketable securities, net of tax</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from consolidated operations</w:t>
            </w: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attributable</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noncontrolling interest</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 attributable to noncontrolling interest</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attributable to Fulgent</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279,800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84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97"/>
              </w:rPr>
              <w:t>Fulgent Stockholders'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84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6"/>
                <w:szCs w:val="16"/>
                <w:b w:val="1"/>
                <w:bCs w:val="1"/>
                <w:color w:val="auto"/>
              </w:rPr>
              <w:t>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Fulgent</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88"/>
              </w:rPr>
              <w:t>Retained</w:t>
            </w: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Stockholders'</w:t>
            </w:r>
          </w:p>
        </w:tc>
        <w:tc>
          <w:tcPr>
            <w:tcW w:w="12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Noncontrolling</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3"/>
        </w:trPr>
        <w:tc>
          <w:tcPr>
            <w:tcW w:w="2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2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460" w:type="dxa"/>
            <w:vAlign w:val="bottom"/>
          </w:tcPr>
          <w:p>
            <w:pPr>
              <w:spacing w:after="0"/>
              <w:rPr>
                <w:sz w:val="3"/>
                <w:szCs w:val="3"/>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0"/>
              </w:rPr>
              <w:t>Income (Loss)</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Pr>
          <w:p>
            <w:pPr>
              <w:spacing w:after="0"/>
              <w:rPr>
                <w:sz w:val="3"/>
                <w:szCs w:val="3"/>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3"/>
                <w:szCs w:val="3"/>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Interest</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4"/>
              </w:rPr>
              <w:t>Balance at December 31, 2020</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28,178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418,065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150,881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569,387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569,387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withholding</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employee tax</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obligations</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40"/>
              <w:spacing w:after="0"/>
              <w:rPr>
                <w:sz w:val="20"/>
                <w:szCs w:val="20"/>
                <w:color w:val="auto"/>
              </w:rPr>
            </w:pPr>
            <w:r>
              <w:rPr>
                <w:rFonts w:ascii="Arial" w:cs="Arial" w:eastAsia="Arial" w:hAnsi="Arial"/>
                <w:sz w:val="18"/>
                <w:szCs w:val="18"/>
                <w:color w:val="auto"/>
              </w:rPr>
              <w:t>at an average of $52.00 per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share, net</w:t>
            </w: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30,297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8"/>
                <w:szCs w:val="18"/>
                <w:color w:val="auto"/>
              </w:rPr>
              <w:t>Cumulative effect of</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accounting change</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Cumulative tax effect of</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accounting change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200,691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200,691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450,855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350,924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801,566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801,566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color w:val="auto"/>
              </w:rPr>
              <w:t>Equity-based compensation</w:t>
            </w: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withholding</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employee tax</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obligations</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40"/>
              <w:spacing w:after="0"/>
              <w:rPr>
                <w:sz w:val="20"/>
                <w:szCs w:val="20"/>
                <w:color w:val="auto"/>
              </w:rPr>
            </w:pPr>
            <w:r>
              <w:rPr>
                <w:rFonts w:ascii="Arial" w:cs="Arial" w:eastAsia="Arial" w:hAnsi="Arial"/>
                <w:sz w:val="18"/>
                <w:szCs w:val="18"/>
                <w:color w:val="auto"/>
              </w:rPr>
              <w:t>at an average of $73.75 per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share, net</w:t>
            </w: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27,889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assumed related to</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8"/>
                <w:szCs w:val="18"/>
                <w:color w:val="auto"/>
              </w:rPr>
              <w:t>Other comprehensive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gain (loss)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482,255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430,736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912,729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Fulgent Stockholders' Equity</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14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2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3"/>
        </w:trPr>
        <w:tc>
          <w:tcPr>
            <w:tcW w:w="3280" w:type="dxa"/>
            <w:vAlign w:val="bottom"/>
          </w:tcPr>
          <w:p>
            <w:pPr>
              <w:spacing w:after="0"/>
              <w:rPr>
                <w:sz w:val="5"/>
                <w:szCs w:val="5"/>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0"/>
              </w:rPr>
              <w:t>Income (Loss)</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5"/>
                <w:szCs w:val="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146,058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(63,429)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82,777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withholding</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employee tax</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obligations</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(1,956)</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March 31,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146,948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(65,385)</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(62,064)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5"/>
          </w:tcPr>
          <w:p>
            <w:pPr>
              <w:jc w:val="right"/>
              <w:ind w:right="12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6"/>
                <w:szCs w:val="16"/>
                <w:color w:val="auto"/>
              </w:rPr>
              <w:t>Net income from consolidated</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280,338</w:t>
            </w:r>
          </w:p>
        </w:tc>
        <w:tc>
          <w:tcPr>
            <w:tcW w:w="30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Adjustments to reconcile net income to net cash provided (used in) by operating activities:</w:t>
            </w: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6,488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Noncash lease expense</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disposal of fixed asset</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Amortization of premium of marketable securities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credit losses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4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(3,055)</w:t>
            </w: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Unrecognized tax benefits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Holding loss on equity securities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loss in investee</w:t>
            </w:r>
          </w:p>
        </w:tc>
        <w:tc>
          <w:tcPr>
            <w:tcW w:w="4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Gain on equity method investment</w:t>
            </w:r>
          </w:p>
        </w:tc>
        <w:tc>
          <w:tcPr>
            <w:tcW w:w="4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(3,734)</w:t>
            </w: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accounts receivable</w:t>
            </w: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32,460</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6"/>
                <w:szCs w:val="16"/>
                <w:color w:val="auto"/>
              </w:rPr>
              <w:t>Other current and long-term assets</w:t>
            </w:r>
          </w:p>
        </w:tc>
        <w:tc>
          <w:tcPr>
            <w:tcW w:w="4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(6,025)</w:t>
            </w:r>
          </w:p>
        </w:tc>
        <w:tc>
          <w:tcPr>
            <w:tcW w:w="4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(10,256)</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Accrued liabilities and other liabilities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3,084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tax payable</w:t>
            </w:r>
          </w:p>
        </w:tc>
        <w:tc>
          <w:tcPr>
            <w:tcW w:w="4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(26,920)</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Contract liabilities</w:t>
            </w:r>
          </w:p>
        </w:tc>
        <w:tc>
          <w:tcPr>
            <w:tcW w:w="4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(19,662)</w:t>
            </w: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44,719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Operating lease liabilities</w:t>
            </w:r>
          </w:p>
        </w:tc>
        <w:tc>
          <w:tcPr>
            <w:tcW w:w="4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(293)</w:t>
            </w:r>
          </w:p>
        </w:tc>
        <w:tc>
          <w:tcPr>
            <w:tcW w:w="4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provided by (used in) operating activities</w:t>
            </w: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309,290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fixed assets</w:t>
            </w:r>
          </w:p>
        </w:tc>
        <w:tc>
          <w:tcPr>
            <w:tcW w:w="4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(14,427)</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Proceeds from sale of fixed assets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marketable securities</w:t>
            </w:r>
          </w:p>
        </w:tc>
        <w:tc>
          <w:tcPr>
            <w:tcW w:w="4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(424,807)</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Proceeds from sale of marketable securities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51,696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Maturities of marketable securities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Acquisition of businesses, net of cash acquired</w:t>
            </w:r>
          </w:p>
        </w:tc>
        <w:tc>
          <w:tcPr>
            <w:tcW w:w="4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(18,509)</w:t>
            </w: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(371,496)</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(6,267)</w:t>
            </w: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(payment for) public offerings of common stock, net of issuance costs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75,656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Proceeds from noncontrolling interest</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Common stock withholding for employee tax obligations</w:t>
            </w:r>
          </w:p>
        </w:tc>
        <w:tc>
          <w:tcPr>
            <w:tcW w:w="4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(552)</w:t>
            </w:r>
          </w:p>
        </w:tc>
        <w:tc>
          <w:tcPr>
            <w:tcW w:w="4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 under margin account</w:t>
            </w: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26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75,240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13,035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(9,534)</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87,426</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100,461</w:t>
            </w:r>
          </w:p>
        </w:tc>
        <w:tc>
          <w:tcPr>
            <w:tcW w:w="3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Income taxes paid</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119,980</w:t>
            </w:r>
          </w:p>
        </w:tc>
        <w:tc>
          <w:tcPr>
            <w:tcW w:w="30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Purchases of fixed assets in accounts payable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742</w:t>
            </w:r>
          </w:p>
        </w:tc>
        <w:tc>
          <w:tcPr>
            <w:tcW w:w="30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Operating lease right-of-use assets reduced due to lease modification</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185</w:t>
            </w:r>
          </w:p>
        </w:tc>
        <w:tc>
          <w:tcPr>
            <w:tcW w:w="30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Public offerings costs included in accounts payable</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240" w:type="dxa"/>
            <w:vAlign w:val="bottom"/>
            <w:gridSpan w:val="4"/>
          </w:tcPr>
          <w:p>
            <w:pPr>
              <w:ind w:left="2440"/>
              <w:spacing w:after="0"/>
              <w:rPr>
                <w:sz w:val="20"/>
                <w:szCs w:val="20"/>
                <w:color w:val="auto"/>
              </w:rPr>
            </w:pPr>
            <w:r>
              <w:rPr>
                <w:rFonts w:ascii="Arial" w:cs="Arial" w:eastAsia="Arial" w:hAnsi="Arial"/>
                <w:sz w:val="16"/>
                <w:szCs w:val="16"/>
                <w:color w:val="auto"/>
                <w:w w:val="96"/>
              </w:rPr>
              <w:t>The accompanying notes are an integral part of these condensed consolidated financial statements.</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060" w:type="dxa"/>
            <w:vAlign w:val="bottom"/>
          </w:tcPr>
          <w:p>
            <w:pPr>
              <w:ind w:left="558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2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22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Fulgent Genetics, Inc., together with its subsidiaries, collectively referred to as the Company, unless otherwise noted or the context otherwise requires, is a technology company offering comprehensive genetic testing providing physicians with clinically actionable diagnostic information they can use to improve the quality of patient care. The Company has developed a proprietary technology platform that allows it to offer a broad and flexible test menu and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 In 2019, the Company launched its first patient-initiated product, Picture Genetics, a new line of at-home screening tests that combines the Company’s advanced NGS solutions with actionable results and genetic counseling options for individuals. Since March 2020, the Company has commercially launched several tests for the detection of SARS-CoV-2, the virus that causes the novel coronavirus, or COVID-19, including NGS and reverse transcription polymerase chain reaction – based, or RT-PCR-based, tests. The Company has received an Emergency Use Authorization, or EUA, from the United States, or U.S., Food and Drug Administration, or the FDA, for the RT-PCR-based tests for the detection of SARS-CoV-2 using upper respiratory specimens (nasal, nasopharyngeal, and oropharyngeal swabs) and for the at-home testing service through Picture Genetics. The Company’s at-home testing service for COVID-19 and RT-PCR-based test have been granted an EUA by the FDA only for the detection of nucleic acid from SARS-CoV-2, not for any other viruses or pathogens. The Company believes its test menu offers more genes for testing than its competitors in today’s market, which enables it to provide expansive options for test customization and clinically actionable results. A cornerstone of the Company’s business is its ability to provide expansive options and flexibility for all clients’ unique testing needs.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firstLine="464"/>
        <w:spacing w:after="0" w:line="253" w:lineRule="auto"/>
        <w:rPr>
          <w:sz w:val="20"/>
          <w:szCs w:val="20"/>
          <w:color w:val="auto"/>
        </w:rPr>
      </w:pPr>
      <w:r>
        <w:rPr>
          <w:rFonts w:ascii="Arial" w:cs="Arial" w:eastAsia="Arial" w:hAnsi="Arial"/>
          <w:sz w:val="18"/>
          <w:szCs w:val="18"/>
          <w:color w:val="auto"/>
        </w:rPr>
        <w:t>The accompanying unaudited interim condensed consolidated financial statements have been prepared on the same basis as the Company’s audited consolidated financial statements as of and for the fiscal year ended December 31, 2020, which are included in the Company’s annual report on Form 10-K filed with the Securities and Exchange Commission, or SEC, on March 8, 2021, or 2020 Annual Report, and, in the opinion of management, include all adjustments, which are normal and recurring in nature, necessary for a fair presentation of the Company’s financial position and results of operations. Operating results for interim periods are not necessarily indicative of the results that may be expected for a full fiscal year or any other period. The accompanying Condensed Consolidated Balance Sheet as of December 31, 2020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2020 Annual Report,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2020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95"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On an on-going basis, management evaluates its estimates, primarily those related to: (i) revenue recognition criteria, (ii) trade accounts receivable and allowances for credit losses, (iii) the useful lives of fixed assets, (iv) estimates of tax liabilities, (v) the valuation of equity method investments, (vi) valuation of acquisition-related intangibles and goodwill, and (vii) useful lives of intangible assets and fixed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Foreign Currency Transactions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Gains from these translations were not significant in the three and six months ended June 30, 2021 and three months ended June 30, 2020, and loss from these translations for the six months ended June 30, 2020 was not significant. The Company and its subsidiaries that use the U.S. dollar as their functional currency remeasure monetary assets and liabilities at exchange rates in effect at the end of each period, and inventories, property and nonmonetary assets and liabilities at historical rates. Losses from these remeasurements in the three and six months ended June 30, 2021 and in the six months ended June 30, 2020 were not significant. Gains from these remeasurements were not significant in the three months ended June 30,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lease right-of-use, or ROU, asset, short-term lease liabilities, and long-term lease liabilities were included in other long-term assets, other current liabilities, and other long-term liabilities, respectively, in the accompanying Condensed Consolidated Balance Sheets.</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Lease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The lease ROU asset includes any base rent payments made and excludes lease incentives and variable operating expenses. Lease expense for lease payments is recognized on a straight-line basis over the lease term.</w:t>
      </w:r>
    </w:p>
    <w:p>
      <w:pPr>
        <w:spacing w:after="0" w:line="19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leases out space in buildings it owns in El Monte, California, to third-party tenants under noncancelable operating leases and has leased out such space since the Company purchased such buildings.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Condensed Consolidated Statement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Concentration of Customers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certain periods, a small number of customers has accounted for a significant portion of the Company’s revenue. After aggregating customers that are under common control or are affiliates, two customers contributed 20% and 16% of the Company’s revenue for the three months ended June 30, 2021, respectively, and two customers contributed 24% and 11% of the Company’s revenue for the six months ended June 30, 2021, respectively. One customer contributed 45% of the Company’s revenue for the three months ended June 30, 2020, and one customer contributed 31% of the Company’s revenue for the six months ended June 30, 2020. One customer comprised 13% of total accounts receivable as of June 30, 2021. No customer comprised 10% or more of total accounts receivable as of December 31, 2020. Revenue from the U.S. government was less than 10% of total revenue for the three and six months ended June 30, 2021 and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Company classifies its customers into three payor types: (i) Insurance, (ii) 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six months ended June 30, 2021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Testing Services by payor</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420" w:type="dxa"/>
            <w:vAlign w:val="bottom"/>
          </w:tcPr>
          <w:p>
            <w:pPr>
              <w:ind w:left="260"/>
              <w:spacing w:after="0"/>
              <w:rPr>
                <w:sz w:val="20"/>
                <w:szCs w:val="20"/>
                <w:color w:val="auto"/>
              </w:rPr>
            </w:pPr>
            <w:r>
              <w:rPr>
                <w:rFonts w:ascii="Arial" w:cs="Arial" w:eastAsia="Arial" w:hAnsi="Arial"/>
                <w:sz w:val="18"/>
                <w:szCs w:val="18"/>
                <w:color w:val="auto"/>
              </w:rPr>
              <w:t>Institutional</w:t>
            </w:r>
          </w:p>
        </w:tc>
        <w:tc>
          <w:tcPr>
            <w:tcW w:w="1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103,602</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16,454</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255,171</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23,932</w:t>
            </w:r>
          </w:p>
        </w:tc>
        <w:tc>
          <w:tcPr>
            <w:tcW w:w="100" w:type="dxa"/>
            <w:vAlign w:val="bottom"/>
          </w:tcPr>
          <w:p>
            <w:pPr>
              <w:spacing w:after="0"/>
              <w:rPr>
                <w:sz w:val="19"/>
                <w:szCs w:val="19"/>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257,078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9"/>
                <w:szCs w:val="19"/>
                <w:color w:val="auto"/>
              </w:rPr>
            </w:pPr>
          </w:p>
        </w:tc>
      </w:tr>
      <w:tr>
        <w:trPr>
          <w:trHeight w:val="229"/>
        </w:trPr>
        <w:tc>
          <w:tcPr>
            <w:tcW w:w="3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Patient</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153,616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17,265</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513,045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i w:val="1"/>
          <w:iCs w:val="1"/>
          <w:color w:val="auto"/>
        </w:rPr>
        <w:t>Receivables from contracts with customers</w:t>
      </w:r>
      <w:r>
        <w:rPr>
          <w:rFonts w:ascii="Arial" w:cs="Arial" w:eastAsia="Arial" w:hAnsi="Arial"/>
          <w:sz w:val="18"/>
          <w:szCs w:val="18"/>
          <w:color w:val="auto"/>
        </w:rPr>
        <w:t>—As of June 30, 2021 and December 31, 2020, receivables from contracts with customers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$148.6 million and $183.9 million, respectively, and are included within trade accounts receivable on the Condensed Consolidated Balance Sheets.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Contracts assets and liabilities </w:t>
      </w:r>
      <w:r>
        <w:rPr>
          <w:rFonts w:ascii="Arial" w:cs="Arial" w:eastAsia="Arial" w:hAnsi="Arial"/>
          <w:sz w:val="16"/>
          <w:szCs w:val="16"/>
          <w:color w:val="auto"/>
        </w:rPr>
        <w:t>—As of June 30, 2021 and December 31, 2020, contract assets from contracts with customers were $324,000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 million, respectively, associated with contract execution and certain costs to fulfill a contract, and included in other current assets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 Contract liabilities are recorded when the Company receives payment or bills prior to completing its obligation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goods or services to a customer. The Company had $6.9 million and $26.6 million of contract liabilities as of June 30, 2021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respectively. Revenues of $1.7 million and $196,000 for the three months and $25.5 million and $246,000 for the six months were recognized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ended June 30, 2021 and 2020, respectively, related to contract liabilities at the beginning of the respective periods.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Future Performance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have material future obligations associated with testing services that extend beyond one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Reagents and Supplies</w:t>
      </w:r>
    </w:p>
    <w:p>
      <w:pPr>
        <w:spacing w:after="0" w:line="121"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The Company maintains reagents and other consumables primarily used in sample collections and testing which are valued at the lower of cost or net realizable value. Cost is determined using actual costs on a first-in, first-out basis. The reagents and supplies were $25.4 million and $16.5 million as of June 30, 2021 and December 31, 2020, respectively, and was included in other current assets in the accompanying Condensed Consolidated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Customer Deposit</w:t>
      </w:r>
    </w:p>
    <w:p>
      <w:pPr>
        <w:spacing w:after="0" w:line="121" w:lineRule="exact"/>
        <w:rPr>
          <w:sz w:val="20"/>
          <w:szCs w:val="20"/>
          <w:color w:val="auto"/>
        </w:rPr>
      </w:pPr>
    </w:p>
    <w:p>
      <w:pPr>
        <w:ind w:firstLine="468"/>
        <w:spacing w:after="0" w:line="342" w:lineRule="auto"/>
        <w:rPr>
          <w:sz w:val="20"/>
          <w:szCs w:val="20"/>
          <w:color w:val="auto"/>
        </w:rPr>
      </w:pPr>
      <w:r>
        <w:rPr>
          <w:rFonts w:ascii="Arial" w:cs="Arial" w:eastAsia="Arial" w:hAnsi="Arial"/>
          <w:sz w:val="16"/>
          <w:szCs w:val="16"/>
          <w:color w:val="auto"/>
        </w:rPr>
        <w:t>Customer deposit in the accompanying Condensed Consolidated Balance Sheets consists primarily of payments received from customers in excess of their outstanding trade accounts receivable balances, and the excess payments will be refunded to the customers or offset against future testing receivables.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 and Allowance for Credit Losses</w:t>
      </w:r>
    </w:p>
    <w:p>
      <w:pPr>
        <w:spacing w:after="0" w:line="121" w:lineRule="exact"/>
        <w:rPr>
          <w:sz w:val="20"/>
          <w:szCs w:val="20"/>
          <w:color w:val="auto"/>
        </w:rPr>
      </w:pPr>
    </w:p>
    <w:p>
      <w:pPr>
        <w:ind w:right="20" w:firstLine="464"/>
        <w:spacing w:after="0" w:line="287" w:lineRule="auto"/>
        <w:rPr>
          <w:sz w:val="20"/>
          <w:szCs w:val="20"/>
          <w:color w:val="auto"/>
        </w:rPr>
      </w:pPr>
      <w:r>
        <w:rPr>
          <w:rFonts w:ascii="Arial" w:cs="Arial" w:eastAsia="Arial" w:hAnsi="Arial"/>
          <w:sz w:val="16"/>
          <w:szCs w:val="16"/>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will update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three and six months ended June 30, 2021, the Company recorded $2.2 million and $3.3 million of provision for credit losses for trade accounts receivable, respectively. The provision was not significant for the three and six months ended June 30,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20" w:firstLine="468"/>
        <w:spacing w:after="0" w:line="289" w:lineRule="auto"/>
        <w:rPr>
          <w:sz w:val="20"/>
          <w:szCs w:val="20"/>
          <w:color w:val="auto"/>
        </w:rPr>
      </w:pPr>
      <w:r>
        <w:rPr>
          <w:rFonts w:ascii="Arial" w:cs="Arial" w:eastAsia="Arial" w:hAnsi="Arial"/>
          <w:sz w:val="16"/>
          <w:szCs w:val="16"/>
          <w:color w:val="auto"/>
        </w:rPr>
        <w:t>All marketable debt securities, which consist of corporate debt securities, municipal bonds, U.S. government agency debt securities, and Yankee debt securities issued by foreign governments or entities and denominated in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Condensed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 and the final maturity is tailored to the Company’s current liquidity needs with a maximum final maturity from the date of purchase of three years.</w:t>
      </w:r>
    </w:p>
    <w:p>
      <w:pPr>
        <w:spacing w:after="0" w:line="166" w:lineRule="exact"/>
        <w:rPr>
          <w:sz w:val="20"/>
          <w:szCs w:val="20"/>
          <w:color w:val="auto"/>
        </w:rPr>
      </w:pPr>
    </w:p>
    <w:p>
      <w:pPr>
        <w:ind w:right="240" w:firstLine="464"/>
        <w:spacing w:after="0" w:line="263"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Condensed Consolidated Statements of Operations. The cost of any marketable equity securities sold is based on the specific-identification method.</w:t>
      </w:r>
    </w:p>
    <w:p>
      <w:pPr>
        <w:spacing w:after="0" w:line="184" w:lineRule="exact"/>
        <w:rPr>
          <w:sz w:val="20"/>
          <w:szCs w:val="20"/>
          <w:color w:val="auto"/>
        </w:rPr>
      </w:pPr>
    </w:p>
    <w:p>
      <w:pPr>
        <w:ind w:right="160" w:firstLine="464"/>
        <w:spacing w:after="0" w:line="255" w:lineRule="auto"/>
        <w:rPr>
          <w:sz w:val="20"/>
          <w:szCs w:val="20"/>
          <w:color w:val="auto"/>
        </w:rPr>
      </w:pPr>
      <w:r>
        <w:rPr>
          <w:rFonts w:ascii="Arial" w:cs="Arial" w:eastAsia="Arial" w:hAnsi="Arial"/>
          <w:sz w:val="18"/>
          <w:szCs w:val="18"/>
          <w:color w:val="auto"/>
        </w:rPr>
        <w:t>For available for 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Any credit loss is recorded as a charge to interest and other income, net, not to exceed the amount of the unrealized loss.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80" w:firstLine="468"/>
        <w:spacing w:after="0" w:line="272" w:lineRule="auto"/>
        <w:rPr>
          <w:sz w:val="20"/>
          <w:szCs w:val="20"/>
          <w:color w:val="auto"/>
        </w:rPr>
      </w:pPr>
      <w:r>
        <w:rPr>
          <w:rFonts w:ascii="Arial" w:cs="Arial" w:eastAsia="Arial" w:hAnsi="Arial"/>
          <w:sz w:val="17"/>
          <w:szCs w:val="17"/>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464"/>
        <w:spacing w:after="0" w:line="263" w:lineRule="auto"/>
        <w:rPr>
          <w:sz w:val="20"/>
          <w:szCs w:val="20"/>
          <w:color w:val="auto"/>
        </w:rPr>
      </w:pPr>
      <w:r>
        <w:rPr>
          <w:rFonts w:ascii="Arial" w:cs="Arial" w:eastAsia="Arial" w:hAnsi="Arial"/>
          <w:sz w:val="18"/>
          <w:szCs w:val="18"/>
          <w:color w:val="auto"/>
        </w:rPr>
        <w:t>Goodwill is not amortized but is subject to impairment tests on an annual basis, or more frequently if indicators of potential impairment exist, and goodwill is written down when it is determined to be impaired. The Company will perform an annual impairment review in the fourth quarter of each fiscal year and compare the fair value of the reporting unit in which the goodwill resides to its carrying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78"/>
        <w:spacing w:after="0" w:line="263" w:lineRule="auto"/>
        <w:rPr>
          <w:sz w:val="20"/>
          <w:szCs w:val="20"/>
          <w:color w:val="auto"/>
        </w:rPr>
      </w:pPr>
      <w:r>
        <w:rPr>
          <w:rFonts w:ascii="Arial" w:cs="Arial" w:eastAsia="Arial" w:hAnsi="Arial"/>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2016-13</w:t>
      </w:r>
    </w:p>
    <w:p>
      <w:pPr>
        <w:spacing w:after="0" w:line="117" w:lineRule="exact"/>
        <w:rPr>
          <w:sz w:val="20"/>
          <w:szCs w:val="20"/>
          <w:color w:val="auto"/>
        </w:rPr>
      </w:pPr>
    </w:p>
    <w:p>
      <w:pPr>
        <w:ind w:right="80" w:firstLine="468"/>
        <w:spacing w:after="0" w:line="268" w:lineRule="auto"/>
        <w:rPr>
          <w:sz w:val="20"/>
          <w:szCs w:val="20"/>
          <w:color w:val="auto"/>
        </w:rPr>
      </w:pPr>
      <w:r>
        <w:rPr>
          <w:rFonts w:ascii="Arial" w:cs="Arial" w:eastAsia="Arial" w:hAnsi="Arial"/>
          <w:sz w:val="17"/>
          <w:szCs w:val="17"/>
          <w:color w:val="auto"/>
        </w:rPr>
        <w:t>In June 2016, the FASB issued ASU No. 2016-13, Financial Instruments-Credit Losses: Measurement of Credit Losses on Financial Instruments, or ASU 2016-13. ASU 2016-13 replaces the incurred loss impairment methodology in current U.S.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Entities will apply the standard’s provisions as a cumulative-effect adjustment to retained earnings as of the beginning of the first reporting period in which the guidance is effective. The standard will be effective for annual reporting periods beginning after December 15, 2019, including interim periods within those reporting periods for public business entities that meet the definition of an SEC filer, excluding entities eligible to be smaller reporting companies as defined by the SEC. For all other entities, the amendments in this update are effective for fiscal years beginning after December 15, 2022, including interim periods within those fiscal years. Early application of the amendments is permitted. The Company adopted ASU 2016-13 using the modified retrospective approach as of January 1, 2021. The cumulative effect upon adoption was $887,000 to the retained earnings in the accompanying Condensed Consolidated Statements of Stockholders’ Equity and trade accounts receivable, net, in the accompanying Condensed Consolidated Balance Sheets. The cumulative tax effective was $239,000 to retained earnings and deferred tax assets included in other long-term assets in the accompanying Condensed Consolidated Balance Sheets. There was no impact related to available-for-sale debt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w:t>
      </w:r>
    </w:p>
    <w:p>
      <w:pPr>
        <w:spacing w:after="0" w:line="117" w:lineRule="exact"/>
        <w:rPr>
          <w:sz w:val="20"/>
          <w:szCs w:val="20"/>
          <w:color w:val="auto"/>
        </w:rPr>
      </w:pPr>
    </w:p>
    <w:p>
      <w:pPr>
        <w:ind w:right="40" w:firstLine="562"/>
        <w:spacing w:after="0" w:line="286" w:lineRule="auto"/>
        <w:rPr>
          <w:sz w:val="20"/>
          <w:szCs w:val="20"/>
          <w:color w:val="auto"/>
        </w:rPr>
      </w:pPr>
      <w:r>
        <w:rPr>
          <w:rFonts w:ascii="Arial" w:cs="Arial" w:eastAsia="Arial" w:hAnsi="Arial"/>
          <w:sz w:val="16"/>
          <w:szCs w:val="16"/>
          <w:color w:val="auto"/>
        </w:rPr>
        <w:t>In December 2019, the FASB issued ASU No. 2019-12, Simplifying the Accounting for Income Taxes (Topic 740), or ASU 2019-12, which is intended to reduce the complexity of accounting standards while maintaining or enhancing the helpfulness of information provided to financial statement users. The amendment in this ASU simplifies the accounting for income taxes by removing some exceptions including the incremental approach for intraperiod tax allocation, the requirement to recognize a deferred tax liability for equity method investments, the ability not to recognize a deferred tax liability for a foreign subsidiary, and the general methodology for calculating income taxes in an interim period. Other changes include requiring entities to recognize franchise tax that is partially based on income as an income-based tax and account for any incremental amount incurred as a non-income-based tax, evaluate tax basis step-up in goodwill obtained in a transaction that is not a business combination, and reflect the effect of an enacted change in tax laws or rates in the annual effective tax rate computation in the interim period that includes the enactment date, making minor codification improvements for income taxes related to employee stock ownership plans and investments in qualified affordable housing projects accounted for using the equity method, and specifying that an entity is not required to allocate the consolidated current and deferred tax expense to a legal entity that is not subject to tax in its separate financial statements. For public business entities, this amendment is effective for fiscal years, and interim periods within those fiscal years, beginning after December 15, 2020 with early adoption permitted. The Company adopted ASU 2019-12 in the first quarter of 2021, and the adoption had no material impact to the Company’s condensed consolidated financial statements.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Note 3. Marketable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80" w:type="dxa"/>
            <w:vAlign w:val="bottom"/>
            <w:gridSpan w:val="5"/>
          </w:tcPr>
          <w:p>
            <w:pPr>
              <w:ind w:left="520"/>
              <w:spacing w:after="0"/>
              <w:rPr>
                <w:sz w:val="20"/>
                <w:szCs w:val="20"/>
                <w:color w:val="auto"/>
              </w:rPr>
            </w:pPr>
            <w:r>
              <w:rPr>
                <w:rFonts w:ascii="Arial" w:cs="Arial" w:eastAsia="Arial" w:hAnsi="Arial"/>
                <w:sz w:val="18"/>
                <w:szCs w:val="18"/>
                <w:color w:val="auto"/>
              </w:rPr>
              <w:t>The Company’s marketable securities consisted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7"/>
                <w:szCs w:val="17"/>
                <w:color w:val="auto"/>
              </w:rPr>
            </w:pPr>
          </w:p>
        </w:tc>
        <w:tc>
          <w:tcPr>
            <w:tcW w:w="136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ind w:left="120"/>
              <w:spacing w:after="0" w:line="205" w:lineRule="exact"/>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7"/>
                <w:szCs w:val="17"/>
                <w:color w:val="auto"/>
              </w:rPr>
            </w:pPr>
          </w:p>
        </w:tc>
      </w:tr>
      <w:tr>
        <w:trPr>
          <w:trHeight w:val="234"/>
        </w:trPr>
        <w:tc>
          <w:tcPr>
            <w:tcW w:w="4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Short-term</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500"/>
              <w:spacing w:after="0"/>
              <w:rPr>
                <w:sz w:val="20"/>
                <w:szCs w:val="20"/>
                <w:color w:val="auto"/>
              </w:rPr>
            </w:pPr>
            <w:r>
              <w:rPr>
                <w:rFonts w:ascii="Arial" w:cs="Arial" w:eastAsia="Arial" w:hAnsi="Arial"/>
                <w:sz w:val="18"/>
                <w:szCs w:val="18"/>
                <w:color w:val="auto"/>
              </w:rPr>
              <w:t>Bond fund</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169,366</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168,925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traded funds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35,034</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Available-for-sale debt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77,854</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500"/>
              <w:spacing w:after="0"/>
              <w:rPr>
                <w:sz w:val="20"/>
                <w:szCs w:val="20"/>
                <w:color w:val="auto"/>
              </w:rPr>
            </w:pPr>
            <w:r>
              <w:rPr>
                <w:rFonts w:ascii="Arial" w:cs="Arial" w:eastAsia="Arial" w:hAnsi="Arial"/>
                <w:sz w:val="18"/>
                <w:szCs w:val="18"/>
                <w:color w:val="auto"/>
              </w:rPr>
              <w:t>Money market accounts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500"/>
              <w:spacing w:after="0"/>
              <w:rPr>
                <w:sz w:val="20"/>
                <w:szCs w:val="20"/>
                <w:color w:val="auto"/>
              </w:rPr>
            </w:pPr>
            <w:r>
              <w:rPr>
                <w:rFonts w:ascii="Arial" w:cs="Arial" w:eastAsia="Arial" w:hAnsi="Arial"/>
                <w:sz w:val="18"/>
                <w:szCs w:val="18"/>
                <w:color w:val="auto"/>
              </w:rPr>
              <w:t>Less: Cash equivalents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(5,501)</w:t>
            </w:r>
          </w:p>
        </w:tc>
      </w:tr>
      <w:tr>
        <w:trPr>
          <w:trHeight w:val="223"/>
        </w:trPr>
        <w:tc>
          <w:tcPr>
            <w:tcW w:w="48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marketable securities</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283,589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354,489</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Yankee debt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U.S. government agency debt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r>
      <w:tr>
        <w:trPr>
          <w:trHeight w:val="223"/>
        </w:trPr>
        <w:tc>
          <w:tcPr>
            <w:tcW w:w="48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0"/>
              </w:rPr>
              <w:t>Total marketable securities due after 1 year through 5 years</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384,711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After 5 years through 10 years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FF0FC"/>
          </w:tcPr>
          <w:p>
            <w:pPr>
              <w:spacing w:after="0"/>
              <w:rPr>
                <w:sz w:val="19"/>
                <w:szCs w:val="19"/>
                <w:color w:val="auto"/>
              </w:rPr>
            </w:pPr>
          </w:p>
        </w:tc>
      </w:tr>
      <w:tr>
        <w:trPr>
          <w:trHeight w:val="209"/>
        </w:trPr>
        <w:tc>
          <w:tcPr>
            <w:tcW w:w="4820" w:type="dxa"/>
            <w:vAlign w:val="bottom"/>
          </w:tcPr>
          <w:p>
            <w:pPr>
              <w:ind w:left="500"/>
              <w:spacing w:after="0"/>
              <w:rPr>
                <w:sz w:val="20"/>
                <w:szCs w:val="20"/>
                <w:color w:val="auto"/>
              </w:rPr>
            </w:pPr>
            <w:r>
              <w:rPr>
                <w:rFonts w:ascii="Arial" w:cs="Arial" w:eastAsia="Arial" w:hAnsi="Arial"/>
                <w:sz w:val="18"/>
                <w:szCs w:val="18"/>
                <w:color w:val="auto"/>
                <w:w w:val="96"/>
              </w:rPr>
              <w:t>Total marketable securities due after 5 years through 10</w:t>
            </w: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years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20"/>
                <w:szCs w:val="20"/>
                <w:color w:val="auto"/>
              </w:rPr>
            </w:pPr>
          </w:p>
        </w:tc>
      </w:tr>
      <w:tr>
        <w:trPr>
          <w:trHeight w:val="223"/>
        </w:trPr>
        <w:tc>
          <w:tcPr>
            <w:tcW w:w="48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676,578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7"/>
                <w:szCs w:val="17"/>
                <w:color w:val="auto"/>
              </w:rPr>
            </w:pPr>
          </w:p>
        </w:tc>
        <w:tc>
          <w:tcPr>
            <w:tcW w:w="136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ind w:left="120"/>
              <w:spacing w:after="0" w:line="205" w:lineRule="exact"/>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7"/>
                <w:szCs w:val="17"/>
                <w:color w:val="auto"/>
              </w:rPr>
            </w:pPr>
          </w:p>
        </w:tc>
      </w:tr>
      <w:tr>
        <w:trPr>
          <w:trHeight w:val="234"/>
        </w:trPr>
        <w:tc>
          <w:tcPr>
            <w:tcW w:w="4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Short-term</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Bond fund</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153,269</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153,185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traded funds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Available-for-sale debt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(47,461)</w:t>
            </w:r>
          </w:p>
        </w:tc>
      </w:tr>
      <w:tr>
        <w:trPr>
          <w:trHeight w:val="223"/>
        </w:trPr>
        <w:tc>
          <w:tcPr>
            <w:tcW w:w="4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short-term marketable securities</w:t>
            </w:r>
          </w:p>
        </w:tc>
        <w:tc>
          <w:tcPr>
            <w:tcW w:w="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211,941</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After 1 year through 5 years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125,452</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debt securities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19"/>
                <w:szCs w:val="19"/>
                <w:color w:val="auto"/>
              </w:rPr>
            </w:pPr>
          </w:p>
        </w:tc>
      </w:tr>
      <w:tr>
        <w:trPr>
          <w:trHeight w:val="223"/>
        </w:trPr>
        <w:tc>
          <w:tcPr>
            <w:tcW w:w="48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0"/>
              </w:rPr>
              <w:t>Total marketable securities due after 1 year through 5 years</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820" w:type="dxa"/>
            <w:vAlign w:val="bottom"/>
          </w:tcPr>
          <w:p>
            <w:pPr>
              <w:ind w:left="500"/>
              <w:spacing w:after="0"/>
              <w:rPr>
                <w:sz w:val="20"/>
                <w:szCs w:val="20"/>
                <w:color w:val="auto"/>
              </w:rPr>
            </w:pPr>
            <w:r>
              <w:rPr>
                <w:rFonts w:ascii="Arial" w:cs="Arial" w:eastAsia="Arial" w:hAnsi="Arial"/>
                <w:sz w:val="18"/>
                <w:szCs w:val="18"/>
                <w:color w:val="auto"/>
              </w:rPr>
              <w:t>Total marketable securities</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344,443</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ind w:right="80" w:firstLine="510"/>
        <w:spacing w:after="0" w:line="263" w:lineRule="auto"/>
        <w:rPr>
          <w:sz w:val="20"/>
          <w:szCs w:val="20"/>
          <w:color w:val="auto"/>
        </w:rPr>
      </w:pPr>
      <w:r>
        <w:rPr>
          <w:rFonts w:ascii="Arial" w:cs="Arial" w:eastAsia="Arial" w:hAnsi="Arial"/>
          <w:sz w:val="18"/>
          <w:szCs w:val="18"/>
          <w:color w:val="auto"/>
        </w:rPr>
        <w:t>Gross unrealized losses on the Company’s marketable securities were $1.3 million as of June 30, 2021. Gross unrealized losses on the Company’s marketable securities were $298,000 as of December 31, 2020. The Company currently does not intend to sell these securities prior to maturity. During the three and six months ended June 30, 2021, the Company did not recognize credit losses.</w:t>
      </w:r>
    </w:p>
    <w:p>
      <w:pPr>
        <w:spacing w:after="0" w:line="184"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Company’s securities of $420.4 million are used as collateral for an outstanding margin account borrowing. As of June 30, 2021, the Company had an outstanding borrowing of $15.1 million under its margin account. Margin account borrowings were used for the purchase of real property located in El Monte, California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84"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76"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89" w:lineRule="exact"/>
        <w:rPr>
          <w:sz w:val="20"/>
          <w:szCs w:val="20"/>
          <w:color w:val="auto"/>
        </w:rPr>
      </w:pPr>
    </w:p>
    <w:p>
      <w:pPr>
        <w:ind w:left="5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inputs for the asset or liability.</w:t>
      </w:r>
    </w:p>
    <w:p>
      <w:pPr>
        <w:spacing w:after="0" w:line="266"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2021</w:t>
            </w: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5"/>
              </w:rPr>
              <w:t>Level 2</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 and cash equivalents: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Bond Fund</w:t>
            </w:r>
          </w:p>
        </w:tc>
        <w:tc>
          <w:tcPr>
            <w:tcW w:w="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168,925</w:t>
            </w:r>
          </w:p>
        </w:tc>
        <w:tc>
          <w:tcPr>
            <w:tcW w:w="5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168,925</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traded funds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432,343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432,343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Municipal bonds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debt securities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 and cash equivalents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Marketable securities and cash equivalents: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Bond Fund</w:t>
            </w:r>
          </w:p>
        </w:tc>
        <w:tc>
          <w:tcPr>
            <w:tcW w:w="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5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Exchange traded funds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U.S. government agency debt securities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Yankee debt securities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 and cash equivalents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The Company’s Level 1 assets include marketable equity securities and money market instruments and are valued based upon observable market prices. Level 2 assets consist of U.S. government agency debt securities, municipal bonds, corporate debt securities and Yankee debt securities. Level 2 securities are valued based upon observable inputs that include reported trades, broker/dealer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quotes, bids and offers. As of June 30, 2021, the Company had no investments that were measured using unobservable (Level 3) inputs.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three and six months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 5. Fixed Assets</w:t>
            </w:r>
          </w:p>
        </w:tc>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4700" w:type="dxa"/>
            <w:vAlign w:val="bottom"/>
            <w:gridSpan w:val="2"/>
          </w:tcPr>
          <w:p>
            <w:pPr>
              <w:ind w:left="520"/>
              <w:spacing w:after="0"/>
              <w:rPr>
                <w:sz w:val="20"/>
                <w:szCs w:val="20"/>
                <w:color w:val="auto"/>
              </w:rPr>
            </w:pPr>
            <w:r>
              <w:rPr>
                <w:rFonts w:ascii="Arial" w:cs="Arial" w:eastAsia="Arial" w:hAnsi="Arial"/>
                <w:sz w:val="18"/>
                <w:szCs w:val="18"/>
                <w:color w:val="auto"/>
                <w:w w:val="94"/>
              </w:rPr>
              <w:t>Major classes of fixed assets consisted of the following:</w:t>
            </w: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4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4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Useful Lives</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Medical lab equipment</w:t>
            </w:r>
          </w:p>
        </w:tc>
        <w:tc>
          <w:tcPr>
            <w:tcW w:w="39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86"/>
              </w:rPr>
              <w:t>3 to 5 Years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30,108</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3920" w:type="dxa"/>
            <w:vAlign w:val="bottom"/>
          </w:tcPr>
          <w:p>
            <w:pPr>
              <w:jc w:val="center"/>
              <w:ind w:right="310"/>
              <w:spacing w:after="0"/>
              <w:rPr>
                <w:sz w:val="20"/>
                <w:szCs w:val="20"/>
                <w:color w:val="auto"/>
              </w:rPr>
            </w:pPr>
            <w:r>
              <w:rPr>
                <w:rFonts w:ascii="Arial" w:cs="Arial" w:eastAsia="Arial" w:hAnsi="Arial"/>
                <w:sz w:val="18"/>
                <w:szCs w:val="18"/>
                <w:color w:val="auto"/>
                <w:w w:val="88"/>
              </w:rPr>
              <w:t>39 Years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6,731</w:t>
            </w:r>
          </w:p>
        </w:tc>
        <w:tc>
          <w:tcPr>
            <w:tcW w:w="120" w:type="dxa"/>
            <w:vAlign w:val="bottom"/>
          </w:tcPr>
          <w:p>
            <w:pPr>
              <w:spacing w:after="0"/>
              <w:rPr>
                <w:sz w:val="19"/>
                <w:szCs w:val="19"/>
                <w:color w:val="auto"/>
              </w:rPr>
            </w:pPr>
          </w:p>
        </w:tc>
      </w:tr>
      <w:tr>
        <w:trPr>
          <w:trHeight w:val="23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Aircraft</w:t>
            </w:r>
          </w:p>
        </w:tc>
        <w:tc>
          <w:tcPr>
            <w:tcW w:w="39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83"/>
              </w:rPr>
              <w:t>7 Years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Computer hardware</w:t>
            </w:r>
          </w:p>
        </w:tc>
        <w:tc>
          <w:tcPr>
            <w:tcW w:w="3920" w:type="dxa"/>
            <w:vAlign w:val="bottom"/>
          </w:tcPr>
          <w:p>
            <w:pPr>
              <w:jc w:val="center"/>
              <w:ind w:right="310"/>
              <w:spacing w:after="0"/>
              <w:rPr>
                <w:sz w:val="20"/>
                <w:szCs w:val="20"/>
                <w:color w:val="auto"/>
              </w:rPr>
            </w:pPr>
            <w:r>
              <w:rPr>
                <w:rFonts w:ascii="Arial" w:cs="Arial" w:eastAsia="Arial" w:hAnsi="Arial"/>
                <w:sz w:val="18"/>
                <w:szCs w:val="18"/>
                <w:color w:val="auto"/>
                <w:w w:val="83"/>
              </w:rPr>
              <w:t>3 Years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19"/>
                <w:szCs w:val="19"/>
                <w:color w:val="auto"/>
              </w:rPr>
            </w:pPr>
          </w:p>
        </w:tc>
      </w:tr>
      <w:tr>
        <w:trPr>
          <w:trHeight w:val="23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9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90"/>
              </w:rPr>
              <w:t>Shorter of lease term or estimated useful life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920" w:type="dxa"/>
            <w:vAlign w:val="bottom"/>
          </w:tcPr>
          <w:p>
            <w:pPr>
              <w:jc w:val="center"/>
              <w:ind w:right="310"/>
              <w:spacing w:after="0"/>
              <w:rPr>
                <w:sz w:val="20"/>
                <w:szCs w:val="20"/>
                <w:color w:val="auto"/>
              </w:rPr>
            </w:pPr>
            <w:r>
              <w:rPr>
                <w:rFonts w:ascii="Arial" w:cs="Arial" w:eastAsia="Arial" w:hAnsi="Arial"/>
                <w:sz w:val="18"/>
                <w:szCs w:val="18"/>
                <w:color w:val="auto"/>
                <w:w w:val="86"/>
              </w:rPr>
              <w:t>2 to 5 Years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Automobile</w:t>
            </w:r>
          </w:p>
        </w:tc>
        <w:tc>
          <w:tcPr>
            <w:tcW w:w="39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86"/>
              </w:rPr>
              <w:t>2 to 5 Years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Building improvements</w:t>
            </w:r>
          </w:p>
        </w:tc>
        <w:tc>
          <w:tcPr>
            <w:tcW w:w="3920" w:type="dxa"/>
            <w:vAlign w:val="bottom"/>
          </w:tcPr>
          <w:p>
            <w:pPr>
              <w:jc w:val="center"/>
              <w:ind w:right="310"/>
              <w:spacing w:after="0"/>
              <w:rPr>
                <w:sz w:val="20"/>
                <w:szCs w:val="20"/>
                <w:color w:val="auto"/>
              </w:rPr>
            </w:pPr>
            <w:r>
              <w:rPr>
                <w:rFonts w:ascii="Arial" w:cs="Arial" w:eastAsia="Arial" w:hAnsi="Arial"/>
                <w:sz w:val="18"/>
                <w:szCs w:val="18"/>
                <w:color w:val="auto"/>
                <w:w w:val="89"/>
              </w:rPr>
              <w:t>6 months to 5 Years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39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86"/>
              </w:rPr>
              <w:t>3 to 5 Years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Land improvements</w:t>
            </w:r>
          </w:p>
        </w:tc>
        <w:tc>
          <w:tcPr>
            <w:tcW w:w="3920" w:type="dxa"/>
            <w:vAlign w:val="bottom"/>
          </w:tcPr>
          <w:p>
            <w:pPr>
              <w:jc w:val="center"/>
              <w:ind w:right="310"/>
              <w:spacing w:after="0"/>
              <w:rPr>
                <w:sz w:val="20"/>
                <w:szCs w:val="20"/>
                <w:color w:val="auto"/>
              </w:rPr>
            </w:pPr>
            <w:r>
              <w:rPr>
                <w:rFonts w:ascii="Arial" w:cs="Arial" w:eastAsia="Arial" w:hAnsi="Arial"/>
                <w:sz w:val="18"/>
                <w:szCs w:val="18"/>
                <w:color w:val="auto"/>
                <w:w w:val="89"/>
              </w:rPr>
              <w:t>5 to 15 Years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r>
      <w:tr>
        <w:trPr>
          <w:trHeight w:val="23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equipment</w:t>
            </w:r>
          </w:p>
        </w:tc>
        <w:tc>
          <w:tcPr>
            <w:tcW w:w="392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86"/>
              </w:rPr>
              <w:t>3 to 5 Years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Land</w:t>
            </w: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3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not yet placed in service</w:t>
            </w:r>
          </w:p>
        </w:tc>
        <w:tc>
          <w:tcPr>
            <w:tcW w:w="39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FF0FC"/>
          </w:tcPr>
          <w:p>
            <w:pPr>
              <w:spacing w:after="0"/>
              <w:rPr>
                <w:sz w:val="19"/>
                <w:szCs w:val="19"/>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51,119</w:t>
            </w:r>
          </w:p>
        </w:tc>
        <w:tc>
          <w:tcPr>
            <w:tcW w:w="120" w:type="dxa"/>
            <w:vAlign w:val="bottom"/>
          </w:tcPr>
          <w:p>
            <w:pPr>
              <w:spacing w:after="0"/>
              <w:rPr>
                <w:sz w:val="19"/>
                <w:szCs w:val="19"/>
                <w:color w:val="auto"/>
              </w:rPr>
            </w:pPr>
          </w:p>
        </w:tc>
      </w:tr>
      <w:tr>
        <w:trPr>
          <w:trHeight w:val="23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(14,740)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(10,920)</w:t>
            </w: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39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40,199</w:t>
            </w:r>
          </w:p>
        </w:tc>
        <w:tc>
          <w:tcPr>
            <w:tcW w:w="1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Depreciation expense on fixed assets totaled $2.3 million and $549,000 for the three months and $4.2 million and $1.1 million for the six months ended June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Significant Balance Sheet Accounts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223"/>
        </w:trPr>
        <w:tc>
          <w:tcPr>
            <w:tcW w:w="4860" w:type="dxa"/>
            <w:vAlign w:val="bottom"/>
          </w:tcPr>
          <w:p>
            <w:pPr>
              <w:spacing w:after="0"/>
              <w:rPr>
                <w:sz w:val="19"/>
                <w:szCs w:val="19"/>
                <w:color w:val="auto"/>
              </w:rPr>
            </w:pPr>
          </w:p>
        </w:tc>
        <w:tc>
          <w:tcPr>
            <w:tcW w:w="33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180"/>
        </w:trPr>
        <w:tc>
          <w:tcPr>
            <w:tcW w:w="4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48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3320" w:type="dxa"/>
            <w:vAlign w:val="bottom"/>
            <w:gridSpan w:val="2"/>
            <w:shd w:val="clear" w:color="auto" w:fill="CFF0FC"/>
          </w:tcPr>
          <w:p>
            <w:pPr>
              <w:jc w:val="right"/>
              <w:ind w:right="11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25,373</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interest receivable</w:t>
            </w:r>
          </w:p>
        </w:tc>
        <w:tc>
          <w:tcPr>
            <w:tcW w:w="19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Other receivable</w:t>
            </w: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9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Prepaid income taxes</w:t>
            </w: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ind w:right="11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Reagents and supplies include reagents and consumables used for COVID-19 testing and genetics testing and collection kits for COVID-19 testing. Other receivable as of December 31, 2020 primarily consists of proceeds to be received from public offerings of the Company’s common stock, which were all collected during the six months ended June 30, 2021.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6"/>
          <w:szCs w:val="16"/>
          <w:color w:val="auto"/>
        </w:rPr>
        <w:t>Other current liabilities consisted of the following:</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Payroll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Sales tax payable and other</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liabilities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Due to related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0"/>
                <w:szCs w:val="20"/>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tcPr>
          <w:p>
            <w:pPr>
              <w:spacing w:after="0"/>
              <w:rPr>
                <w:sz w:val="19"/>
                <w:szCs w:val="19"/>
                <w:color w:val="auto"/>
              </w:rPr>
            </w:pPr>
          </w:p>
        </w:tc>
      </w:tr>
      <w:tr>
        <w:trPr>
          <w:trHeight w:val="229"/>
        </w:trPr>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6,687</w:t>
            </w:r>
          </w:p>
        </w:tc>
        <w:tc>
          <w:tcPr>
            <w:tcW w:w="34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5,314</w:t>
            </w: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2,538</w:t>
            </w: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13,063</w:t>
            </w: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-762000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-471170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-179070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382" w:right="3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229"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June 30, 2021 and December 31, 2020 with an insignificant amount located in China and Canada. Revenue by region during the three and six months ended June 30, 2021 and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United States</w:t>
            </w:r>
          </w:p>
        </w:tc>
        <w:tc>
          <w:tcPr>
            <w:tcW w:w="21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149,862</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16,138</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507,399</w:t>
            </w:r>
          </w:p>
        </w:tc>
        <w:tc>
          <w:tcPr>
            <w:tcW w:w="26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19"/>
                <w:szCs w:val="19"/>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FF0FC"/>
          </w:tcPr>
          <w:p>
            <w:pPr>
              <w:spacing w:after="0"/>
              <w:rPr>
                <w:sz w:val="19"/>
                <w:szCs w:val="19"/>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513,045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25,018</w:t>
            </w:r>
          </w:p>
        </w:tc>
        <w:tc>
          <w:tcPr>
            <w:tcW w:w="10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140" w:firstLine="464"/>
        <w:spacing w:after="0" w:line="253" w:lineRule="auto"/>
        <w:rPr>
          <w:sz w:val="20"/>
          <w:szCs w:val="20"/>
          <w:color w:val="auto"/>
        </w:rPr>
      </w:pPr>
      <w:r>
        <w:rPr>
          <w:rFonts w:ascii="Arial" w:cs="Arial" w:eastAsia="Arial" w:hAnsi="Arial"/>
          <w:sz w:val="18"/>
          <w:szCs w:val="18"/>
          <w:color w:val="auto"/>
        </w:rPr>
        <w:t>As of June 30, 2021, the Company had an outstanding borrowing of $15.1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and the EFFR and/or the spread can be changed by BNY Mellon at any time. The interest was 1% at the time of withdrawal of $15.0 million from the margin account, and the interest rate at June 30, 2021 was less than 1.0%. The Company did not make any other withdrawals from the margin account, and the outstanding balance of $15.1 million is included in the accompanying Condensed Consolidated Balance Sheets. The related interest expenses for the three and six months ended June 30, 2021 were $29,000 and $58,000, respectively. The related interest expenses were none for the three and six months ended June 30, 2020.</w:t>
      </w:r>
    </w:p>
    <w:p>
      <w:pPr>
        <w:spacing w:after="0" w:line="88" w:lineRule="exact"/>
        <w:rPr>
          <w:sz w:val="20"/>
          <w:szCs w:val="20"/>
          <w:color w:val="auto"/>
        </w:rPr>
      </w:pPr>
    </w:p>
    <w:p>
      <w:pPr>
        <w:ind w:right="100" w:firstLine="464"/>
        <w:spacing w:after="0" w:line="263" w:lineRule="auto"/>
        <w:rPr>
          <w:sz w:val="20"/>
          <w:szCs w:val="20"/>
          <w:color w:val="auto"/>
        </w:rPr>
      </w:pPr>
      <w:r>
        <w:rPr>
          <w:rFonts w:ascii="Arial" w:cs="Arial" w:eastAsia="Arial" w:hAnsi="Arial"/>
          <w:sz w:val="18"/>
          <w:szCs w:val="18"/>
          <w:color w:val="auto"/>
        </w:rPr>
        <w:t>Notes payable as of June 30, 2021 consisted of $5.9 million of notes payable to Xilong Scientific Co., Ltd., or Xilong Scientific, by Fujian Fujun Gene Biotech Co., Ltd., or FF Gene Biotech, as defined in Note 14, Business Combination. The loan is payable on December 31, 2022 and interest rate on the loan is 4.97%.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9, Leases, 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As of June 30, 2021, the Company had non-cancelable purchase obligations of $7.6 million, of which, $4.9 million for reagents and other supplies, $2.3 million for medical lab equipment, and $372,000 for medical lab furniture are payable within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620" w:firstLine="51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is party as a lessee to various non-cancelable operating leases with varying terms through February 2026 primarily for laboratory and office space and equipment. The Company has an option to renew one of these leases for one year after its expiration. On a lease-by-lease basis, the Company considers such options, which may be elected at the Company’s sole discretion, in determining the lease term. The Company does not have any finance leases or leases with variable lease payments. The Company’s lease agreements do not contain any residual value guarantees, material restrictive covenants, bargain purchase options or asset retirement obligations.</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Another CLIA-certified laboratory is located in Houston, Texas. Additional offices are located in Atlanta, Georgia and are used for certain report generation functions.</w:t>
      </w:r>
    </w:p>
    <w:p>
      <w:pPr>
        <w:spacing w:after="0" w:line="18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In February 2021, the Company extended the lease for its headquarters located in Temple City, California, to January 31, 2023. In March 2021, the Company entered into a new lease for its 12,000 square foot CLIA-certified laboratory in Houston, Texas, and the lease will expire in November 2023.</w:t>
      </w:r>
    </w:p>
    <w:p>
      <w:pPr>
        <w:spacing w:after="0" w:line="124" w:lineRule="exact"/>
        <w:rPr>
          <w:sz w:val="20"/>
          <w:szCs w:val="20"/>
          <w:color w:val="auto"/>
        </w:rPr>
      </w:pPr>
    </w:p>
    <w:p>
      <w:pPr>
        <w:ind w:right="40" w:firstLine="510"/>
        <w:spacing w:after="0" w:line="258" w:lineRule="auto"/>
        <w:rPr>
          <w:sz w:val="20"/>
          <w:szCs w:val="20"/>
          <w:color w:val="auto"/>
        </w:rPr>
      </w:pPr>
      <w:r>
        <w:rPr>
          <w:rFonts w:ascii="Arial" w:cs="Arial" w:eastAsia="Arial" w:hAnsi="Arial"/>
          <w:sz w:val="18"/>
          <w:szCs w:val="18"/>
          <w:color w:val="auto"/>
        </w:rPr>
        <w:t>The operating lease right-of-use asset, short-term lease liabilities, and long-term lease liabilities as of June 30, 2021 and December 31,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Operating lease liabilities, short term</w:t>
            </w:r>
          </w:p>
        </w:tc>
        <w:tc>
          <w:tcPr>
            <w:tcW w:w="2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 term</w:t>
            </w:r>
          </w:p>
        </w:tc>
        <w:tc>
          <w:tcPr>
            <w:tcW w:w="2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was operating lease expense: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25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-471170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-179070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449"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520"/>
              <w:spacing w:after="0"/>
              <w:rPr>
                <w:sz w:val="20"/>
                <w:szCs w:val="20"/>
                <w:color w:val="auto"/>
              </w:rPr>
            </w:pPr>
            <w:r>
              <w:rPr>
                <w:rFonts w:ascii="Arial" w:cs="Arial" w:eastAsia="Arial" w:hAnsi="Arial"/>
                <w:sz w:val="18"/>
                <w:szCs w:val="18"/>
                <w:color w:val="auto"/>
                <w:w w:val="96"/>
              </w:rPr>
              <w:t>Supplemental information related to leases was the following:</w:t>
            </w:r>
          </w:p>
        </w:tc>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45"/>
        </w:trPr>
        <w:tc>
          <w:tcPr>
            <w:tcW w:w="5260" w:type="dxa"/>
            <w:vAlign w:val="bottom"/>
            <w:tcBorders>
              <w:bottom w:val="single" w:sz="8" w:color="CFF0FC"/>
            </w:tcBorders>
          </w:tcPr>
          <w:p>
            <w:pPr>
              <w:spacing w:after="0"/>
              <w:rPr>
                <w:sz w:val="24"/>
                <w:szCs w:val="24"/>
                <w:color w:val="auto"/>
              </w:rPr>
            </w:pPr>
          </w:p>
        </w:tc>
        <w:tc>
          <w:tcPr>
            <w:tcW w:w="3260" w:type="dxa"/>
            <w:vAlign w:val="bottom"/>
            <w:tcBorders>
              <w:bottom w:val="single" w:sz="8" w:color="CFF0FC"/>
            </w:tcBorders>
          </w:tcPr>
          <w:p>
            <w:pPr>
              <w:spacing w:after="0"/>
              <w:rPr>
                <w:sz w:val="24"/>
                <w:szCs w:val="24"/>
                <w:color w:val="auto"/>
              </w:rPr>
            </w:pPr>
          </w:p>
        </w:tc>
        <w:tc>
          <w:tcPr>
            <w:tcW w:w="2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3260" w:type="dxa"/>
            <w:vAlign w:val="bottom"/>
            <w:shd w:val="clear" w:color="auto" w:fill="CFF0FC"/>
          </w:tcPr>
          <w:p>
            <w:pPr>
              <w:spacing w:after="0"/>
              <w:rPr>
                <w:sz w:val="19"/>
                <w:szCs w:val="19"/>
                <w:color w:val="auto"/>
              </w:rPr>
            </w:pPr>
          </w:p>
        </w:tc>
        <w:tc>
          <w:tcPr>
            <w:tcW w:w="2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 years</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647"/>
        </w:trPr>
        <w:tc>
          <w:tcPr>
            <w:tcW w:w="5260" w:type="dxa"/>
            <w:vAlign w:val="bottom"/>
          </w:tcPr>
          <w:p>
            <w:pPr>
              <w:spacing w:after="0"/>
              <w:rPr>
                <w:sz w:val="24"/>
                <w:szCs w:val="24"/>
                <w:color w:val="auto"/>
              </w:rPr>
            </w:pPr>
          </w:p>
        </w:tc>
        <w:tc>
          <w:tcPr>
            <w:tcW w:w="3260" w:type="dxa"/>
            <w:vAlign w:val="bottom"/>
          </w:tcPr>
          <w:p>
            <w:pPr>
              <w:jc w:val="right"/>
              <w:ind w:right="2710"/>
              <w:spacing w:after="0"/>
              <w:rPr>
                <w:sz w:val="20"/>
                <w:szCs w:val="20"/>
                <w:color w:val="auto"/>
              </w:rPr>
            </w:pPr>
            <w:r>
              <w:rPr>
                <w:rFonts w:ascii="Arial" w:cs="Arial" w:eastAsia="Arial" w:hAnsi="Arial"/>
                <w:sz w:val="18"/>
                <w:szCs w:val="18"/>
                <w:color w:val="auto"/>
              </w:rPr>
              <w:t>16</w:t>
            </w:r>
          </w:p>
        </w:tc>
        <w:tc>
          <w:tcPr>
            <w:tcW w:w="2720" w:type="dxa"/>
            <w:vAlign w:val="bottom"/>
          </w:tcPr>
          <w:p>
            <w:pPr>
              <w:spacing w:after="0"/>
              <w:rPr>
                <w:sz w:val="24"/>
                <w:szCs w:val="24"/>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8" w:name="page19"/>
    <w:bookmarkEnd w:id="18"/>
    <w:p>
      <w:pPr>
        <w:ind w:left="520"/>
        <w:spacing w:after="0"/>
        <w:rPr>
          <w:sz w:val="20"/>
          <w:szCs w:val="20"/>
          <w:color w:val="auto"/>
        </w:rPr>
      </w:pPr>
      <w:r>
        <w:rPr>
          <w:rFonts w:ascii="Arial" w:cs="Arial" w:eastAsia="Arial" w:hAnsi="Arial"/>
          <w:sz w:val="16"/>
          <w:szCs w:val="16"/>
          <w:color w:val="auto"/>
        </w:rPr>
        <w:t>The following is a maturity analysis of operating lease liabilities using undiscounted cash flows on an annual basis with renewal periods included: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Operating Leases</w:t>
            </w:r>
          </w:p>
        </w:tc>
      </w:tr>
      <w:tr>
        <w:trPr>
          <w:trHeight w:val="223"/>
        </w:trPr>
        <w:tc>
          <w:tcPr>
            <w:tcW w:w="5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2021 (remaining 6 months)</w:t>
            </w:r>
          </w:p>
        </w:tc>
        <w:tc>
          <w:tcPr>
            <w:tcW w:w="3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2025</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lease payments</w:t>
            </w:r>
          </w:p>
        </w:tc>
        <w:tc>
          <w:tcPr>
            <w:tcW w:w="3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23"/>
        </w:trPr>
        <w:tc>
          <w:tcPr>
            <w:tcW w:w="5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25" w:lineRule="exact"/>
        <w:rPr>
          <w:sz w:val="20"/>
          <w:szCs w:val="20"/>
          <w:color w:val="auto"/>
        </w:rPr>
      </w:pPr>
    </w:p>
    <w:p>
      <w:pPr>
        <w:ind w:right="20" w:firstLine="464"/>
        <w:spacing w:after="0" w:line="301" w:lineRule="auto"/>
        <w:rPr>
          <w:sz w:val="20"/>
          <w:szCs w:val="20"/>
          <w:color w:val="auto"/>
        </w:rPr>
      </w:pPr>
      <w:r>
        <w:rPr>
          <w:rFonts w:ascii="Arial" w:cs="Arial" w:eastAsia="Arial" w:hAnsi="Arial"/>
          <w:sz w:val="16"/>
          <w:szCs w:val="16"/>
          <w:color w:val="auto"/>
        </w:rPr>
        <w:t>The Company leases out space in buildings it owns to third-party tenants under noncancelable operating leases and has leased out such space since the Company purchased such buildings in October 2020. As of June 30, 2021, the remaining lease terms left range from 17 months to 42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57" w:lineRule="exact"/>
        <w:rPr>
          <w:sz w:val="20"/>
          <w:szCs w:val="20"/>
          <w:color w:val="auto"/>
        </w:rPr>
      </w:pPr>
    </w:p>
    <w:p>
      <w:pPr>
        <w:ind w:firstLine="464"/>
        <w:spacing w:after="0" w:line="277" w:lineRule="auto"/>
        <w:rPr>
          <w:sz w:val="20"/>
          <w:szCs w:val="20"/>
          <w:color w:val="auto"/>
        </w:rPr>
      </w:pPr>
      <w:r>
        <w:rPr>
          <w:rFonts w:ascii="Arial" w:cs="Arial" w:eastAsia="Arial" w:hAnsi="Arial"/>
          <w:sz w:val="18"/>
          <w:szCs w:val="18"/>
          <w:color w:val="auto"/>
        </w:rPr>
        <w:t>The lease income was $85,000 and $242,000 for the three and six months ended June 30, 2021, respectively, which was included in interest and other income, net, in the accompanying Condensed Consolidated Statements of Operations. Total lease income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1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4"/>
          </w:tcPr>
          <w:p>
            <w:pPr>
              <w:ind w:left="66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Lease income</w:t>
            </w:r>
          </w:p>
        </w:tc>
        <w:tc>
          <w:tcPr>
            <w:tcW w:w="2640" w:type="dxa"/>
            <w:vAlign w:val="bottom"/>
            <w:gridSpan w:val="2"/>
            <w:shd w:val="clear" w:color="auto" w:fill="CFF0FC"/>
          </w:tcPr>
          <w:p>
            <w:pPr>
              <w:jc w:val="right"/>
              <w:ind w:right="83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Variable lease income</w:t>
            </w:r>
          </w:p>
        </w:tc>
        <w:tc>
          <w:tcPr>
            <w:tcW w:w="1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income</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Future fixed lease payments from tenants for all noncancelable operating leases as of June 30, 2021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Lease Payments</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from Tenants</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4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2021 (remaining 6 months)</w:t>
            </w:r>
          </w:p>
        </w:tc>
        <w:tc>
          <w:tcPr>
            <w:tcW w:w="5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2023</w:t>
            </w:r>
          </w:p>
        </w:tc>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8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140"/>
              <w:spacing w:after="0"/>
              <w:rPr>
                <w:sz w:val="20"/>
                <w:szCs w:val="20"/>
                <w:color w:val="auto"/>
              </w:rPr>
            </w:pPr>
            <w:r>
              <w:rPr>
                <w:rFonts w:ascii="Arial" w:cs="Arial" w:eastAsia="Arial" w:hAnsi="Arial"/>
                <w:sz w:val="18"/>
                <w:szCs w:val="18"/>
                <w:color w:val="auto"/>
              </w:rPr>
              <w:t>Total</w:t>
            </w:r>
          </w:p>
        </w:tc>
        <w:tc>
          <w:tcPr>
            <w:tcW w:w="48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800" w:type="dxa"/>
            <w:vAlign w:val="bottom"/>
            <w:vMerge w:val="restart"/>
          </w:tcPr>
          <w:p>
            <w:pPr>
              <w:jc w:val="right"/>
              <w:ind w:right="275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Operations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4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3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360" w:type="dxa"/>
            <w:vAlign w:val="bottom"/>
            <w:gridSpan w:val="2"/>
            <w:shd w:val="clear" w:color="auto" w:fill="CFF0FC"/>
          </w:tcPr>
          <w:p>
            <w:pPr>
              <w:jc w:val="right"/>
              <w:ind w:right="736"/>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3,526</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(Benefit from) Income Taxes</w:t>
      </w:r>
    </w:p>
    <w:p>
      <w:pPr>
        <w:spacing w:after="0" w:line="22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6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Company recorded consolidated provision for (benefit from) income taxes of $23.6 million and $90.1 million for the three and six months ended June 30, 2021, respectively, compared with $(599,000) and $(565,000) for the three and six months ended June 30, 2020, respectively. The Company’s effective tax rates were 24% and 25% for the three and six months ended June 30, 2021, respectively, compared with -21% and -45% or the three and six months ended June 30, 2020, respectively. The change in the effective tax rate for the three-month and six-month periods of 2021, relative to 2020, was primarily attributable to a significant increase in income for the first quarter of 2021, and, to a lesser extent, an increase in income for the second quarter of 2021, partially offset by increased windfall tax deductions related to stock-based compensation.</w:t>
      </w:r>
    </w:p>
    <w:p>
      <w:pPr>
        <w:spacing w:after="0" w:line="178"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The Company is not currently under examination by any major income tax jurisdiction. During 2021, the statutes of limitations will lapse on the Company's 2017 federal tax year and certain 2016 and 2017 state tax years. The Company does not believe the federal or state statute lapses or any other event will significantly impact the balance of unrecognized tax benefits in the next twelve months. The net balance of unrecognized tax benefits was not material to the interim financial statements for the three and six months ended June 30, 2021 and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per Share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calculation of basic and diluted income per share for the three and six months ended June 30, 2021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86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(in thousands, except per share data)</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Fulgent</w:t>
            </w:r>
          </w:p>
        </w:tc>
        <w:tc>
          <w:tcPr>
            <w:tcW w:w="5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280,503</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shares—outstanding, basic</w:t>
            </w: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29,150</w:t>
            </w: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21,747</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28,991</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Weighted-average common shares—outstanding, diluted</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30,830</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Net income per common share, basic</w:t>
            </w: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The following securities have been excluded from the calculation of diluted income per share because their effect would have been anti-dilutive: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6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 June 30,</w:t>
            </w:r>
          </w:p>
        </w:tc>
        <w:tc>
          <w:tcPr>
            <w:tcW w:w="2700" w:type="dxa"/>
            <w:vAlign w:val="bottom"/>
            <w:gridSpan w:val="3"/>
          </w:tcPr>
          <w:p>
            <w:pPr>
              <w:ind w:left="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2021</w:t>
            </w: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40" w:type="dxa"/>
            <w:vAlign w:val="bottom"/>
            <w:gridSpan w:val="3"/>
          </w:tcPr>
          <w:p>
            <w:pPr>
              <w:ind w:left="84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107</w:t>
            </w: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71</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anti-dilutive shares described above were calculated using the treasury stock method.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$738,000 and $1.9 million in revenue in the three and six months ended June 30, 2021, respectively. The Company did not perform any services for AHMC and did not recognize any revenue in the three and six months ended June 30, 2020. As of June 30, 2021 and December 31, 2020, $793,000 and $1.8 million was owed to the Company by AHMC, which is included in trade accounts receivable, net, in the accompanying Condensed Consolidated Balance Sheets, in connection with this relationship.</w:t>
      </w:r>
    </w:p>
    <w:p>
      <w:pPr>
        <w:spacing w:after="0" w:line="192"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and Fulgent Pharma LLC, the Company’s former subsidiary, are party to shared services arrangements where research and development and administrative services and office space and equipment are provided between the companies, on an arms-length basis. Ming Hsieh is the Manager and a member of Fulgent Pharma LLC. During the three and six months ended June 30, 2021, the cost of research development services rendered by Fulgent Pharma LLC for the Company was $97,000 and $205,000, respectively. The cost of research development services rendered by Fulgent Pharma LLC for the Company was not significant during the three and six months ended June 30, 2020. Amounts for services performed by the Company for Fulgent Pharma LLC were not significant during the three and six months ended June 31, 2021 and 2020. As of June 30, 2021, and December 31, 2020, $574,000 and $409,000, respectively, were owed to Fulgent Pharma LLC by the Company, which are included in due to related parties as a component in other current liabilities in the accompanying Condensed Consolidated Balance Sheets, in connection with these relationships.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 Gene Biotech</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 April 2017, the Company acquired a 30% equity interest in FF Gene Biotech, a newly formed a joint venture with Xilong Scientific, and Fuzhou Jinqiang Investment Partnership (LP), or FJIP. The joint venture was formed under the laws of China to offer genetic testing services to customers in China.</w:t>
      </w:r>
    </w:p>
    <w:p>
      <w:pPr>
        <w:spacing w:after="0" w:line="124"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May 2021, the Company entered into a restructuring agreement with Xilong Scientific and FJIP, resulting in the Company indirectly acquiring a 72% controlling financial interest in FF Gene Biotech. As a result of the acquisition of FF Gene Biotech, or the FF Gene Biotech Acquisition, the Company will be more strategically aligned with it geographic expansion strategy. It also expects to reduce costs through economies of scale.</w:t>
      </w:r>
    </w:p>
    <w:p>
      <w:pPr>
        <w:spacing w:after="0" w:line="149"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goodwill of $23.1 million arising from the FF Gene Biotech Acquisition is attributed to the expected synergies and other benefits that will be potentially generated from the combination of the Company and FF Gene Biotech. The goodwill recognized is not deductible for tax purposes.</w:t>
      </w:r>
    </w:p>
    <w:p>
      <w:pPr>
        <w:spacing w:after="0" w:line="124"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The Company allocated the purchase price to tangible and identified intangible assets acquired and liabilities assumed based on estimated fair values. As additional information becomes available, such as the finalization of the estimated fair value of tax-related items, the Company may further update the preliminary purchase price allocation during the remainder of the measurement period (up to one year from the FF Gene Biotech Acquisition date). The following table summarizes the consideration paid and the amounts of the assets acquired and liabilities assumed recognized at the FF Gene Biotech Acquisition date, as well as the fair value of the noncontrolling interest at the FF Gene Biotech Acquisition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52"/>
        </w:trPr>
        <w:tc>
          <w:tcPr>
            <w:tcW w:w="9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20"/>
                <w:szCs w:val="20"/>
                <w:b w:val="1"/>
                <w:bCs w:val="1"/>
                <w:color w:val="auto"/>
              </w:rPr>
              <w:t>Amounts</w:t>
            </w:r>
          </w:p>
        </w:tc>
      </w:tr>
      <w:tr>
        <w:trPr>
          <w:trHeight w:val="232"/>
        </w:trPr>
        <w:tc>
          <w:tcPr>
            <w:tcW w:w="9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09"/>
              <w:spacing w:after="0"/>
              <w:rPr>
                <w:sz w:val="20"/>
                <w:szCs w:val="20"/>
                <w:color w:val="auto"/>
              </w:rPr>
            </w:pPr>
            <w:r>
              <w:rPr>
                <w:rFonts w:ascii="Arial" w:cs="Arial" w:eastAsia="Arial" w:hAnsi="Arial"/>
                <w:sz w:val="18"/>
                <w:szCs w:val="18"/>
                <w:b w:val="1"/>
                <w:bCs w:val="1"/>
                <w:color w:val="auto"/>
                <w:w w:val="93"/>
              </w:rPr>
              <w:t>(in thousands)</w:t>
            </w:r>
          </w:p>
        </w:tc>
        <w:tc>
          <w:tcPr>
            <w:tcW w:w="100" w:type="dxa"/>
            <w:vAlign w:val="bottom"/>
          </w:tcPr>
          <w:p>
            <w:pPr>
              <w:spacing w:after="0"/>
              <w:rPr>
                <w:sz w:val="20"/>
                <w:szCs w:val="20"/>
                <w:color w:val="auto"/>
              </w:rPr>
            </w:pPr>
          </w:p>
        </w:tc>
      </w:tr>
      <w:tr>
        <w:trPr>
          <w:trHeight w:val="234"/>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Considerations</w:t>
            </w: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19"/>
                <w:szCs w:val="19"/>
                <w:color w:val="auto"/>
              </w:rPr>
            </w:pP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the Company’s 30% equity interest held before the business combination</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9"/>
                <w:szCs w:val="19"/>
                <w:color w:val="auto"/>
              </w:rPr>
            </w:pPr>
          </w:p>
        </w:tc>
      </w:tr>
      <w:tr>
        <w:trPr>
          <w:trHeight w:val="223"/>
        </w:trPr>
        <w:tc>
          <w:tcPr>
            <w:tcW w:w="9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19"/>
                <w:szCs w:val="19"/>
                <w:color w:val="auto"/>
              </w:rPr>
            </w:pP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Financial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FF0FC"/>
          </w:tcPr>
          <w:p>
            <w:pPr>
              <w:spacing w:after="0"/>
              <w:rPr>
                <w:sz w:val="19"/>
                <w:szCs w:val="19"/>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Other tangible assets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FF0FC"/>
          </w:tcPr>
          <w:p>
            <w:pPr>
              <w:spacing w:after="0"/>
              <w:rPr>
                <w:sz w:val="19"/>
                <w:szCs w:val="19"/>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(2,585)</w:t>
            </w: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(5,893)</w:t>
            </w:r>
          </w:p>
        </w:tc>
      </w:tr>
      <w:tr>
        <w:trPr>
          <w:trHeight w:val="223"/>
        </w:trPr>
        <w:tc>
          <w:tcPr>
            <w:tcW w:w="9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Recognized amounts of identifiable assets acquired and liabilities assumed, net</w:t>
            </w:r>
          </w:p>
        </w:tc>
        <w:tc>
          <w:tcPr>
            <w:tcW w:w="1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(8,141)</w:t>
            </w: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23,082</w:t>
            </w:r>
          </w:p>
        </w:tc>
        <w:tc>
          <w:tcPr>
            <w:tcW w:w="100" w:type="dxa"/>
            <w:vAlign w:val="bottom"/>
            <w:shd w:val="clear" w:color="auto" w:fill="CFF0FC"/>
          </w:tcPr>
          <w:p>
            <w:pPr>
              <w:spacing w:after="0"/>
              <w:rPr>
                <w:sz w:val="19"/>
                <w:szCs w:val="19"/>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Company incurred $329,000 acquisition related costs, which was recorded as general and administrative expenses in its condensed consolidated statements of operations.</w:t>
      </w:r>
    </w:p>
    <w:p>
      <w:pPr>
        <w:spacing w:after="0" w:line="170"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fair value of the noncontrolling interest, or NCI, in FF Gene Biotech, a private entity, $8.1 million, was estimated by applying the income approach and market approach. The fair value measurement was based on significant inputs that are not observable in the market and thus represents a fair value categorized within Level 3 of the three-tier fair value hierarchy. The NCI represents a minority interest of 28% in the post-restructuring FF Gene Biotech. Since the NCI is the result of the restructuring, the implied value was utilized to value the NCI based on the 42% effective investment. After determining the implied value, a discount for lack of marketability was applied to the 28% interest representing lack of marketability related to the holding period to monetize the NCI in a future initial public offering, or IPO, or sale, and marketability related to market participant acquisition premiums implied in the value of the $19.0 million purchase price for a 42% interest. The resultant total discount applied was 35%, which is supported both by the put option analyses related to the potential holding period, and a 10% discount owed to a market participant acquisition premium.</w:t>
      </w:r>
    </w:p>
    <w:p>
      <w:pPr>
        <w:spacing w:after="0" w:line="165"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The Company recognized a gain of $3.7 million as a result of remeasuring to fair value its 30% equity interest held before the FF Gene Biotech Acquisition. The fair value of the preexisting equity interest was determined based on the characteristics before consummating the FF Gene Biotech Acquisition and estimated by applying income approach and utilized the discounted cash flow method. The Company did not apply the market approach based on its characteristics before consummating the restructuring. The gain on the equity method investment is included in the Company’s Condensed Consolidated Statements of Operations for the three and six months ended June 30, 2021.</w:t>
      </w:r>
    </w:p>
    <w:p>
      <w:pPr>
        <w:spacing w:after="0" w:line="176"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The amounts of FF Gene Biotech’s revenue and net losses included in the Company’s Condensed Consolidated Statements of Operations for the periods ended June 30, 2021 and the revenue and net losses of the combined entity had the acquisition date been January 1, 2021 are not material to the Company.</w:t>
      </w:r>
    </w:p>
    <w:p>
      <w:pPr>
        <w:spacing w:after="0" w:line="184"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identified intangible assets acquired in the FF Gene Biotech Acquisition consisted of a $5.7 million royalty-free technology with an estimated amortization life of 10 years and a $1.2 million customer relationships with an estimated amortization life of 5 years. The value of these assets were based upon the preliminary fair values as of the closing date of the FF Gene Biotech Acquisition.</w:t>
      </w:r>
    </w:p>
    <w:p>
      <w:pPr>
        <w:spacing w:after="0" w:line="1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Company concluded FF Gene Biotech is a variable interest entity as FF Gene Biotech lacks sufficient capital to operate independently. The Company concluded that it alone has the power to direct the most significant activities of FF Gene Biotech and therefore is the primary beneficiary of the entity post the FF Gene Biotech Acquisition. Judgment regarding the level of influence over FF Gene Biotech includes consideration of key factors such as the Company's ownership interest, representation on the board of directors or other management body and participation in policy-making decisions. Post the FF Gene Biotech Acquisition, the financial results for FF Gene Biotech are included in the Company’s condensed financial statements. Prior to the FF Gene Biotech Acquisition, the financial results for FF Gene Biotech were not significant for pro forma financial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15. Equity Distribution Agreement</w:t>
      </w:r>
    </w:p>
    <w:p>
      <w:pPr>
        <w:spacing w:after="0" w:line="22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November 2020, the Company entered into an Equity Distribution Agreement, or the November 2020 Equity Distribution Agreement, with Piper Sandler &amp; Co. (f/k/a Piper Jaffray &amp; Co.), Oppenheimer &amp; Co. Inc., and BTIG LLC, as sales agents, pursuant to which the Company may offer and sell, from time to time through Piper, shares of its common stock having an aggregate offering price of up to $175.0 million. Piper may receive a commission of up to 3% of the gross proceeds received by the Company for sales pursuant to the November 2020 Equity Distribution Agreement. During the three months ended June 30, 2021, the Company sold approximately 378,000 shares of its common stock pursuant to the November 2020 Equity Distribution Agreement at a weighted-average net selling price of $73.75. During the six months ended June 30, 2021, the Company sold approximately 961,000 shares of its common stock pursuant to the November 2020 Equity Distribution Agreement at a weighted-average net selling price of $60.56.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Goodwill and Acquisition-Related Intangibles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Summaries of goodwill and acquisitions-related intangibles balances as of June 30, 2021 and December 30,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Weighted-Average Amortization Period</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gridSpan w:val="4"/>
          </w:tcPr>
          <w:p>
            <w:pPr>
              <w:jc w:val="right"/>
              <w:ind w:right="896"/>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8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23,107</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76"/>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Royalty-free technology</w:t>
            </w:r>
          </w:p>
        </w:tc>
        <w:tc>
          <w:tcPr>
            <w:tcW w:w="3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76"/>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Royalty-free technology, net</w:t>
            </w:r>
          </w:p>
        </w:tc>
        <w:tc>
          <w:tcPr>
            <w:tcW w:w="38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1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net</w:t>
            </w:r>
          </w:p>
        </w:tc>
        <w:tc>
          <w:tcPr>
            <w:tcW w:w="38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 acquisition-related intangibles, net</w:t>
            </w:r>
          </w:p>
        </w:tc>
        <w:tc>
          <w:tcPr>
            <w:tcW w:w="382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76"/>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62"/>
        <w:spacing w:after="0" w:line="308" w:lineRule="auto"/>
        <w:rPr>
          <w:sz w:val="20"/>
          <w:szCs w:val="20"/>
          <w:color w:val="auto"/>
        </w:rPr>
      </w:pPr>
      <w:r>
        <w:rPr>
          <w:rFonts w:ascii="Arial" w:cs="Arial" w:eastAsia="Arial" w:hAnsi="Arial"/>
          <w:sz w:val="17"/>
          <w:szCs w:val="17"/>
          <w:color w:val="auto"/>
        </w:rPr>
        <w:t>During the three months ended June 30, 2021, the Company recorded $23.1 million of goodwill and $7.0 million of intangibles attributable to the FF Gene Biotech Acquisition. See Note 14, Business Combination, to the Company's condensed consolidated financial statements.</w:t>
      </w:r>
    </w:p>
    <w:p>
      <w:pPr>
        <w:spacing w:after="0" w:line="146" w:lineRule="exact"/>
        <w:rPr>
          <w:sz w:val="20"/>
          <w:szCs w:val="20"/>
          <w:color w:val="auto"/>
        </w:rPr>
      </w:pPr>
    </w:p>
    <w:p>
      <w:pPr>
        <w:ind w:right="660" w:firstLine="562"/>
        <w:spacing w:after="0" w:line="277" w:lineRule="auto"/>
        <w:rPr>
          <w:sz w:val="20"/>
          <w:szCs w:val="20"/>
          <w:color w:val="auto"/>
        </w:rPr>
      </w:pPr>
      <w:r>
        <w:rPr>
          <w:rFonts w:ascii="Arial" w:cs="Arial" w:eastAsia="Arial" w:hAnsi="Arial"/>
          <w:sz w:val="18"/>
          <w:szCs w:val="18"/>
          <w:color w:val="auto"/>
        </w:rPr>
        <w:t>Based on the carrying value of acquisition-related intangibles recorded as of June 30, 2021, and assuming no subsequent impairment of the underlying assets, the annual amortization expense for acquisition-related intangibles is expected to be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20" w:type="dxa"/>
            <w:vAlign w:val="bottom"/>
            <w:gridSpan w:val="2"/>
          </w:tcPr>
          <w:p>
            <w:pPr>
              <w:ind w:left="7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6 months)</w:t>
            </w:r>
          </w:p>
        </w:tc>
        <w:tc>
          <w:tcPr>
            <w:tcW w:w="44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2022</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2024</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8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2026</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8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60"/>
              <w:spacing w:after="0"/>
              <w:rPr>
                <w:sz w:val="20"/>
                <w:szCs w:val="20"/>
                <w:color w:val="auto"/>
              </w:rPr>
            </w:pPr>
            <w:r>
              <w:rPr>
                <w:rFonts w:ascii="Arial" w:cs="Arial" w:eastAsia="Arial" w:hAnsi="Arial"/>
                <w:sz w:val="18"/>
                <w:szCs w:val="18"/>
                <w:color w:val="auto"/>
              </w:rPr>
              <w:t>Total</w:t>
            </w:r>
          </w:p>
        </w:tc>
        <w:tc>
          <w:tcPr>
            <w:tcW w:w="38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00" w:type="dxa"/>
            <w:vAlign w:val="bottom"/>
            <w:vMerge w:val="restart"/>
          </w:tcPr>
          <w:p>
            <w:pPr>
              <w:jc w:val="right"/>
              <w:ind w:right="1750"/>
              <w:spacing w:after="0"/>
              <w:rPr>
                <w:sz w:val="20"/>
                <w:szCs w:val="20"/>
                <w:color w:val="auto"/>
              </w:rPr>
            </w:pPr>
            <w:r>
              <w:rPr>
                <w:rFonts w:ascii="Arial" w:cs="Arial" w:eastAsia="Arial" w:hAnsi="Arial"/>
                <w:sz w:val="18"/>
                <w:szCs w:val="18"/>
                <w:color w:val="auto"/>
              </w:rPr>
              <w:t>21</w:t>
            </w:r>
          </w:p>
        </w:tc>
        <w:tc>
          <w:tcPr>
            <w:tcW w:w="6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17. Subsequent Events</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July 2021, the Company invested $20.0 million in Laboratory for Advanced Medicine, Inc., or Helio Health, incorporated in Cayman Islands, and, in connection with the investment in Helio Health, the Company obtained a minority shareholder interest. Helio Heath is an AI-driven healthcare company developing early testing capabilities for cancer. Through this partnership, the Company seeks to have access to an emerging liquid biopsy testing technology in the U.S. and China and exclusive commercial rights to Helio Health’s liquid biopsy tests in the U.S. and Canada.</w:t>
      </w:r>
    </w:p>
    <w:p>
      <w:pPr>
        <w:spacing w:after="0" w:line="17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August 2021, the Company completed an acquisition of Cytometry Specialists, Inc., or CSI, a Georgia corporation, through the acquisition of all of the issued and outstanding common stock of CSI in exchange for $50.0 million in cash and up to $10.0 million in potential future milestone payments. Through the acquisition of CSI, the Company seeks to expand the Company’s presence and capabilities in somatic molecular diagnostics and cancer testing. The Company plans to leverage its established technology platform, NGS expertise, lab operations, and sales infrastructure in conjunction with CSI’s extensive cancer testing menu to establish a differentiated foothold in oncologic testing in the United States.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9"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Securities and Exchange Commission in preparing this discussion and analysis, we presume that readers have access to and have read the discussion and analysis of our financial condition and results of operations included in our annual report on Form 10-K for our fiscal year ended December 31, 2020 filed with the SEC on March 8, 2021, or the 2020 Annual Report. As used in this discussion and analysis and elsewhere in this report, unless the context otherwise requires, the terms “Fulgent,” the “Company,” “we,” “us” and “our” refer to Fulgent Genetics, Inc. and its consolidated subsidiaries.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3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a technology company offering large-scale COVID-19 testing services and comprehensive genetic testing to provide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w:t>
      </w:r>
    </w:p>
    <w:p>
      <w:pPr>
        <w:spacing w:after="0" w:line="17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in comparison to our competitors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20" w:firstLine="510"/>
        <w:spacing w:after="0" w:line="275" w:lineRule="auto"/>
        <w:rPr>
          <w:sz w:val="20"/>
          <w:szCs w:val="20"/>
          <w:color w:val="auto"/>
        </w:rPr>
      </w:pPr>
      <w:r>
        <w:rPr>
          <w:rFonts w:ascii="Arial" w:cs="Arial" w:eastAsia="Arial" w:hAnsi="Arial"/>
          <w:sz w:val="17"/>
          <w:szCs w:val="17"/>
          <w:color w:val="auto"/>
        </w:rPr>
        <w:t>Since March 2020, we have offered several tests for the detection of SARS-CoV-2, the virus that causes COVID-19, including NGS and RT-PCR-based tests. To date, we have processed orders for our COVID-19 tests from a variety of customers, including governmental bodies, municipalities, and large corporations. In 2020, we established and operated COVID-19 testing sites for certain municipal customers, including the County of Los Angeles and the New York City public school system. We also offer at-home COVID-19 testing services through our Picture Genetics platform that is used by many customers, including individuals and large organizations, such as the New York City Test and Trace program.</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offer tests at competitive prices, averaging approximately $96 per billable test delivered in the six months ended June 30, 2021, and at a lower cost to us than many of our competitors, averaging approximately $21 per billable test delivered in the six months ended June 30, 2021. Our volume has grown rapidly since our commercial launch, with 1.6 million and 5.3 million billable tests delivered in the three and six months ended June 30, 2021, compared to 181,000 and 194,000 billable tests delivered in the three and six months ended June 30, 2020, respectively. As of June 30, 2021, an aggregate of approximately 9.9 million billable tests have been delivered to over 1,500 customers since launching our first commercial genetic tests in 2013. We have experienced compound quarterly growth of 85% in the number of billable tests delivered in our last eight completed fiscal quarters. We recorded revenue and net income of $153.6 million and $79.8 million, respectively, in the three months ended June 30, 2021, compared to revenue and net income of $17.3 million and $3.3 million, respectively, in the three months ended June 30, 2020. We recorded revenue and net income of $513.0 million and $280.5 million, respectively, in the six months ended June 30, 2021, compared to revenue and net income of $25.0 million and $1.4 million, respectively, in the six months ended June 30, 2020. We achieved profitability in the first half of 2017, the second and third quarters of 2019, the second, third and fourth quarters of 2020, and the first and second quarter of 2021, but we have recorded losses in all other periods since our inception.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COVID-19 Considerations</w:t>
      </w:r>
    </w:p>
    <w:p>
      <w:pPr>
        <w:spacing w:after="0" w:line="22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patients, communities and business operations, as well as the U.S. economy and financial markets. We are closely monitoring the impact of COVID-19 on all aspects of our business, including its impact on our customers, suppliers, third-party service providers, and our employees.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circumstances regarding the emergence and prevalence of COVID-19 variants, the success of vaccination campaigns (both in the United States and internationally), the actions taken to contain COVID-19 or treat it and related impacts on local, regional, national and international markets and supply chains.</w:t>
      </w:r>
    </w:p>
    <w:p>
      <w:pPr>
        <w:spacing w:after="0" w:line="192" w:lineRule="exact"/>
        <w:rPr>
          <w:sz w:val="20"/>
          <w:szCs w:val="20"/>
          <w:color w:val="auto"/>
        </w:rPr>
      </w:pPr>
    </w:p>
    <w:p>
      <w:pPr>
        <w:ind w:right="40" w:firstLine="510"/>
        <w:spacing w:after="0" w:line="218" w:lineRule="exact"/>
        <w:rPr>
          <w:sz w:val="20"/>
          <w:szCs w:val="20"/>
          <w:color w:val="auto"/>
        </w:rPr>
      </w:pPr>
      <w:r>
        <w:rPr>
          <w:rFonts w:ascii="Arial" w:cs="Arial" w:eastAsia="Arial" w:hAnsi="Arial"/>
          <w:sz w:val="17"/>
          <w:szCs w:val="17"/>
          <w:color w:val="auto"/>
        </w:rPr>
        <w:t>In the first half of 2021 and for the entirety of the COVID-19 pandemic to this point, we continued to operate as an essential business in response to COVID-19. During the first half of 2021 and to date, the COVID-19 pandemic has not had a negative impact on our consolidated operating results. Rather, we have recognized significant revenue growth in connection with sales of our COVID-19 tests. Our ability to continue to operate as currently planned, including our ability to continue to offer our COVID</w:t>
      </w:r>
      <w:r>
        <w:rPr>
          <w:rFonts w:ascii="MS PGothic" w:cs="MS PGothic" w:eastAsia="MS PGothic" w:hAnsi="MS PGothic"/>
          <w:sz w:val="17"/>
          <w:szCs w:val="17"/>
          <w:color w:val="auto"/>
        </w:rPr>
        <w:t>‑</w:t>
      </w:r>
      <w:r>
        <w:rPr>
          <w:rFonts w:ascii="Arial" w:cs="Arial" w:eastAsia="Arial" w:hAnsi="Arial"/>
          <w:sz w:val="17"/>
          <w:szCs w:val="17"/>
          <w:color w:val="auto"/>
        </w:rPr>
        <w:t>19 tests with competitive results and turn-around times without any significant negative operational impact from the COVID-19 pandemic will depend in part on our, and any of our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and suppliers’ ability to protect our respective employees and supply chains. We have endeavored to follow the recommended actions of government and health authorities to protect our employees. We intend to continue to adhere to our employee safety measures to ensure that any disruptions to our operations remain minimal during the pandemic. However, the uncertainty resulting from the pandemic could result in an unforeseen disruption to our, or our third-party service providers’ and suppliers’, workforce and/or supply chain.</w:t>
      </w:r>
    </w:p>
    <w:p>
      <w:pPr>
        <w:spacing w:after="0" w:line="203"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The COVID-19 pandemic has not negatively impacted the Company’s liquidity position as of June 30, 2021. We have not incurred any material impairments of our assets or a significant change in the fair value of our assets due to the COVID-19 pandemic as of June 30, 2021.</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information on risk factors related to the COVID-19 pandemic or other risks that could impact our results, please refer to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Part II of this Form 10-Q.</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229"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Our business and prospects are exposed to numerous risks and uncertainties. For more information, see “Item 1A. Risk Factors” in Part II of this report. In addition, our performance in any period is affected by a number of other factors. See the description of some of the material factors affecting our performance in “Item 7. Management’s Discussion and Analysis of Financial Condition and Results of Operations” of the 2020 Annual Report.</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The table below summarizes our results of operations for the periods indicated. For a financial overview relating to our results of operations, including general descriptions of the make-up of material line items of our statement of operations data, see “Item 7. Management’s Discussion and Analysis of Financial Condition and Results of Operations” of the 2020 Annual Report.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r>
      <w:tr>
        <w:trPr>
          <w:trHeight w:val="156"/>
        </w:trPr>
        <w:tc>
          <w:tcPr>
            <w:tcW w:w="30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7"/>
              </w:rPr>
              <w:t>Change</w:t>
            </w:r>
          </w:p>
        </w:tc>
        <w:tc>
          <w:tcPr>
            <w:tcW w:w="9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7"/>
              </w:rPr>
              <w:t>Change</w:t>
            </w:r>
          </w:p>
        </w:tc>
        <w:tc>
          <w:tcPr>
            <w:tcW w:w="9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40" w:type="dxa"/>
            <w:vAlign w:val="bottom"/>
            <w:gridSpan w:val="10"/>
            <w:shd w:val="clear" w:color="auto" w:fill="CFF0FC"/>
          </w:tcPr>
          <w:p>
            <w:pPr>
              <w:jc w:val="right"/>
              <w:ind w:right="11"/>
              <w:spacing w:after="0"/>
              <w:rPr>
                <w:sz w:val="20"/>
                <w:szCs w:val="20"/>
                <w:color w:val="auto"/>
              </w:rPr>
            </w:pPr>
            <w:r>
              <w:rPr>
                <w:rFonts w:ascii="Arial" w:cs="Arial" w:eastAsia="Arial" w:hAnsi="Arial"/>
                <w:sz w:val="14"/>
                <w:szCs w:val="14"/>
                <w:b w:val="1"/>
                <w:bCs w:val="1"/>
                <w:color w:val="auto"/>
              </w:rPr>
              <w:t>(dollars and billable tests in thousands, except per billable test data)</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153,616</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17,265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136,351</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513,045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25,018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488,027</w:t>
            </w:r>
          </w:p>
        </w:tc>
        <w:tc>
          <w:tcPr>
            <w:tcW w:w="94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35,858</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28,141</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365%</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109,933</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11,774</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98,159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r>
      <w:tr>
        <w:trPr>
          <w:trHeight w:val="223"/>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117,758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9,548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108,210</w:t>
            </w:r>
          </w:p>
        </w:tc>
        <w:tc>
          <w:tcPr>
            <w:tcW w:w="940" w:type="dxa"/>
            <w:vAlign w:val="bottom"/>
            <w:tcBorders>
              <w:bottom w:val="single" w:sz="8" w:color="CFF0FC"/>
            </w:tcBorders>
          </w:tcPr>
          <w:p>
            <w:pPr>
              <w:jc w:val="right"/>
              <w:ind w:right="92"/>
              <w:spacing w:after="0"/>
              <w:rPr>
                <w:sz w:val="20"/>
                <w:szCs w:val="20"/>
                <w:color w:val="auto"/>
              </w:rPr>
            </w:pPr>
            <w:r>
              <w:rPr>
                <w:rFonts w:ascii="Arial" w:cs="Arial" w:eastAsia="Arial" w:hAnsi="Arial"/>
                <w:sz w:val="18"/>
                <w:szCs w:val="18"/>
                <w:color w:val="auto"/>
              </w:rPr>
              <w:t>1,133%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403,112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13,244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389,868</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2,944%</w:t>
            </w: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3,463</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3,827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6,907</w:t>
            </w: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1,959</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10,227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5,370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8,329</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6,530</w:t>
            </w:r>
          </w:p>
        </w:tc>
        <w:tc>
          <w:tcPr>
            <w:tcW w:w="940" w:type="dxa"/>
            <w:vAlign w:val="bottom"/>
            <w:tcBorders>
              <w:bottom w:val="single" w:sz="8" w:color="CFF0FC"/>
            </w:tcBorders>
          </w:tcPr>
          <w:p>
            <w:pPr>
              <w:jc w:val="right"/>
              <w:ind w:right="92"/>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16,331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12,497</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18,860</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6,908</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11,952</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37,292</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12,518</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24,774</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98,898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96,258</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3,646%</w:t>
            </w: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365,820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365,094</w:t>
            </w:r>
          </w:p>
        </w:tc>
        <w:tc>
          <w:tcPr>
            <w:tcW w:w="940" w:type="dxa"/>
            <w:vAlign w:val="bottom"/>
          </w:tcPr>
          <w:p>
            <w:pPr>
              <w:jc w:val="right"/>
              <w:spacing w:after="0"/>
              <w:rPr>
                <w:sz w:val="20"/>
                <w:szCs w:val="20"/>
                <w:color w:val="auto"/>
              </w:rPr>
            </w:pPr>
            <w:r>
              <w:rPr>
                <w:rFonts w:ascii="Arial" w:cs="Arial" w:eastAsia="Arial" w:hAnsi="Arial"/>
                <w:sz w:val="18"/>
                <w:szCs w:val="18"/>
                <w:color w:val="auto"/>
              </w:rPr>
              <w:t>50,288%</w:t>
            </w: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329</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Income before income taxes, gain 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equity method investment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equity loss in investee</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99,502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96,587</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3,313%</w:t>
            </w: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366,706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365,464</w:t>
            </w:r>
          </w:p>
        </w:tc>
        <w:tc>
          <w:tcPr>
            <w:tcW w:w="940" w:type="dxa"/>
            <w:vAlign w:val="bottom"/>
          </w:tcPr>
          <w:p>
            <w:pPr>
              <w:jc w:val="right"/>
              <w:spacing w:after="0"/>
              <w:rPr>
                <w:sz w:val="20"/>
                <w:szCs w:val="20"/>
                <w:color w:val="auto"/>
              </w:rPr>
            </w:pPr>
            <w:r>
              <w:rPr>
                <w:rFonts w:ascii="Arial" w:cs="Arial" w:eastAsia="Arial" w:hAnsi="Arial"/>
                <w:sz w:val="18"/>
                <w:szCs w:val="18"/>
                <w:color w:val="auto"/>
              </w:rPr>
              <w:t>29,425%</w:t>
            </w:r>
          </w:p>
        </w:tc>
      </w:tr>
      <w:tr>
        <w:trPr>
          <w:trHeight w:val="215"/>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23,589</w:t>
            </w: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24,188</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4,038%</w:t>
            </w: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90,102</w:t>
            </w: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90,667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16,047%</w:t>
            </w: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Income before gain on equity method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080" w:type="dxa"/>
            <w:vAlign w:val="bottom"/>
          </w:tcPr>
          <w:p>
            <w:pPr>
              <w:ind w:left="280"/>
              <w:spacing w:after="0"/>
              <w:rPr>
                <w:sz w:val="20"/>
                <w:szCs w:val="20"/>
                <w:color w:val="auto"/>
              </w:rPr>
            </w:pPr>
            <w:r>
              <w:rPr>
                <w:rFonts w:ascii="Arial" w:cs="Arial" w:eastAsia="Arial" w:hAnsi="Arial"/>
                <w:sz w:val="18"/>
                <w:szCs w:val="18"/>
                <w:color w:val="auto"/>
              </w:rPr>
              <w:t>and equity loss in investee</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75,913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72,399</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276,604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274,797</w:t>
            </w:r>
          </w:p>
        </w:tc>
        <w:tc>
          <w:tcPr>
            <w:tcW w:w="940" w:type="dxa"/>
            <w:vAlign w:val="bottom"/>
          </w:tcPr>
          <w:p>
            <w:pPr>
              <w:jc w:val="right"/>
              <w:spacing w:after="0"/>
              <w:rPr>
                <w:sz w:val="20"/>
                <w:szCs w:val="20"/>
                <w:color w:val="auto"/>
              </w:rPr>
            </w:pPr>
            <w:r>
              <w:rPr>
                <w:rFonts w:ascii="Arial" w:cs="Arial" w:eastAsia="Arial" w:hAnsi="Arial"/>
                <w:sz w:val="18"/>
                <w:szCs w:val="18"/>
                <w:color w:val="auto"/>
              </w:rPr>
              <w:t>15,207%</w:t>
            </w: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Gain on equity method investment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3,734</w:t>
            </w:r>
          </w:p>
        </w:tc>
        <w:tc>
          <w:tcPr>
            <w:tcW w:w="94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3,734</w:t>
            </w:r>
          </w:p>
        </w:tc>
        <w:tc>
          <w:tcPr>
            <w:tcW w:w="9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Equity loss in investee</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consolidated</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r>
      <w:tr>
        <w:trPr>
          <w:trHeight w:val="230"/>
        </w:trPr>
        <w:tc>
          <w:tcPr>
            <w:tcW w:w="3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79,647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76,326</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280,338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278,973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20,438%</w:t>
            </w: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08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940" w:type="dxa"/>
            <w:vAlign w:val="bottom"/>
            <w:tcBorders>
              <w:bottom w:val="single" w:sz="8" w:color="CFF0FC"/>
            </w:tcBorders>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940" w:type="dxa"/>
            <w:vAlign w:val="bottom"/>
            <w:tcBorders>
              <w:bottom w:val="single" w:sz="8" w:color="CFF0FC"/>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Fulgent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79,812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3,321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76,491</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2,303%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280,503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279,138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20,450%</w:t>
            </w: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Operating Data:</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Billable tests delivered</w:t>
            </w:r>
            <w:r>
              <w:rPr>
                <w:rFonts w:ascii="Arial" w:cs="Arial" w:eastAsia="Arial" w:hAnsi="Arial"/>
                <w:sz w:val="15"/>
                <w:szCs w:val="15"/>
                <w:color w:val="auto"/>
              </w:rPr>
              <w:t>(1)</w:t>
            </w: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1,378</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5,139</w:t>
            </w:r>
          </w:p>
        </w:tc>
        <w:tc>
          <w:tcPr>
            <w:tcW w:w="94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215"/>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per billable test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delivered</w:t>
            </w:r>
            <w:r>
              <w:rPr>
                <w:rFonts w:ascii="Arial" w:cs="Arial" w:eastAsia="Arial" w:hAnsi="Arial"/>
                <w:sz w:val="15"/>
                <w:szCs w:val="15"/>
                <w:color w:val="auto"/>
              </w:rPr>
              <w:t>(2)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15"/>
                <w:szCs w:val="15"/>
                <w:color w:val="auto"/>
              </w:rPr>
              <w:t>(3)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954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Percentage not meaningful.</w:t>
      </w:r>
    </w:p>
    <w:p>
      <w:pPr>
        <w:spacing w:after="0" w:line="225" w:lineRule="exact"/>
        <w:rPr>
          <w:sz w:val="20"/>
          <w:szCs w:val="20"/>
          <w:color w:val="auto"/>
        </w:rPr>
      </w:pPr>
    </w:p>
    <w:p>
      <w:pPr>
        <w:ind w:left="3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62"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300" w:firstLine="510"/>
        <w:spacing w:after="0" w:line="301" w:lineRule="auto"/>
        <w:rPr>
          <w:sz w:val="20"/>
          <w:szCs w:val="20"/>
          <w:color w:val="auto"/>
        </w:rPr>
      </w:pPr>
      <w:r>
        <w:rPr>
          <w:rFonts w:ascii="Arial" w:cs="Arial" w:eastAsia="Arial" w:hAnsi="Arial"/>
          <w:sz w:val="16"/>
          <w:szCs w:val="16"/>
          <w:color w:val="auto"/>
        </w:rPr>
        <w:t>Revenue increased $136.4 million, or 790%, from $17.3 million in the three months ended June 30, 2020 to $153.6 million in the three months ended June 30, 2021, and increased $488.0 million, or 1951%, from $25.0 million in the six months ended June 30, 2020 to $513.0 million in the six months ended June 30, 2021. The increase in revenue between periods was primarily due to increase in the number of billable tests delivered, primarily related to the increased orders for our COVID-19 tests, offset by a substantial decline in the average selling price per test.</w:t>
      </w:r>
    </w:p>
    <w:p>
      <w:pPr>
        <w:spacing w:after="0" w:line="15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average price of the billable tests we delivered increased from $96 in the three months ended June 30, 2020 to $99 in the three months ended June 30, 2021, and decreased from $129 in the six months ended June 30, 2020 to $96 in the six months ended June 30, 2021. The decreases in the six months period were due to (i) lower price-points for the mix of tests we delivered, including COVID-19 tests launched in 2020, (ii) the mix of customers ordering tests in these periods, who may order tests at different rates depending on the arrangements we have negotiated with them, and (iii) our reduction of prices for certain of our tests due to general price degradation for genetic tests and other competitive factors during the three and six months ended June 30, 2021.</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Revenue from non-U.S. sources increased $2.6 million, or 233%, from $1.1 million in the three months ended June 30, 2020 to $3.8 million in the three months ended June 30, 2021, and increased $2.4 million, or 74%, from $3.2 million in the six months ended June 30, 2020 to $5.6 million in the six months ended June 30, 2021. The increases in revenue from non-U.S. sources between periods were primarily due to increased sales of our traditional genetic testing services to customers in foreign countries.</w:t>
      </w:r>
    </w:p>
    <w:p>
      <w:pPr>
        <w:spacing w:after="0" w:line="187"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The number of billable tests we delivered increased 1.4 million, from 181,000 in the three months ended June 30, 2020 to 1.6 million in the three months ended June 30, 2021, and increased 5.1 million, from 194,000 in the six months ended June 30, 2020 to 5.3 million in the six months ended June 30, 2021. The increases were primarily attributable to the expansion of our test menu, including our COVID-19 tests launched in 2020, and increases in sales to certain of our existing and new customers.</w:t>
      </w:r>
    </w:p>
    <w:p>
      <w:pPr>
        <w:spacing w:after="0" w:line="18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After aggregating customers that are under common control or are affiliates, two customers contributed 20% and 16% of the Company’s revenue for the three months ended June 30, 2021, respectively. Two customers contributed 24% and 11% of the Company’s revenue for the six months ended June 30, 2021,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Cost of revenue increased $28.1 million, or 365%, from $7.7 million in the three months ended June 30, 2020 to $35.9 million in the three months ended June 30, 2021. The increase was primarily due to increases of $10.4 million in consulting and outside labor expense related to increased outside labor for production in the current period, $8.8 million in reagent and supply expenses related to increased billable tests delivered, $4.1 million in personnel costs including equity-based compensation expense related to increased headcount and market price of the Company’s stock, $2.2 million in software expense related to usage of COVID-19 testing software, and $1.6 million in depreciation expenses related to medical lab equipment purchased for our COVID-19 tests.</w:t>
      </w:r>
    </w:p>
    <w:p>
      <w:pPr>
        <w:spacing w:after="0" w:line="19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Cost of revenue increased $98.2 million, or 834%, from $11.8 million in the six months ended June 30, 2020 to $109.9 million in the six months ended June 30, 2021. The increase was primarily due to increases of $51.7 million in reagent and supply expenses related to increased billable tests delivered, $24.7 million in consulting and outside labor expense related to increased outside labor for production in the current period, $9.1 million in personnel costs including equity-based compensation expense related to increased headcount and market price of the Company’s stock, $6.2 million in software expense related to usage of COVID-19 testing software, $2.9 million in depreciation expenses related to medical lab equipment purchased for our COVID-19 tests, and $1.6 million in facilities primarily related to certain modifications made to our mini vans used for our COVID-19 business.</w:t>
      </w:r>
    </w:p>
    <w:p>
      <w:pPr>
        <w:spacing w:after="0" w:line="164"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Cost per billable test delivered decreased $20, or 47%, from $43 in the three months ended June 30, 2020 to $23 in the three months ended June 30, 2021 as the increase in the number of billable tests we delivered was greater than the increase in our cost of revenue due to economies of scale related to the increased number of billable tests for the period. Cost per billable test delivered decreased $40, or 66%, from $61 in the six months ended June 30, 2020 to $21 in the six months ended June 30, 2021 as the increase in the number of billable tests we delivered was greater than the increase in our cost of revenue. The greater increase in the number of billable tests we delivered was primarily attributable to new customers and our expanded test menu, including COVID-19 tests in 2020 which have a lower cost than our genetics tests. Our cost per billable test decreased in part due to our efforts to leverage our technology, such as engineered chemistry and competitive analytics powered by artificial intelligence and machine learning.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firstLine="510"/>
        <w:spacing w:after="0" w:line="257" w:lineRule="auto"/>
        <w:rPr>
          <w:sz w:val="20"/>
          <w:szCs w:val="20"/>
          <w:color w:val="auto"/>
        </w:rPr>
      </w:pPr>
      <w:r>
        <w:rPr>
          <w:rFonts w:ascii="Arial" w:cs="Arial" w:eastAsia="Arial" w:hAnsi="Arial"/>
          <w:sz w:val="18"/>
          <w:szCs w:val="18"/>
          <w:color w:val="auto"/>
        </w:rPr>
        <w:t>Our gross profit increased $108.2 million, from $9.5 million in the three months ended June 30, 2020 to $117.8 million in the three months ended June 30, 2021, and increased $389.9 million, from $13.2 million in the six months ended June 30, 2020 to $403.1 million in the six months ended June 30, 2021. Our gross profit as a percentage of revenue, or gross margin, increased from 55.3% to 76.7% between three months ended June 30, 2020 and 2021, and increased from 52.9% to 78.6% between six months ended June 30, 2020 and 2021, due in part to the increase in revenue and decreases in our cost per billable test and cost of revenue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expenses increased $3.5 million, or 187%, from $1.8 million in the three months ended June 30, 2020 to $5.3 million in the three months ended June 30, 2021. The increase was primarily due to increases of $2.6 million in personnel costs including equity-based compensation expense related to increased headcount and market price of the Company’s stock and $750,000 in donation to COVID-19 research fund and colorectal cancer research.</w:t>
      </w:r>
    </w:p>
    <w:p>
      <w:pPr>
        <w:spacing w:after="0" w:line="187"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Research and development expenses increased $6.9 million, or 180%, from $3.8 million in the six months ended June 30, 2020 to $10.7 million in the six months ended June 30, 2021. The increase was primarily due to increases of $4.2 million in personnel costs including equity-based compensation expense related to increased headcount and market price of the Company’s stock, $1.5 million in reagent and supply expenses related to increased reagent usage for COVID-19 research, and $750,000 in donation to a COVID-19 research fund and colorectal cancer research.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Selling and marketing expenses increased $2.0 million, or 60% from $3.3 million in the three months ended June 30, 2020 to $5.2 million in the three months ended June 30, 2021. The increase was primarily due to increases of $2.4 million in personnel costs including equity-based compensation expense related to increased commission expense and market price of the Company’s stock, and $818,000 in consulting and outside labor expense related to COVID-19 marketing projects in the current period, partially offset by $1.5 million in marketing supplies, including kits to potential customers in the prior period.</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Selling and marketing expenses increased $5.4 million, or 111% from $4.9 million in the six months ended June 30, 2020 to $10.2 million in the six months ended June 30, 2021. The increase was primarily due to increases of $4.7 million in personnel costs including equity-based compensation expense related to increased commission expense and market price of the Company’s stock, and $1.7 million in consulting and outside labor expense and $472,000 in marketing expense related to COVID-19 testing related marketing projects in the current period, partially offset by $1.7 million in marketing supplies, including kits to potential customers in the prior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General and administrative expenses increased $6.5 million, or 363% from $1.8 million in the three months ended June 30, 2020 to $8.3 million in the three months ended June 30, 2021. The increase was primarily due to increases of $2.2 million in bad debt expense related to additional provision for credit losses in the current period, $1.5 million in personnel costs including equity-based compensation expense related to increased headcount and market price of the Company’s stock, $515,000 in legal and professional fees related to professional services obtained in the current period, $438,000 in accounting fees related to accounting services for public offering and internal control, $340,000 on loss in disposal of fixed assets, $225,000 in insurance related to the increase cost of liabilities and director and officers insurance, and $206,000 in consulting and outside labor expense related to the increased insurance billing.</w:t>
      </w:r>
    </w:p>
    <w:p>
      <w:pPr>
        <w:spacing w:after="0" w:line="19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General and administrative expenses increased $12.5 million, or 326% from $3.8 million in the six months ended June 30, 2020 to $16.3 million in the six months ended June 30, 2021. The increase was primarily due to increases of $3.1 million in bad debt expense related to additional provision for credit losses in the current period, $2.7 million in personnel costs including equity-based compensation related to increased headcount and market price of the Company’s stock, $2.6 million in software and licensing related to the increased number of COVID-19 tests, $878,000 in legal and professional fees related to professional services obtained in the current period, $358,000 in accounting fees related to accounting services for public offering and internal control, $353,000 in loss on disposal of fixed assets, $347,000 in other state tax related to the increase in revenue, $345,000 in insurance related to the increase cost of liabilities and director and officers insurance, and $345,000 in consulting and outside labor expense related to the increased insurance billing.</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Interest Income and Other Income (Losses)</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Interest income was $566,000 and $249,000 in the three months ended June 30, 2021 and 2020, respectively, and $796,000 and $575,000 in the six months ended June 30, 2021 and 2020, respectively. This income related to interest earned on various investments in marketable securities including holding gain or loss on marketable equity securities.</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Other income (expense) was not significant in the three or six months ended June 30, 2021 and 2020, respectively. The primary components of other losses were rental income net of rental expenses and foreign currency exchange gain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Provision for (benefit from) income taxes were $23.6 million and $90.1 million for the three and six months ended June 30, 2021, respectively, and $(599,000) and $(565,000) for the three and six months ended June 30, 2020, respectively. The effective tax rate was 24% for the three months ended June 30, 2021 compared with -21% for the three months ended June 30, 2020. The effective tax rate was 25% for the six months ended June 30, 2021 compared with -45% for the six months ended June 30, 2020. The increase in effective tax rates for the three and six months ended June 30, 2021, relative to the comparative 2020 periods, was primarily attributable to a significant increase in income for the three and six months ended June 30, 2021, partially offset by increased windfall tax deductions related to stock-based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Equity Method Investment</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Company recognized a gain of $3.7 million in the three and six months ended June 30, 2021 related to the preexisting equity interest at FF Gene Biotech as a result of remeasuring to fair value its 30% equity interest held before the FF Gene Biotech Acquisition. The fair value of the preexisting equity interest was determined based on the characteristics before consummating the FF Gene Biotech Acquisition and estimated by applying income approach and utilized the discounted cash flow method. There was no such gain on equity method investment in the three and six months ended June 30,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Loss in Investee</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Equity loss in investee was $193,000 and $422,000 in the three and six months ended June 30, 2020, respectively. Equity loss in investee in 2020 relates to our 30% ownership interest in FF Gene Biotech.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Net loss attributable to noncontrolling interest represents net loss of FF Gene Biotech attributable to the minority shareholders, Xilong Scientific and FJIP, which was not significant in the three and six months ended June 30, 2021.</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21"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had $100.5 million in cash and cash equivalents and $676.6 million in marketable securities, consisting of equity securities, corporate bonds, municipal bonds, and U.S. government agency securities, as of June 30, 2021. We had $87.4 million in cash and cash equivalents and $344.4 million in marketable securities, consisting of corporate bonds, as of December 31, 2020.</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Initially after commencing operations in May 2012, our operations were financed primarily by our founder, Chief Executive Officer and Chairman of our board of directors, Ming Hsieh, and in more recent periods, by cash from our operations and equity financings.</w:t>
      </w:r>
    </w:p>
    <w:p>
      <w:pPr>
        <w:spacing w:after="0" w:line="170"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24"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On August 30, 2019, we entered into an Equity Distribution Agreement, or the 2019 Equity Distribution Agreement, with Piper, as sales agent, which was subsequently amended on August 4, 2020. Pursuant to the 2019 Equity Distribution Agreement, we offered and sold an aggregate of 104,000 shares of our common stock at a weighted-average net selling price of $9.37 per share, which resulted in $979,000 of net proceeds to the Company during the year ended December 31, 2019, and we sold an aggregate of 1.1 million shares of our common stock at a weighted-average net selling price of $38.50 per share, which resulted in $42.7 million of net proceeds to the Company during the year ended December 31, 2020. Shares sold under the 2019 Equity Distribution Agreement are offered and sold pursuant to the Company’s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ind w:right="120" w:firstLine="510"/>
        <w:spacing w:after="0" w:line="275" w:lineRule="auto"/>
        <w:rPr>
          <w:sz w:val="20"/>
          <w:szCs w:val="20"/>
          <w:color w:val="auto"/>
        </w:rPr>
      </w:pPr>
      <w:r>
        <w:rPr>
          <w:rFonts w:ascii="Arial" w:cs="Arial" w:eastAsia="Arial" w:hAnsi="Arial"/>
          <w:sz w:val="17"/>
          <w:szCs w:val="17"/>
          <w:color w:val="auto"/>
        </w:rPr>
        <w:t>On November 13, 2019, we entered into a Purchase Agreement with Piper, as representative of the several underwriters, pursuant to which we sold 2,673,750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sold pursuant to the Company’s registration statement on Form S-3 (File No. 333-233227), and a prospectus supplement and accompanying base prospectus filed with the SEC on November 13, 2019.</w:t>
      </w:r>
    </w:p>
    <w:p>
      <w:pPr>
        <w:spacing w:after="0" w:line="176"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On September 25, 2020, we entered into the September 2020 Equity Distribution Agreement, with Piper as sales agent, pursuant to which we offered and sold an aggregate of 2.8 million shares of our common stock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w:t>
      </w:r>
    </w:p>
    <w:p>
      <w:pPr>
        <w:spacing w:after="0" w:line="16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we sold an aggregate of 2.0 million shares of our common stock pursuant to the November 2020 Equity Distribution Agreement at a weighted-average net selling price of $48.70 per share, which resulted in $99.1 million of net proceeds to the Company. During the three months ended June 30, 2021, the Company sold approximately 378,000 shares of its common stock pursuant to the November 2020 Equity Distribution Agreement at a weighted-average net selling price of $73.75, which resulted in $27.9 million of net proceeds to the Company. During the six months ended June 30, 2021, the Company sold approximately 961,000 shares of its common stock pursuant to the November 2020 Equity Distribution Agreement at a weighted-average net selling price of $60.56, which resulted in $58.2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6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and proceeds from our equity financings, will be sufficient to meet our anticipated cash requirements for at least the next 12 months. Much of the losses we have incurred in certain prior periods were attributable to a variety of non-cash charges, including equity-based compensation expenses. As a result, in spite of the losses we recorded during these periods, cash provided by continuing operations has been mostly positive since 2015 and has significantly contributed to our ability to meet our liquidity needs, including paying for capital expenditures. Additionally, if our business continues to grow and we are able to achieve increased efficiencies and economies of scale in line with this growth, we expect increased revenue levels would increase our ability to rely on cash from our operations to support our business in future periods, even if our expenses also increase as a result of the growth of our business. Based on these factors, we anticipate that cash from our operations will continue to play a meaningful role in our ability to meet our liquidity requirements and pursue our business plans and strategies during the next 12 months and in the longer term.</w:t>
      </w:r>
    </w:p>
    <w:p>
      <w:pPr>
        <w:spacing w:after="0" w:line="18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However, our expectations regarding the cash that may be provided by our operations and our cash needs in future periods could turn out to be wrong, in which case we may require additional financing to support our operations, as we do not presently have any commitments for future capital.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the amount and timing of sales of billable tests,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7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right="20"/>
        <w:spacing w:after="0" w:line="275" w:lineRule="auto"/>
        <w:rPr>
          <w:sz w:val="20"/>
          <w:szCs w:val="20"/>
          <w:color w:val="auto"/>
        </w:rPr>
      </w:pPr>
      <w:r>
        <w:rPr>
          <w:rFonts w:ascii="Arial" w:cs="Arial" w:eastAsia="Arial" w:hAnsi="Arial"/>
          <w:sz w:val="17"/>
          <w:szCs w:val="17"/>
          <w:color w:val="auto"/>
        </w:rPr>
        <w:t>at all. For example, the COVID-19 pandemic has caused disruption and volatility in the global capital markets, which could reduce our ability to access capital.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59"/>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0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309,290</w:t>
            </w:r>
          </w:p>
        </w:tc>
        <w:tc>
          <w:tcPr>
            <w:tcW w:w="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(3,043)</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9"/>
              <w:spacing w:after="0"/>
              <w:rPr>
                <w:sz w:val="20"/>
                <w:szCs w:val="20"/>
                <w:color w:val="auto"/>
              </w:rPr>
            </w:pPr>
            <w:r>
              <w:rPr>
                <w:rFonts w:ascii="Arial" w:cs="Arial" w:eastAsia="Arial" w:hAnsi="Arial"/>
                <w:sz w:val="18"/>
                <w:szCs w:val="18"/>
                <w:color w:val="auto"/>
              </w:rPr>
              <w:t>(371,496)</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(6,267)</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0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75,240</w:t>
            </w:r>
          </w:p>
        </w:tc>
        <w:tc>
          <w:tcPr>
            <w:tcW w:w="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Cash provided by operating activities in the six months ended June 30, 2021 was $309.3 million. The difference between net income and cash provided by operating activities for the period was primarily due to the effects of $6.5 million in equity-based compensation expenses and $4.3 million in the depreciation and amortization. Cash provided by operating activities increased between periods primarily due to an increase of $44.7 million in customer deposit due to payments received from customer in excess of their outstanding trade accounts receivable balances, and a decrease of $32.5 million in trade receivable due to timing of payments, and partially offset by negative impact of decreases of $26.9 million in income tax payable due to the estimated tax payments made during the current period, $19.7 million in contract liabilities due to timing of payments, $10.3 million in accounts payable due to the timing of payments, and an increase of $6.0 million in other current and long-term assets related to additions in reagents and supplies.</w:t>
      </w:r>
    </w:p>
    <w:p>
      <w:pPr>
        <w:spacing w:after="0" w:line="16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Cash used in operating activities in the six months ended June 30, 2020 was $3.0 million. The difference between net income and cash used in operating activities for the period was primarily due to increases of $7.4 million in accounts receivable mainly due to timing of collections from customers and increased revenue and $3.8 million in other current assets related to purchases of an increased amount of reagents and supplies and equipment purchased that will be contributed to FF Gene Biotech, partially offset by the effects of $2.0 million in equity-based compensation expenses, $1.1 million in the depreciation of assets and $442,000 in equity loss in investee.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Cash used in investing activities in the six months ended June 30, 2021 was $371.5 million, which primarily related to purchases of $424.8 million of marketable securities, $18.5 million related to a business acquisition, and purchase of $14.4 million of fixed assets consisting mainly of medical laboratory equipment and building construction, partially offset by $51.7 million related to sales of marketable securities and proceeds of $34.5 million related to maturities of marketable securities.</w:t>
      </w:r>
    </w:p>
    <w:p>
      <w:pPr>
        <w:spacing w:after="0" w:line="79"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Cash used in investing activities in the six months ended June 30, 2020 was $6.3 million, which primarily related to purchases of $12.4 million of marketable securities and purchases of $1.2 million of fixed assets consisting mainly of medical laboratory equipment, leasehold improvements, and computer hardware, partially offset by proceeds of $7.3 million related to maturities of marketable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Cash provided by financing activities in the six months ended June 30, 2021 was $75.2 million, which primarily represents net proceeds from 2020 Equity Distribution Agreement. Cash used in financing activities in the six months ended June 30, 2020 was $223,000, which primarily represents payment for costs related to our underwritten offering in November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This discussion and analysis is based on our condensed consolidated financial statements included in this report, which have been prepared in accordance with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our estimates and assumptions may evolve as conditions change.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85"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Except as set forth in Note 2 (Summary of Significant Accounting Policies) to our condensed consolidated financial statements included in this report, there have been no significant changes to our critical accounting policies and estimates as described in the 2020 Annual Report.</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JOBS Act</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JOBS Act. As an emerging growth company, we may take advantage of specified reduced disclosure and other requirements that are otherwise applicable to public companies that are not emerging growth companies, including an extended transition period to comply with new or revised accounting standards applicable to public companies. We have chosen to “opt out” of this extended transition period and, as a result, we will comply with new or revised accounting standards as required when they are adopted. This decision to opt out of the extended transition period under the JOBS Act is irrevocable. We expect to remain an emerging growth company until December 31, 2021, unless we issue more than $1.0 billion of non-convertible debt in any three-year period before that date.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520" w:firstLine="510"/>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June 30, 2021. Based on this evaluation, our Chief Executive Officer and Chief Financial Officer concluded that our disclosure controls and procedures were effective as of June 30, 2021.</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not been any changes in our internal control (as required by Rule 13a-15(b) under the Exchange Act) over the financial reporting during the three and six months ended June 30, 2021 that have materially affected or are reasonably likely to materially affect our internal control over financial reporting.</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Summary Risk Factors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“Item 1A. Risk Factors” of this report and the other reports and documents filed by us with the SEC.</w:t>
      </w:r>
    </w:p>
    <w:p>
      <w:pPr>
        <w:spacing w:after="0" w:line="76"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from period to period and can be difficult to predict.</w:t>
      </w:r>
    </w:p>
    <w:p>
      <w:pPr>
        <w:spacing w:after="0" w:line="36" w:lineRule="exact"/>
        <w:rPr>
          <w:rFonts w:ascii="Arial" w:cs="Arial" w:eastAsia="Arial" w:hAnsi="Arial"/>
          <w:sz w:val="18"/>
          <w:szCs w:val="18"/>
          <w:color w:val="auto"/>
        </w:rPr>
      </w:pPr>
    </w:p>
    <w:p>
      <w:pPr>
        <w:ind w:left="740" w:right="140" w:hanging="368"/>
        <w:spacing w:after="0" w:line="25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expansion of our COVID-19 testing business has resulted in a substantial change in our business that presents important challenges to our ability to manage our rapidly expanding business, and there can be no assurance that our recent growth due to demand for our COVID-19 tests, or that any revenue growth we may experience will continue.</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or sustain profitability.</w:t>
      </w:r>
    </w:p>
    <w:p>
      <w:pPr>
        <w:spacing w:after="0" w:line="21" w:lineRule="exact"/>
        <w:rPr>
          <w:rFonts w:ascii="Arial" w:cs="Arial" w:eastAsia="Arial" w:hAnsi="Arial"/>
          <w:sz w:val="18"/>
          <w:szCs w:val="18"/>
          <w:color w:val="auto"/>
        </w:rPr>
      </w:pPr>
    </w:p>
    <w:p>
      <w:pPr>
        <w:ind w:left="740" w:right="140" w:hanging="368"/>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1" w:lineRule="exact"/>
        <w:rPr>
          <w:rFonts w:ascii="Arial" w:cs="Arial" w:eastAsia="Arial" w:hAnsi="Arial"/>
          <w:sz w:val="18"/>
          <w:szCs w:val="18"/>
          <w:color w:val="auto"/>
        </w:rPr>
      </w:pPr>
    </w:p>
    <w:p>
      <w:pPr>
        <w:ind w:left="740" w:right="12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not able to grow and diversify our customer base and increase demand for our tests from existing and new customers, our potential for growth could be limited.</w:t>
      </w:r>
    </w:p>
    <w:p>
      <w:pPr>
        <w:ind w:left="740" w:right="340" w:hanging="368"/>
        <w:spacing w:after="0" w:line="28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 w:lineRule="exact"/>
        <w:rPr>
          <w:rFonts w:ascii="Arial" w:cs="Arial" w:eastAsia="Arial" w:hAnsi="Arial"/>
          <w:sz w:val="16"/>
          <w:szCs w:val="16"/>
          <w:color w:val="auto"/>
        </w:rPr>
      </w:pPr>
    </w:p>
    <w:p>
      <w:pPr>
        <w:jc w:val="both"/>
        <w:ind w:left="740" w:right="520" w:hanging="368"/>
        <w:spacing w:after="0" w:line="28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 w:lineRule="exact"/>
        <w:rPr>
          <w:rFonts w:ascii="Arial" w:cs="Arial" w:eastAsia="Arial" w:hAnsi="Arial"/>
          <w:sz w:val="16"/>
          <w:szCs w:val="16"/>
          <w:color w:val="auto"/>
        </w:rPr>
      </w:pPr>
    </w:p>
    <w:p>
      <w:pPr>
        <w:ind w:left="740" w:right="18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Billing and collections processing for our tests is complex and time-consuming, and any delay in transmitting and collecting claims could have an adverse effect on our revenue.</w:t>
      </w:r>
    </w:p>
    <w:p>
      <w:pPr>
        <w:ind w:left="740" w:right="10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we may not be able to maintain the quality of our tests or grow our business.</w:t>
      </w:r>
    </w:p>
    <w:p>
      <w:pPr>
        <w:ind w:left="740" w:right="60" w:hanging="368"/>
        <w:spacing w:after="0" w:line="28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 w:lineRule="exact"/>
        <w:rPr>
          <w:rFonts w:ascii="Arial" w:cs="Arial" w:eastAsia="Arial" w:hAnsi="Arial"/>
          <w:sz w:val="16"/>
          <w:szCs w:val="16"/>
          <w:color w:val="auto"/>
        </w:rPr>
      </w:pPr>
    </w:p>
    <w:p>
      <w:pPr>
        <w:ind w:left="740" w:right="8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ind w:left="740" w:right="20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applicable federal, state, local and foreign laboratory licensing requirements, we could lose the ability to perform our tests or experience disruptions to our business.</w:t>
      </w:r>
    </w:p>
    <w:p>
      <w:pPr>
        <w:ind w:left="740" w:right="340" w:hanging="368"/>
        <w:spacing w:after="0" w:line="28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laws and regulations, or in their application, may adversely affect our business, financial condition and results of operations.</w:t>
      </w:r>
    </w:p>
    <w:p>
      <w:pPr>
        <w:spacing w:after="0" w:line="33" w:lineRule="exact"/>
        <w:rPr>
          <w:rFonts w:ascii="Arial" w:cs="Arial" w:eastAsia="Arial" w:hAnsi="Arial"/>
          <w:sz w:val="17"/>
          <w:szCs w:val="17"/>
          <w:color w:val="auto"/>
        </w:rPr>
      </w:pPr>
    </w:p>
    <w:p>
      <w:pPr>
        <w:ind w:left="740" w:hanging="368"/>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Marketing of our COVID-19 tests under the EUA from the FDA is subject to certain limitations and we are required to maintain compliance with the terms of the EUA, among other things, and the continuance of our EUA is subject to government discretion.</w:t>
      </w:r>
    </w:p>
    <w:p>
      <w:pPr>
        <w:spacing w:after="0" w:line="1" w:lineRule="exact"/>
        <w:rPr>
          <w:rFonts w:ascii="Arial" w:cs="Arial" w:eastAsia="Arial" w:hAnsi="Arial"/>
          <w:sz w:val="18"/>
          <w:szCs w:val="18"/>
          <w:color w:val="auto"/>
        </w:rPr>
      </w:pPr>
    </w:p>
    <w:p>
      <w:pPr>
        <w:ind w:left="740" w:right="70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primarily rely on trade secret protection, non-disclosure agreements and invention assignment agreements to protect our proprietary information, which may not be effective.</w:t>
      </w:r>
    </w:p>
    <w:p>
      <w:pPr>
        <w:ind w:left="740" w:right="72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other proceedings or third-party claims of intellectual property infringement or misappropriation could require us to spend significant time and money and prevent us from selling our tests.</w:t>
      </w:r>
    </w:p>
    <w:p>
      <w:pPr>
        <w:ind w:left="740" w:right="40" w:hanging="368"/>
        <w:spacing w:after="0" w:line="26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active, liquid trading market for our common stock may not be sustained, which could make it difficult for stockholders to sell their shares of our common stock.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you could lose all or part of your investment.</w:t>
      </w:r>
    </w:p>
    <w:p>
      <w:pPr>
        <w:spacing w:after="0" w:line="36"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capital stock and are able to exert significant control over matters subject to stockholder approval.</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Before making any investment decision with respect to our common stock, you should carefully consider the risks described below and all of the other information included in this report and the other filings we make with the SEC. We believe the risks and uncertainties described below are the most significant we face; and the occurrence of any of these risks could harm our business, financial condition, results of operations, prospects and reputation and could cause the trading price of our common stock to decline. Additional risks and uncertainties not presently known to us or that we currently deem immaterial may also impair our business.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and Strategy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significantly from period to period and can be difficult to predict.</w:t>
      </w:r>
    </w:p>
    <w:p>
      <w:pPr>
        <w:spacing w:after="0" w:line="12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results of operations have experienced fluctuations from period to period, which we expect may continue in the future. These fluctuations can occur because of a variety of factors, including, among others, the amount and timing of sales of billable tests; the prices we charge for our tests due to changes in product, customer or payor mix, general price degradation for genetic tests or other competitive factors, global health crises and pandemics which may generate demand for our tests, such as the ongoing pandemic related to COVID-19, the disease caused by the novel coronavirus since named SARS-CoV-2, the rate and timing of our billings and collections and the timing and amount of our commitments and other payments, as well as the other risk factors discussed in this report. Our results have been, and may in the future be, impacted by events that may not recur regularly, in the same amounts or at all in the future. In 2020, we developed and began offering a series of COVID-19 tests, but the pricing and margins from these tests continue to evolve. For the year ended December 31, 2020, we experienced substantial revenue growth due primarily to recent sales of, and growing demand, for these COVID-19 tests. While we believe there will be a continued demand for our COVID-19 tests in the near term, the future outcome and circumstances of the COVID-19 pandemic continue to rapidly evolve and remain uncertain. There can be no assurance our COVID-19 related growth or other growth we may experience will continue. This recent growth and other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 Moreover, our limited operating history may make it difficult to determine if fluctuations in our performance reflect seasonality, pandemic-related demand or other trends or if these fluctuations are the result of other factors or events.</w:t>
      </w:r>
    </w:p>
    <w:p>
      <w:pPr>
        <w:spacing w:after="0" w:line="27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expansion of our COVID-19 testing business has resulted in a substantial change in our business that presents important challenges to our ability to manage our rapidly expanding business, and we anticipate that this business will eventually decrease as and if the prevalence of COVID-19 eventually decreases.</w:t>
      </w:r>
    </w:p>
    <w:p>
      <w:pPr>
        <w:spacing w:after="0" w:line="7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Since March 2020, we have commercially launched several COVID-19 tests for the detection of SARS-CoV-2, the virus that causes COVID-19, including NGS and RT-PCR-based tests. We have received an EUA from the FDA for RT-PCR-based tests for the detection of SARS-CoV-2 using upper respiratory specimens (nasal, nasopharyngeal, and oropharyngeal swabs) and for our at-home COVID-19 testing service through Picture Genetics. The FDA granted an EUA for our at-home testing service for COVID-19 and RT-PCR-based tests only for the detection of nucleic acid from SARS-CoV-2, not for any other viruses or pathogens. We are currently accepting patient samples directly to our Biosafety Level 2, certified laboratories in Temple City, California and Houston, Texas where we have the capacity to accept and process thousands of samples per day with a typical turn-around time of 24-48 hours from the time the sample is received and accepted. To date, we have processed orders for our COVID-19 tests from a variety of customers, including governmental bodies, municipalities, and large corporations. Due to the significant demand for COVID-19 testing services, our business has expanded rapidly since March 2020. This expansion has necessitated a very significant increase in our total headcount from 154 in March 2020 to 626 in June 2021, and the volume of tests we perform on a daily basis has increased by more than 2900% in that time.</w:t>
      </w:r>
    </w:p>
    <w:p>
      <w:pPr>
        <w:spacing w:after="0" w:line="16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addition, while most of our genetics testing business relied upon direct payments from hospitals, medical institutions and other laboratories, the majority of our revenues from our COVID-19 testing business result from reimbursements from third party payors, including private insurance and Medicare. To meet the demand for COVID-19 testing, we have increased the number of shifts at our main laboratory in Temple City, California and established a new laboratory in Houston, Texas. This substantial increase in all of our activities has caused significant changes in our business and a dramatic increase in our revenues and operating results. Each of these developments presents new challenges for our company and management team, and we cannot provide assurance that we will continue to be able to manage those challenges effectively. Our management team has not previously managed a business through such a dramatic acceleration, and the impacts of any failures, mistakes or missed opportunities could be magnified by our current rate of growth. The continued success of this business will depend upon our ability to rapidly deliver accurate results, and any failure, or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ind w:right="60"/>
        <w:spacing w:after="0" w:line="293" w:lineRule="auto"/>
        <w:rPr>
          <w:sz w:val="20"/>
          <w:szCs w:val="20"/>
          <w:color w:val="auto"/>
        </w:rPr>
      </w:pPr>
      <w:r>
        <w:rPr>
          <w:rFonts w:ascii="Arial" w:cs="Arial" w:eastAsia="Arial" w:hAnsi="Arial"/>
          <w:sz w:val="16"/>
          <w:szCs w:val="16"/>
          <w:color w:val="auto"/>
        </w:rPr>
        <w:t>perceived failure, in meeting these objectives could cause our COVID-19 testing business to decline rapidly. In addition, there are many new entrants to this market, and these competitors may cause price declines or reduced market share for us. The increase of our business with third party payors increases the regulatory scrutiny and risks that we face. While we anticipate that demand for our COVID-19 tests will eventually decrease, we are continuing to invest in expanding our capacity to meet the increasing demand that we anticipate over the next several years. There can be no assurance that our increased investments in our COVID-19 testing capacity and capabilities will result in desirable returns, and if our operating results decline as a result of decreased demand, whether as the result of a decline in the prevalence of COVID-19 or otherwise, our stock price could decline.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we may not be able to achieve or sustain profitability.</w:t>
      </w:r>
    </w:p>
    <w:p>
      <w:pPr>
        <w:spacing w:after="0" w:line="12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have a history of losses. Although we achieved profitability in the first half of 2017, the second and third quarters of 2019, the second, third and fourth quarters of 2020, and the first quarter and second quarter of 2021, we recorded losses in all other periods since our inception. We may not be able to maintain profitability in future periods. Further, our revenue levels may not grow at historical rates or at all, and we may not be able to achieve additional profitability or sustain profitability. We may incur additional losses in the future, particularly as we focus on investing in and growing our business and operations in response to recent demand for our COVID-19 tests. Our prior losses have had and any future losses may also have an adverse effect on our stockholders’ equity and working capital, which could negatively impact our operations and your investment in our company. Any failure to sustain or grow our revenue levels and achieve or maintain profitability would negatively affect our business, financial condition, results of operations and cash flows, and could cause the market price of our common stock to decline.</w:t>
      </w:r>
    </w:p>
    <w:p>
      <w:pPr>
        <w:spacing w:after="0" w:line="28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an early-stage company with a limited operating history, which could expose us to enhanced risks and increase the difficulty of evaluating our business and prospects.</w:t>
      </w:r>
    </w:p>
    <w:p>
      <w:pPr>
        <w:spacing w:after="0" w:line="5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began operations in May 2012 and commercially launched our first genetic tests in 2013. As a result, we have only a limited operating history upon which you can evaluate our business and prospects. Our limited operating history makes it difficult to evaluate our current business and hinders our ability to reliably forecast our future operating results, including revenue, cash flows and movement toward sustained profitability. Our revenue levels may not continue to grow at historical rates or at all, and we may not be able to achieve or sustain profitability. We have encountered and will continue to encounter risks and uncertainties frequently experienced by growing companies in the life sciences and technology industries, such as risks related to an evolving and unpredictable industry and business model, management of growth and the other uncertainties described in this report. If our assumptions regarding these risks and uncertainties are incorrect or these risks and uncertainties change due to fluctuations in our markets, or if we do not address these risks successfully, our operating and financial results could differ materially from our expectations and our business could suffer.</w:t>
      </w:r>
    </w:p>
    <w:p>
      <w:pPr>
        <w:spacing w:after="0" w:line="26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5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recent years, there have been numerous advances in the ability to analyze large amounts of genomic information and the role of genetics and gene variants in disease diagnosis and treatment. Our industry has been, and we believe will continue to be, characterized by rapid technological change, increasing amounts of data, frequent introductions of new genetic tests and evolving industry standards, all of which could make our tests obsolete if we are not able to enhance our tests more quickly and more effectively than our competitors. We believe our future success will depend in part on our ability to keep pace with the evolving needs of our customers in a timely and cost-effective manner and to pursue new market opportunities that develop as a result of technological and scientific advances. If we are not able to keep pace with these advances and increased customer expectations that develop as a result of these advances, we may be unable to sustain or grow our business and our future operations and prospects could suffer.</w:t>
      </w:r>
    </w:p>
    <w:p>
      <w:pPr>
        <w:spacing w:after="0" w:line="27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mix of customers can fluctuate from period to period and our revenue may be concentrated among only a small number of customers, and the loss of or a reduction in sales to any of our customers could materially harm our business.</w:t>
      </w:r>
    </w:p>
    <w:p>
      <w:pPr>
        <w:spacing w:after="0" w:line="5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composition and concentration of our customer base can fluctuate from period to period, and in certain prior periods, a small number of customers accounted for a significant portion of our revenue. When customers who, to our knowledge, are under common control or otherwise affiliated with each other are aggregated, two customers contributed 20% and 16% of the Company’s revenue for the three months ended June 30, 2021, respectively. Two customers contributed 24% and 11% of the Company’s revenue for the six months ended June 30, 2021, respectively.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billable tests, could decide at any time to decrease, delay or discontinue their orders from us which could adversely affect our revenue. Although we believe some of these fluctuations in customer demand may be attributable, in part, to the nature of our business, in which our customers can experience significant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right="100"/>
        <w:spacing w:after="0" w:line="254" w:lineRule="auto"/>
        <w:rPr>
          <w:sz w:val="20"/>
          <w:szCs w:val="20"/>
          <w:color w:val="auto"/>
        </w:rPr>
      </w:pPr>
      <w:r>
        <w:rPr>
          <w:rFonts w:ascii="Arial" w:cs="Arial" w:eastAsia="Arial" w:hAnsi="Arial"/>
          <w:sz w:val="18"/>
          <w:szCs w:val="18"/>
          <w:color w:val="auto"/>
        </w:rPr>
        <w:t>volatility in their genetic testing demand from period to period in the ordinary course of their operations, these demand fluctuations, particularly for any key customers, can have a significant impact on our period-to-period performance regardless of their cause. In addition, the failure of any one of our customers or their payors to pay on a timely basis would negatively impact our results and cash flows.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2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we are not able to grow and diversify our customer base and increase demand for our tests from existing and new customers, our potential for growth could be limited. We may incur cost overruns as a result of fixed price contracts which could limit profits or otherwise adversely affect our business results of operations and financial condition.</w:t>
      </w:r>
    </w:p>
    <w:p>
      <w:pPr>
        <w:spacing w:after="0" w:line="7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To achieve our desired revenue growth, we must increase test volume by further penetrating our existing hospital and medical institution customers and by expanding sales of our COVID-19 tests to additional governmental bodies, municipalities and large corporations in need of regular COVID-19 testing for large populations. In addition, we must grow our customer base beyond hospitals, medical institutions and other laboratories and into additional customer groups, such as individual physicians, other practitioners and research institutions. To this end, 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These efforts could fail. Even if we successfully develop relationships with new customers in these or any other new customers groups, these relationships may not lead to improve our ability to achieve or sustain profitability.</w:t>
      </w:r>
    </w:p>
    <w:p>
      <w:pPr>
        <w:spacing w:after="0" w:line="181"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and without prior notice. In particular, certain of government contracts are multi-award, indefinite-delivery and indefinite-quantity, or IDIQ, task order-based contracts, which generally provide for fixed price schedules for products and services, have no pre-set delivery schedules, have very low minimum purchase requirements, are typically competed among multiple awardees and force us to carry the burden of any cost overruns. Due to their nature, fixed-priced contracts inherently have more risk than cost reimbursable contracts. If we are unable to control costs or if our initial cost estimates are incorrect, we can lose money on these contracts. In addition, some of our contracts may have provisions relating to cost controls and audit rights, and if we fail to meet the terms specified in those contracts, we may not realize their full benefits. Low earnings caused by cost overruns and cost controls would have a negative impact on our results of operations. Since the price competition to win both IDIQ and fixed-priced contracts is intense and costs of further contracts performance cannot be predicted with certainty, there can be no assurance as to the profits, if any, that the Company will realize over the term of such contracts.</w:t>
      </w:r>
    </w:p>
    <w:p>
      <w:pPr>
        <w:spacing w:after="0" w:line="186"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may fail to obtain the customer growth needed to grow volumes and revenue levels as desired or anticipated or at all, which could occur for a variety of reasons, including, among others:</w:t>
      </w:r>
    </w:p>
    <w:p>
      <w:pPr>
        <w:spacing w:after="0" w:line="62" w:lineRule="exact"/>
        <w:rPr>
          <w:sz w:val="20"/>
          <w:szCs w:val="20"/>
          <w:color w:val="auto"/>
        </w:rPr>
      </w:pPr>
    </w:p>
    <w:p>
      <w:pPr>
        <w:ind w:left="740" w:right="300" w:hanging="368"/>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genetic testing market generally, and particularly the market for NGS genetic tests and our COVID-19 tests, is relatively new and may not grow as predicted or may decline;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improve our existing tests and develop and launch new tests may be unsuccessful;</w:t>
      </w:r>
    </w:p>
    <w:p>
      <w:pPr>
        <w:spacing w:after="0" w:line="21" w:lineRule="exact"/>
        <w:rPr>
          <w:rFonts w:ascii="Arial" w:cs="Arial" w:eastAsia="Arial" w:hAnsi="Arial"/>
          <w:sz w:val="18"/>
          <w:szCs w:val="18"/>
          <w:color w:val="auto"/>
        </w:rPr>
      </w:pPr>
    </w:p>
    <w:p>
      <w:pPr>
        <w:ind w:left="740" w:right="40" w:hanging="368"/>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convince additional hospitals, medical institutions and other laboratories or additional customer groups of the utility of our tests and their potential advantages over existing and new alternatives;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investments in our sales and marketing functions, including our efforts to increase and restructure our sales force and re-focus and expand our marketing initiatives and strategies, may fail;</w:t>
      </w: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convincing customers of the benefits of our broad and customizable test menu;</w:t>
      </w:r>
    </w:p>
    <w:p>
      <w:pPr>
        <w:spacing w:after="0" w:line="21" w:lineRule="exact"/>
        <w:rPr>
          <w:rFonts w:ascii="Arial" w:cs="Arial" w:eastAsia="Arial" w:hAnsi="Arial"/>
          <w:sz w:val="18"/>
          <w:szCs w:val="18"/>
          <w:color w:val="auto"/>
        </w:rPr>
      </w:pPr>
    </w:p>
    <w:p>
      <w:pPr>
        <w:ind w:left="740" w:hanging="368"/>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genetic testing is expensive and many existing and potential new customers may be sensitive to pricing, particularly if we are not able to maintain low prices relative to our competitors;</w:t>
      </w:r>
    </w:p>
    <w:p>
      <w:pPr>
        <w:spacing w:after="0" w:line="1" w:lineRule="exact"/>
        <w:rPr>
          <w:rFonts w:ascii="Arial" w:cs="Arial" w:eastAsia="Arial" w:hAnsi="Arial"/>
          <w:sz w:val="18"/>
          <w:szCs w:val="18"/>
          <w:color w:val="auto"/>
        </w:rPr>
      </w:pPr>
    </w:p>
    <w:p>
      <w:pPr>
        <w:ind w:left="740" w:right="98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new customers, particularly individual physicians and other practitioners, may not adopt our tests if coverage and adequate reimbursement are not available;</w:t>
      </w:r>
    </w:p>
    <w:p>
      <w:pPr>
        <w:ind w:left="740" w:right="80" w:hanging="368"/>
        <w:spacing w:after="0" w:line="28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negative publicity or regulatory investigations into the actions of companies in our industry could raise doubts about the legitimacy of diagnostic technologies generally, and could result in scrutiny of diagnostic activities by the FDA, or other applicable government agencies; and</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could introduce new tests that cover more genes or that provide more accurate, reliable or rapid results.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ind w:right="800" w:firstLine="510"/>
        <w:spacing w:after="0" w:line="342" w:lineRule="auto"/>
        <w:rPr>
          <w:sz w:val="20"/>
          <w:szCs w:val="20"/>
          <w:color w:val="auto"/>
        </w:rPr>
      </w:pPr>
      <w:r>
        <w:rPr>
          <w:rFonts w:ascii="Arial" w:cs="Arial" w:eastAsia="Arial" w:hAnsi="Arial"/>
          <w:sz w:val="16"/>
          <w:szCs w:val="16"/>
          <w:color w:val="auto"/>
        </w:rPr>
        <w:t>If we are unable to address these and other risks associated with growing our customer base and deepening our relationships with existing customers, we may not achieve our desired growth in billable tests and revenue, and our results of operations could be adversely impacted.</w:t>
      </w:r>
    </w:p>
    <w:p>
      <w:pPr>
        <w:spacing w:after="0" w:line="268"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We face intense competition, which could intensify further in the future, and we may fail to maintain or increase our revenue levels, maintain the current prices and margins for our billable tests, or achieve or sustain profitability if we cannot compete successfully.</w:t>
      </w:r>
    </w:p>
    <w:p>
      <w:pPr>
        <w:spacing w:after="0" w:line="3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With the development of NGS, the clinical genetic testing market has become increasingly competitive, and as the COVID-19 pandemic continues, potentially competitive COVID-19 tests have entered and may continue to enter the market. This competition may intensify in the future. We face competition from a variety of sources, including, among others, an increasing number of companies seeking to develop and commercialize, or who have developed and commercialized, COVID-19 tests, dozens of companies focused on molecular genetic testing services, such as specialty and reference laboratories that offer traditional single-gene and multi-gene tests, and established and emerging healthcare, information technology and service companies that may develop and sell competitive products or services, which may include informatics, analysis, integrated genetic tools and services for health and wellness.</w:t>
      </w:r>
    </w:p>
    <w:p>
      <w:pPr>
        <w:spacing w:after="0" w:line="195" w:lineRule="exact"/>
        <w:rPr>
          <w:sz w:val="20"/>
          <w:szCs w:val="20"/>
          <w:color w:val="auto"/>
        </w:rPr>
      </w:pPr>
    </w:p>
    <w:p>
      <w:pPr>
        <w:ind w:firstLine="514"/>
        <w:spacing w:after="0" w:line="270" w:lineRule="auto"/>
        <w:rPr>
          <w:sz w:val="20"/>
          <w:szCs w:val="20"/>
          <w:color w:val="auto"/>
        </w:rPr>
      </w:pPr>
      <w:r>
        <w:rPr>
          <w:rFonts w:ascii="Arial" w:cs="Arial" w:eastAsia="Arial" w:hAnsi="Arial"/>
          <w:sz w:val="17"/>
          <w:szCs w:val="17"/>
          <w:color w:val="auto"/>
        </w:rPr>
        <w:t>Additionally, participants in closely related markets, such as prenatal testing and clinical trial or companion diagnostic testing,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individual physicians and other practitioners, governmental bodies, municipalities and corporations may also seek to perform testing, including rapid COVID-19 testing, at their own facilities rather than use our services. In this regard, access to these on site or point-of-care testing solutions and the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Moreover, the biotechnology and genetic testing fields continue to undergo significant consolidation, permitting larger clinical laboratory service providers to increase cost efficiencies and service levels, resulting in more intense competition.</w:t>
      </w:r>
    </w:p>
    <w:p>
      <w:pPr>
        <w:spacing w:after="0" w:line="181"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obtain more favorable results from third-party payors regarding coverage and reimbursement for their offerings, adopt more aggressive pricing and/or price reduction policies for their tests, secure supplies from vendors on more favorable terms or devote substantially more resources to infrastructure and systems development. We may not be able to compete effectively against these organizations.</w:t>
      </w:r>
    </w:p>
    <w:p>
      <w:pPr>
        <w:spacing w:after="0" w:line="166" w:lineRule="exact"/>
        <w:rPr>
          <w:sz w:val="20"/>
          <w:szCs w:val="20"/>
          <w:color w:val="auto"/>
        </w:rPr>
      </w:pPr>
    </w:p>
    <w:p>
      <w:pPr>
        <w:ind w:right="40" w:firstLine="514"/>
        <w:spacing w:after="0" w:line="269" w:lineRule="auto"/>
        <w:rPr>
          <w:sz w:val="20"/>
          <w:szCs w:val="20"/>
          <w:color w:val="auto"/>
        </w:rPr>
      </w:pPr>
      <w:r>
        <w:rPr>
          <w:rFonts w:ascii="Arial" w:cs="Arial" w:eastAsia="Arial" w:hAnsi="Arial"/>
          <w:sz w:val="17"/>
          <w:szCs w:val="17"/>
          <w:color w:val="auto"/>
        </w:rPr>
        <w:t>Additionally, increased competition and cost-saving initiatives on the part of government entities and other third-party payors could result in downward pressure on the price for our testing services and genetic analysis and interpretation generally, which could harm our revenue levels and sales volume and our ability to gain market share. This downward pricing pressure could intensify in future periods, and we may not be able to maintain acceptable margins on our sales if we are forced to reduce prices for our tests to try to remain competitive, especially if we are also experiencing increasing expenses as we make efforts to grow our business or otherwise meet customer demands. The occurrence of these risks could materially harm our ability to achieve or sustain profitability. In addition, competitors may be acquired by, receive investments from or enter into other commercial relationships with larger, well-established and well-financed companies. Further, companies or governments that effectively control access to testing through umbrella contracts or regional preferences could promote our competitors or prevent us from performing certain tests in certain territories. If we are unable to compete successfully against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520"/>
        <w:spacing w:after="0" w:line="282" w:lineRule="auto"/>
        <w:rPr>
          <w:sz w:val="20"/>
          <w:szCs w:val="20"/>
          <w:color w:val="auto"/>
        </w:rPr>
      </w:pPr>
      <w:r>
        <w:rPr>
          <w:rFonts w:ascii="Arial" w:cs="Arial" w:eastAsia="Arial" w:hAnsi="Arial"/>
          <w:sz w:val="18"/>
          <w:szCs w:val="18"/>
          <w:b w:val="1"/>
          <w:bCs w:val="1"/>
          <w:color w:val="auto"/>
        </w:rPr>
        <w:t>Our level of commercial success depends in part on our ability to generate and grow sales with our sales and marketing team, strategies and partnerships, and we may be unsuccessful in these efforts.</w:t>
      </w:r>
    </w:p>
    <w:p>
      <w:pPr>
        <w:spacing w:after="0" w:line="166"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We may not be able to market or sell our existing tests or any tests we may develop in the future in order to drive demand sufficiently to support our desired growth. We currently sell our tests through a small internal sales force and a number of contractors who serve as independent sales representatives. Although we have made efforts to enhance and improve our internal sales department, it remains significantly smaller than many of our competitors’ sales teams. We have historically relied significantly on organic growth and word-of-mouth among our customers to generate interest in our tests, but our ability to rely on this type of interest in future periods is uncertain.</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our ability to maintain and grow sales volume in the future will depend in large part on our ability to further develop our sales team and create and implement effective sales and marketing strategies. We have been focused on these objectives and have taken steps to pursue them in recent periods, including hiring new key members and restructuring the organization of our sales and marketing team, re-focusing our sales and marketing initiatives and strategies and increasing the overall scope of our marketing activities. These efforts have required and will continue to involve significant time and expense. Moreover, these efforts may be unsuccessful. For instance, we may not be able to attract and hire the qualified personnel we need to grow or otherwise improve our sales and marketing team as quickly or as successfully as we would like for various reasons, including intense competition in our industry for qualified personnel and our relative lack of experience selling and marketing our tests. Even if we are able to further develop our sales and marketing team and strategy, we may not be successful in growing our customer base or increasing order volumes from our existing customers. Further, our reliance on independent sales representatives subjects us to risks, as we have very little control over their activities and they are generally free to market and sell other, potentially competing, products. As a result, these independent sales representatives could devote insufficient time or resources to marketing and selling our tests, could market them in an ineffective manner or could otherwise be unsuccessful in selling adequate or expected quantities of our tests.</w:t>
      </w:r>
    </w:p>
    <w:p>
      <w:pPr>
        <w:spacing w:after="0" w:line="1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addition, our future sales levels will depend in large part on the effectiveness of our sales and marketing strategies, including our ability to expand our brand awareness by providing education about the benefits and full scale of our offering to the medical community in general and to our targeted geographic and customer markets. We also intend to continue to pursue targeted marketing initiatives, including working with medical professional societies to promote awareness of the benefits of our tests and genetic testing in general, pursuing or supporting scientific studies of our tests and publication of results in medical or scientific journals and making presentations at medical, scientific or industry conferences and trade shows. We may not be successful in implementing these initiatives or other marketing strategies we may develop and pursue. If we are not able to drive sufficient revenue using our sales and marketing strategies to support our planned growth, our business and results of operations would be negatively affected.</w:t>
      </w:r>
    </w:p>
    <w:p>
      <w:pPr>
        <w:spacing w:after="0" w:line="166"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Our sales and marketing strategies also include a continued focus on growing our international sales and customer base, which we plan to pursue through our direct sales team, a number of independent contractor sales representatives, and, if opportunities arise, by engaging distributors or establishing other types of arrangements, such as joint ventures or other relationships, to manage or assist with sales, logistics, education or customer support in certain territories. To this end, we worked with Xi Long USA, Inc. to form a joint venture in the second quarter of 2017, which we refer to as FF Gene Biotech, to offer genetic testing to customers in China. We acquired additional ownership in FF Gene Biotech in May 2021 to obtain a controlling interest. Although</w:t>
      </w:r>
    </w:p>
    <w:p>
      <w:pPr>
        <w:spacing w:after="0" w:line="2" w:lineRule="exact"/>
        <w:rPr>
          <w:sz w:val="20"/>
          <w:szCs w:val="20"/>
          <w:color w:val="auto"/>
        </w:rPr>
      </w:pPr>
    </w:p>
    <w:p>
      <w:pPr>
        <w:ind w:right="20" w:firstLine="8"/>
        <w:spacing w:after="0" w:line="286"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 Biotech has enabled us to have an operational presence on the ground in China to capitalize on the large and growing genetic testing opportunity in the country and we believe FF Gene Biotech could result in expanded long-term opportunities to address the genetic testing market in Asia, these expectations could turn out to be wrong and we may never realize the benefits we anticipate from FF Gene Biotech. While it may become necessary to identify, qualify and engage other commercial partners or distributors with local industry experience and knowledge in order to effectively market and sell our tests outside the United States, we have established some relationships to cover any non-U.S. territories including FF Gene Biotech in China and other distribution relationships. As a result, we may not be successful in finding, attracting and retaining qualified distributors or other commercial partners or we may not be able to enter into arrangements covering desired territories on favorable terms. In addition, sales practices utilized by distributors or other commercial partners that are locally acceptable may not comply with sales practices or standards required under U.S. laws that apply to us, which could subject us to additional compliance risks. If our sales and marketing efforts outside the United States are not successful, we may not achieve significant acceptance for our tests in international markets, which could materially and adversely impact our business operations.</w:t>
      </w:r>
    </w:p>
    <w:p>
      <w:pPr>
        <w:spacing w:after="0" w:line="27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will need to invest in and expand our infrastructure and hire additional skilled personnel in order to support our desired growth, and our failure to effectively manage any future growth could jeopardize our business.</w:t>
      </w:r>
    </w:p>
    <w:p>
      <w:pPr>
        <w:spacing w:after="0" w:line="16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To continue to increase the volume of tests we offer and deliver, we must make substantial investments in our infrastructure, including our testing capacity, laboratory capacity, information systems, enterprise software systems, customer service, billing and collections systems and processes and internal quality assurance programs. We will also need to invest in our workforce by hiring additional skilled personnel, including biostatisticians, geneticists, software engineers, laboratory directors and specialists, sales and marketing experts and other scientific, technical and managerial personnel to market, process, interpret and validate the quality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100"/>
        <w:spacing w:after="0" w:line="272" w:lineRule="auto"/>
        <w:rPr>
          <w:sz w:val="20"/>
          <w:szCs w:val="20"/>
          <w:color w:val="auto"/>
        </w:rPr>
      </w:pPr>
      <w:r>
        <w:rPr>
          <w:rFonts w:ascii="Arial" w:cs="Arial" w:eastAsia="Arial" w:hAnsi="Arial"/>
          <w:sz w:val="17"/>
          <w:szCs w:val="17"/>
          <w:color w:val="auto"/>
        </w:rPr>
        <w:t>results of our genetic tests and otherwise manage our operations. For example, before we deliver a report for any of our tests, including our COVID-19 tests, the results summarized in the report must be reviewed and approved by a licensed and qualified laboratory director. We currently have six laboratory directors, of which, five lab directors have all of the required licenses, including Dr. Han Lin Gao. We may need to hire additional licensed laboratory directors in the future to further scale our business. If we fail to hire additional qualified personnel when needed or otherwise develop our infrastructure sufficiently in advance of demand or if we fail to generate demand commensurate with our level of investment in our infrastructure, our business, prospects, financial condition and results of operations could be adversely affected. We are expanding our existing laboratory space and we may acquire new laboratory space, which would involve significant costs and attention from our management.</w:t>
      </w:r>
    </w:p>
    <w:p>
      <w:pPr>
        <w:spacing w:after="0" w:line="17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time and resources required to implement new systems, to add and train new skilled personnel and to expand or acquire new laboratory space as needed are uncertain. Any future growth we may experience could create a strain on our organizational, administrative and operational infrastructure, including laboratory operations, quality control, customer service, sales and marketing and management. We may not be able to maintain the quality of or expected turnaround times for our tests or satisfy customer demand if and when it grows. Our ability to effectively manage any growth we experience will also require us to continue to improve our laboratory and other operational, financial and management systems and controls and our reporting processes and procedures, which may involve significant time and costs and which we may not be able to do successfully.</w:t>
      </w:r>
    </w:p>
    <w:p>
      <w:pPr>
        <w:spacing w:after="0" w:line="282"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ability to achieve or sustain profitability depends on our collection of payment for the tests we deliver, which we may not be able to do successfully.</w:t>
      </w:r>
    </w:p>
    <w:p>
      <w:pPr>
        <w:spacing w:after="0" w:line="16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Since starting our genetic testing business, 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for our COVID-19 tests. In March 2020, the Coronavirus Aid, Relief, and Economic Security Act, or CARES Act, was enacted, and it provides for reimbursement to healthcare providers for COVID-19 tests provided to uninsured individuals, subject to continued available funding. In recent months, this reimbursement has accounted for a significant portion of our revenue. Should reimbursement under the CARES Act for COVID-19 testing cease to be available for any reason, our ability to collect payment would be adversely affected. 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these customers may slow, or stop altogether, their purchases of our tests. Moreover, our ability to collect payment for our tests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third-party payors do not provide coverage and adequate reimbursement for our tests, our potential for growth could be limited.</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Coverage and reimbursement by third-party payors, including managed care organizations, private health insurers and government healthcare programs, such as Medicare and Medicaid, for the types of genetic tests we perform can be limited and uncertain. Although our existing customer base consists primarily of hospitals, medical institutions, municipalities, governmental bodies, large corporations and other laboratories from which we typically receive direct payment for ordered tests, including our COVID-19 tests, we believe our potential for future growth is dependent on our ability to attract new customer groups, including individual physicians and other practitioners. Our healthcare provider customers, including laboratories may not order our tests unless third-party payors cover and provide adequate reimbursement for a substantial portion of the price of the tests. If we are not able to obtain coverage and an acceptable level of reimbursement for our tests from third-party payors, there would typically be a greater co-insurance, deductible or co-payment requirement from the patient for whom the test is ordered or the patient may be forced to pay the entire cost of the test out-of-pocket, which could dissuade practitioners from ordering our tests and, if ordered, could result in a delay in or decreased likelihood of collecting payment, whether from patients or from third-party payors. We believe our ability to increase the number of tests we sell to our healthcare provider customers and any corresponding revenue will depend in part on our ability to achieve and maintain broad coverage and reimbursement for our tests from third-party payors.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right="20" w:firstLine="510"/>
        <w:spacing w:after="0" w:line="268" w:lineRule="auto"/>
        <w:rPr>
          <w:sz w:val="20"/>
          <w:szCs w:val="20"/>
          <w:color w:val="auto"/>
        </w:rPr>
      </w:pPr>
      <w:r>
        <w:rPr>
          <w:rFonts w:ascii="Arial" w:cs="Arial" w:eastAsia="Arial" w:hAnsi="Arial"/>
          <w:sz w:val="17"/>
          <w:szCs w:val="17"/>
          <w:color w:val="auto"/>
        </w:rPr>
        <w:t>Coverage and reimbursement by a third-party payor may depend on a number of factors, including a payor’s determination that a test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third-party payors with respect to establishing payment rates for various procedures, including our tests, is complex, does not currently adapt well to the genetic tests we perform and may not enable coverage and adequate reimbursement rates for our tests. If physicians fail to provide appropriate diagnosis codes for tests that they order, we 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establishing adequate reimbursement levels is an unpredictable, challenging, time-consuming and costly process, and we may never be successful.</w:t>
      </w:r>
    </w:p>
    <w:p>
      <w:pPr>
        <w:spacing w:after="0" w:line="18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To date, we have contracted directly with national health insurance companies to become an in-network provider and enrolled as a supplier in the Medicare program and some state Medicaid programs, and we have also received payment for our tests from other third-party payors as an out-of-network provider. Although becoming an in-network provider or enrolling as a supplier means that we have agreed with these payors to provide certain of our tests at negotiated or set fee schedule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physician customer base or the number of billable tests we sell to physicians.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283"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and marketing new tests, which could negatively impact our performance and prospects.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our future success will depend in part on our ability to continue to expand our test offerings and develop and sell new tests. We may not be successful in launching or marketing any new tests we may develop, and, even if we are successful, the demand for our other tests could decrease or may not continue to increase at historical rates due to sales of the new tests. Our pipeline of new tests is in various stages of development and will be time-consuming and costly to fully develop and introduce, as development and marketing of new tests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for a variety of reasons, including failure of any proposed test to perform as expected, lack of validation or reference data for the test or failure to demonstrate the utility of the test. Further,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 commercial levels and at reasonable costs, be successfully marketed or achieve sufficient market acceptance for us to recoup our time and capital investment in the development of the test. Any failure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successfully develop, market and sell new tests could negatively impact our ability to attract and retain customers and our revenue and prospects.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exposed to additional business, regulatory, political, operational, financial and economic risks related to our international operations.</w:t>
      </w:r>
    </w:p>
    <w:p>
      <w:pPr>
        <w:spacing w:after="0" w:line="144"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Our existing customer base includes international customers from a variety of geographic markets. In addition, we have established FF Gene Biotech to offer genetic testing to customers in China. As part of our strategy, we aim to increase our volume of direct sales to international customers in a variety of markets by conducting targeted marketing outreach activities and, if opportunities arise, engaging distributors or establishing other types of arrangements, such as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internationally involves a number of risks, including, among others:</w:t>
      </w:r>
    </w:p>
    <w:p>
      <w:pPr>
        <w:spacing w:after="0" w:line="225" w:lineRule="exact"/>
        <w:rPr>
          <w:sz w:val="20"/>
          <w:szCs w:val="20"/>
          <w:color w:val="auto"/>
        </w:rPr>
      </w:pPr>
    </w:p>
    <w:p>
      <w:pPr>
        <w:ind w:left="740" w:right="20" w:hanging="368"/>
        <w:spacing w:after="0" w:line="25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laws and regulations of multiple jurisdictions, which may be conflicting or subject to increasing stringency or other changes, including privacy regulations, tax laws, employment laws, healthcare regulatory requirements and other related approvals, including permitting and licensing requirements;</w:t>
      </w:r>
    </w:p>
    <w:p>
      <w:pPr>
        <w:spacing w:after="0" w:line="2"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Arial" w:cs="Arial" w:eastAsia="Arial" w:hAnsi="Arial"/>
          <w:sz w:val="18"/>
          <w:szCs w:val="18"/>
          <w:color w:val="auto"/>
        </w:rPr>
      </w:pPr>
    </w:p>
    <w:p>
      <w:pPr>
        <w:ind w:left="740" w:right="48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us, any joint ventures or other arrangements we may establish or any distributors or other commercial partners we may engage to obtain any regulatory approvals required to market, sell and use our tests in various countries;</w:t>
      </w:r>
    </w:p>
    <w:p>
      <w:pPr>
        <w:ind w:left="740" w:right="44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predicting the market for genetic testing generally and tailoring our test menu to meet varying customer expectations in different countries and territories;</w:t>
      </w: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gaining market share in territories in which we do not have a strong physical presence or brand awareness;</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complexities and difficulties obtaining protection for and enforcing our intellectual property rights;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coverage and reimbursement regimes, government payors or patient self-pay systems;</w:t>
      </w:r>
    </w:p>
    <w:p>
      <w:pPr>
        <w:spacing w:after="0" w:line="59" w:lineRule="exact"/>
        <w:rPr>
          <w:rFonts w:ascii="Arial" w:cs="Arial" w:eastAsia="Arial" w:hAnsi="Arial"/>
          <w:sz w:val="16"/>
          <w:szCs w:val="16"/>
          <w:color w:val="auto"/>
        </w:rPr>
      </w:pPr>
    </w:p>
    <w:p>
      <w:pPr>
        <w:ind w:left="740" w:right="520" w:hanging="368"/>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trade accounts receivable and the impact of local and regional financial conditions on demand and payment for our tests;</w:t>
      </w:r>
    </w:p>
    <w:p>
      <w:pPr>
        <w:spacing w:after="0" w:line="1" w:lineRule="exact"/>
        <w:rPr>
          <w:rFonts w:ascii="Arial" w:cs="Arial" w:eastAsia="Arial" w:hAnsi="Arial"/>
          <w:sz w:val="18"/>
          <w:szCs w:val="18"/>
          <w:color w:val="auto"/>
        </w:rPr>
      </w:pPr>
    </w:p>
    <w:p>
      <w:pPr>
        <w:ind w:left="740" w:right="36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including increased risk with respect to the Canadian dollar after we recently started billing certain of our Canadian hospital customers in their local currency and with respect to the RMB related to revenue received under our agreements with FF Gene Biotech;</w:t>
      </w:r>
    </w:p>
    <w:p>
      <w:pPr>
        <w:spacing w:after="0" w:line="1" w:lineRule="exact"/>
        <w:rPr>
          <w:rFonts w:ascii="Arial" w:cs="Arial" w:eastAsia="Arial" w:hAnsi="Arial"/>
          <w:sz w:val="18"/>
          <w:szCs w:val="18"/>
          <w:color w:val="auto"/>
        </w:rPr>
      </w:pPr>
    </w:p>
    <w:p>
      <w:pPr>
        <w:ind w:left="740" w:right="12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conversion and repatriation of certain foreign currencies, particularly the RMB, which is subject to legal procedures and restrictions on currency conversion and movement outside China and which could impact our ability to receive the anticipated financial benefits of our controlling interest in FF Gene Biotech;</w:t>
      </w:r>
    </w:p>
    <w:p>
      <w:pPr>
        <w:spacing w:after="0" w:line="1" w:lineRule="exact"/>
        <w:rPr>
          <w:rFonts w:ascii="Arial" w:cs="Arial" w:eastAsia="Arial" w:hAnsi="Arial"/>
          <w:sz w:val="18"/>
          <w:szCs w:val="18"/>
          <w:color w:val="auto"/>
        </w:rPr>
      </w:pPr>
    </w:p>
    <w:p>
      <w:pPr>
        <w:ind w:left="740" w:right="56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(e.g. the COVID-19 pandemic), boycotts and other business restrictions; and</w:t>
      </w:r>
    </w:p>
    <w:p>
      <w:pPr>
        <w:ind w:left="740" w:right="60" w:hanging="368"/>
        <w:spacing w:after="0" w:line="26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Any of these factors could significantly harm our existing relationships with international customers or derail our international expansion plans, which would cause our revenue and results of operations to suffer.</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we are exposed to a number of additional risks and challenges related to our efforts to access customers in China through FF Gene Biotech. These risks include, among others, difficulties predicting the market for genetic testing in Asia; competitive factors in this market, including challenges securing market share; local differences in customer demands and preferences and regulatory requirements; and many of the other risks of doing business internationally that are discussed above. Further, we could experience declines in our direct sales to, and revenue from, customers in Asia if any of these customers choose to order genetic tests from FF Gene Biotech instead of directly from us. As a result of these risks, although we believe FF Gene Biotech could result in expanded long-term opportunities to address the genetic testing market in Asia, this belief could turn out to be wrong and we may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ind w:right="140"/>
        <w:spacing w:after="0" w:line="259" w:lineRule="auto"/>
        <w:rPr>
          <w:sz w:val="20"/>
          <w:szCs w:val="20"/>
          <w:color w:val="auto"/>
        </w:rPr>
      </w:pPr>
      <w:r>
        <w:rPr>
          <w:rFonts w:ascii="Arial" w:cs="Arial" w:eastAsia="Arial" w:hAnsi="Arial"/>
          <w:sz w:val="18"/>
          <w:szCs w:val="18"/>
          <w:color w:val="auto"/>
        </w:rPr>
        <w:t>never realize these or any other benefits we anticipate from FF Gene Biotech. Moreover, FF Gene Biotech or any joint venture we may seek to establish may never produce sufficient revenue to us to recover our capital and other investments in the joint venture, and we could become subject to liabilities based on our involvement in the joint venture’s operations. The materialization of any of these risks related to FF Gene Biotech could materially harm our performance and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sued for product or professional liability, we could face substantial liabilities that exceed our resources.</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business depends on our ability to provide reliable and accurate test results that incorporate rapidly evolving information about the role of genes and gene variants in disease and clinically relevant outcomes associated with these variants. Hundreds of genes can be implicated in some disorders and overlapping networks of genes and symptoms can be implicated in multiple conditions. As a result,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2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perform all of our tests at our CLIA-certified laboratories in Temple City, California and Houston, Texas. Our laboratories and the equipment we use to perform our tests would be costly to replace and could require substantial lead time to replace and qualify for use. This and any other laboratory facilities and equipment we may use could be damaged or rendered inoperable by natural or man-made disasters, including earthquakes, floods, fires and power outages, which could render it difficult or impossible for us to perform our tests for some period of time. The inability to perform our tests or the backlog that could develop if a laboratory becomes inoperable for even a short time could result in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if we need to relocate from one laboratory facility to another laboratory facility or obtain additional laboratory space, we may have difficulty locating suitable space in a timely manner, on reasonable terms or at all, and even if acceptable space was available, it would be challenging, time-consuming and expensive to obtain or transfer the licensure and accreditation required for a commercial laboratory like ours and the equipment we use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or develop and launch new tests, which could result in harm to our business, reputation,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the impact of the COVID-19 pandemic and the related protective public health measures.</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Despite our recent revenue growth and recent demand for our COVID-19 tests, our business could be materially and adversely affected by the effects of the global pandemic of COVID-19 and the related protective public health measures. Our business depends upon the continuous testing services that we provide at our laboratory facilities, and our business faces the same risks as are currently prevalent in most of the United States, including the risks that employees could contract COVID-19 which could result in a disruption in our ability to continue to provide testing services. Although we take what we believe are reasonable precautions to prevent the spread of COVID-19 within our facilities and among our employees, we cannot provide assurance that we will not suffer from an exposure to the SARS-CoV-2 virus that would require a temporary closure of our laboratory facilities, which would materially adversely affect our operations and financial results. Other adverse effects of the pandemic on our business could include disruptions or restrictions on our employees’ ability to travel, as well as temporary closures of the facilities of our suppliers, third party service providers or customers, which could impact our test volume and results of operations. In addition, a significant outbreak of contagious disease in the human population could result in a widespread health crisis that could adversely affect the economies and financial markets of many countries, resulting in an economic downturn that could affect demand for our tests and impact our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540"/>
        <w:spacing w:after="0" w:line="347" w:lineRule="auto"/>
        <w:rPr>
          <w:sz w:val="20"/>
          <w:szCs w:val="20"/>
          <w:color w:val="auto"/>
        </w:rPr>
      </w:pPr>
      <w:r>
        <w:rPr>
          <w:rFonts w:ascii="Arial" w:cs="Arial" w:eastAsia="Arial" w:hAnsi="Arial"/>
          <w:sz w:val="16"/>
          <w:szCs w:val="16"/>
          <w:b w:val="1"/>
          <w:bCs w:val="1"/>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a limited number of suppliers for certain of our laboratory substances, including reagents, as well as for the sequencers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We do not have long-term agreements with most of our suppliers and, as a result, they could cease supplying these materials and equipment to us at any time due to an inability to reach agreement with us on supply terms, disruptions in their operations, a determination to pursue other activities or lines of business or for other reasons, or they could fail to provide us with sufficient quantities of materials that meet our specifications. These suppliers may also be affected by the ongoing COVID-19 pandemic or its related effects on the global supply chain.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some of the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we require for our tests, including as a result of the COVID-19 pandemic, our operations could be materially disrupted and our business, financial condition, results of operations and reputation could be adversely affected.</w:t>
      </w:r>
    </w:p>
    <w:p>
      <w:pPr>
        <w:spacing w:after="0" w:line="27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Billing and collections processing for our tests is complex and time-consuming, and any delay in transmitting and collecting claims could have an adverse effect on our revenue.</w:t>
      </w:r>
    </w:p>
    <w:p>
      <w:pPr>
        <w:spacing w:after="0" w:line="5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may bill various different parties for our tests, including customers directly in the case of our hospital and medical institution customers, as well as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make this billing process complex, including:</w:t>
      </w:r>
    </w:p>
    <w:p>
      <w:pPr>
        <w:spacing w:after="0" w:line="117"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payors;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healthcare programs, including Medicare and Medicaid;</w:t>
      </w:r>
    </w:p>
    <w:p>
      <w:pPr>
        <w:spacing w:after="0" w:line="47" w:lineRule="exact"/>
        <w:rPr>
          <w:rFonts w:ascii="Arial" w:cs="Arial" w:eastAsia="Arial" w:hAnsi="Arial"/>
          <w:sz w:val="17"/>
          <w:szCs w:val="17"/>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disputes among payors as to which party is responsible for payment;</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payors;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5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 complexities, along with the related uncertainty in obtaining payment for our tests, could negatively affect our revenue and cash flow,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Ethical, legal and social concerns related to the use of genetic information could reduce demand for our tests.</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w:t>
      </w:r>
    </w:p>
    <w:p>
      <w:pPr>
        <w:spacing w:after="0" w:line="296"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Actual or attempted security breaches, loss of data or other disruptions could compromise sensitive information related to our business or to patients or prevent us from accessing critical information, any of which could expose us to liability and adversely affect our business and our reputation.</w:t>
      </w:r>
    </w:p>
    <w:p>
      <w:pPr>
        <w:spacing w:after="0" w:line="7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ordinary course of our business, we generate, collect and store sensitive data, including protected health information, or PHI, personally identifiable information, intellectual property and proprietary and other business-critical information, such as research and development data, commercial data and other business and financial information. We manage and maintain the data we generate, collect and store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We face a number of risks related to protecting this information, including loss of access, unauthorized modification or inappropriate disclosure.</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our information technology and infrastructure could fail, be inadequate or vulnerable to attacks by hackers or viruses or be breached due to employee error, malfeasance or other disruptions. A breach or interruption could compromise our information systems and the information we store could be accessed by unauthorized parties, manipulated, publicly disclosed, lost, or stolen. Any such unauthorized access, manipulation, disclosure or other loss of information could result in legal claims or proceedings and could result in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harsh penalties,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failure of these systems, due to hardware or software malfunctions, delays in operation, failures to implement new or enhanced systems or cybersecurity breaches, could harm our business.” The occurrence of any of these risks could materially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any member of our senior management team could adversely affect our business.</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success depends in large part on the skills, experience and performance of our executive management team and others in key leadership positions, especially Ming Hsieh, our founder, Chief Executive Officer and Chairman of our board of directors, Paul Kim, our Chief Financial Officer, Dr. Han Lin Gao, our Chief Scientific Officer and Laboratory Director, and Jian Xie, our Chief Operating Officer. The continued efforts of these persons will be critical to us as we continue to develop our technologies and test processes and focus on growing our business. If we lose one or more key executives, we could experience difficulties maintaining our operations, including the ability to deliver reports to customers after review and approval by a licensed and qualified laboratory director, competing effectively, advancing our technologies, developing new tests and implementing our business strategies. All of our executives and employees, including Messrs. Hsieh, Kim and Xie, and Dr. Gao, are at-will, which means either we or the executive or employee may terminate their employment at any time. We do not carry key man insurance for any of our executives or other employees. In addition, we do not have long-term retention agreements in place with any of our executives or key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line="282" w:lineRule="auto"/>
        <w:rPr>
          <w:sz w:val="20"/>
          <w:szCs w:val="20"/>
          <w:color w:val="auto"/>
        </w:rPr>
      </w:pPr>
      <w:r>
        <w:rPr>
          <w:rFonts w:ascii="Arial" w:cs="Arial" w:eastAsia="Arial" w:hAnsi="Arial"/>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58"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Our business, including our research and development programs, laboratory operations and administrative functions, largely depends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27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8"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expect our capital expenditures and operating expenses to increase over the next several years as we seek to expand our infrastructure, sales and marketing and other commercial operations and research and development activities. As of June 30, 2021, we had cash and cash equivalents of approximately $100.5 million. We maintain our cash, cash equivalents and short-term marketable securities with high quality, accredited financial institutions. However, these accounts may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 We may seek to fund future cash needs through securities offerings, credit facilities or other debt financings, asset sales or collaborations or licensing arrangements. Additional funding may not be available to us when needed, on acceptable terms or at all. For example, the COVID-19 pandemic has recently caused extreme disruption and volatility in the global capital markets, which could reduce our ability to access capital and/or adversely affect the stability of the depository institutions maintaining our assets.</w:t>
      </w:r>
    </w:p>
    <w:p>
      <w:pPr>
        <w:spacing w:after="0" w:line="7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New legislation or regulation which could affect our tax burden could be enacted by a governmental authority. We cannot predict the timing or extent of such tax-related developments which could have a negative impact on our financial results. U.S. federal legislation affecting the tax laws was enacted in December, 2017 in the Tax Cuts and Jobs Act (“TCJA”); twice in March, 2020, first in the Families First Coronavirus Response Act and again in the Coronavirus Aid, Relief, and Economic Security Act (the “CARES Act”); in December, 2020 in the Consolidated Appropriates Act, 2021; and in March, 2021 in the American Rescue Plan Act of 2021. We cannot estimate how the changes in tax law from this legislation will affect our tax liability in future years.</w:t>
      </w:r>
    </w:p>
    <w:p>
      <w:pPr>
        <w:spacing w:after="0" w:line="19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ind w:right="60"/>
        <w:spacing w:after="0" w:line="266" w:lineRule="auto"/>
        <w:rPr>
          <w:sz w:val="20"/>
          <w:szCs w:val="20"/>
          <w:color w:val="auto"/>
        </w:rPr>
      </w:pPr>
      <w:r>
        <w:rPr>
          <w:rFonts w:ascii="Arial" w:cs="Arial" w:eastAsia="Arial" w:hAnsi="Arial"/>
          <w:sz w:val="18"/>
          <w:szCs w:val="18"/>
          <w:b w:val="1"/>
          <w:bCs w:val="1"/>
          <w:color w:val="auto"/>
        </w:rPr>
        <w:t>We have previously and may again in the future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7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part of our business strategy, we have previously and may again in the future pursue acquisitions of complementary businesses or assets, investments in other companies, such as our recent acquisition of CSI and our investment in Helio Health, technology licensing arrangements, joint ventures or other strategic relationships. As an organization, we have limited experience with respect to acquisitions, investments or the formation of strategic relationships or joint ventures. If we make acquisitions in the future, we may not be able to successfully integrate the acquired businesses or technologies into our existing operations, we could assume unknown or contingent liabilities and we could be forced to record significant write-offs or incur debt as a result of the acquisitions, any of which could harm our operating results. If we pursue relationships with pharmaceutical companies or other strategic relationships, our ability to establish and maintain these relationships could be challenging due to several factors, including competition with other genetic testing companies and internal and external constraints placed on pharmaceutical and other organizations that limit the number and type of relationships they can establish with companies like ours. Moreover, we may not be able to identify or complete any acquisition, investment, technology license, joint venture or other strategic relationship in a timely manner, on a cost-effective basis or at all, and we may not realize the anticipated benefits of any such transaction sufficiently to recoup our costs.</w:t>
      </w:r>
    </w:p>
    <w:p>
      <w:pPr>
        <w:spacing w:after="0" w:line="2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finance any acquisitions, investments, joint ventures or other strategic relationships, we may seek to raise additional funds through securities offerings, credit facilities, asset sales or collaborations or licensing arrangements. Each of these methods of fundraising is subject to a variety of risks, including those discussed above under “—Any inability to obtain additional capital when needed and on acceptable terms may limit our ability to execute our business plans.”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w:t>
      </w:r>
    </w:p>
    <w:p>
      <w:pPr>
        <w:spacing w:after="0" w:line="29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8" w:lineRule="exact"/>
        <w:rPr>
          <w:sz w:val="20"/>
          <w:szCs w:val="20"/>
          <w:color w:val="auto"/>
        </w:rPr>
      </w:pPr>
    </w:p>
    <w:p>
      <w:pPr>
        <w:ind w:right="100" w:firstLine="468"/>
        <w:spacing w:after="0" w:line="277" w:lineRule="auto"/>
        <w:rPr>
          <w:sz w:val="20"/>
          <w:szCs w:val="20"/>
          <w:color w:val="auto"/>
        </w:rPr>
      </w:pPr>
      <w:r>
        <w:rPr>
          <w:rFonts w:ascii="Arial" w:cs="Arial" w:eastAsia="Arial" w:hAnsi="Arial"/>
          <w:sz w:val="18"/>
          <w:szCs w:val="18"/>
          <w:color w:val="auto"/>
        </w:rPr>
        <w:t>Our ability to integrate any organizations or technology that we may acquire, including our recent acquisition of CSI, is subject to a number of risks including the following:</w:t>
      </w:r>
    </w:p>
    <w:p>
      <w:pPr>
        <w:spacing w:after="0" w:line="170"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integrate successfully the personnel, information systems, technology and operations of the acquired business;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maximize the potential financial and strategic benefits of the acquisition;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realize the expected synergies of the acquired business;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possible impairment of relationships with employees and clients as a result of any integration of new businesses and management personnel;</w:t>
      </w:r>
    </w:p>
    <w:p>
      <w:pPr>
        <w:spacing w:after="0" w:line="59" w:lineRule="exact"/>
        <w:rPr>
          <w:rFonts w:ascii="Arial" w:cs="Arial" w:eastAsia="Arial" w:hAnsi="Arial"/>
          <w:sz w:val="16"/>
          <w:szCs w:val="16"/>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demand on human resources and operating systems, procedures and controls;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reductions in future operating results as a result of the amortization of intangible assets.</w:t>
      </w:r>
    </w:p>
    <w:p>
      <w:pPr>
        <w:spacing w:after="0" w:line="252" w:lineRule="exact"/>
        <w:rPr>
          <w:sz w:val="20"/>
          <w:szCs w:val="20"/>
          <w:color w:val="auto"/>
        </w:rPr>
      </w:pPr>
    </w:p>
    <w:p>
      <w:pPr>
        <w:ind w:right="20" w:firstLine="468"/>
        <w:spacing w:after="0" w:line="270" w:lineRule="auto"/>
        <w:rPr>
          <w:sz w:val="20"/>
          <w:szCs w:val="20"/>
          <w:color w:val="auto"/>
        </w:rPr>
      </w:pPr>
      <w:r>
        <w:rPr>
          <w:rFonts w:ascii="Arial" w:cs="Arial" w:eastAsia="Arial" w:hAnsi="Arial"/>
          <w:sz w:val="17"/>
          <w:szCs w:val="17"/>
          <w:color w:val="auto"/>
        </w:rPr>
        <w:t>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The acquisition and integration of businesses may not be managed effectively and any failure to manage the integration process could lead to disruptions in the overall activities of the Company,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We may also acquire contingent liabilities in connection with the acquisitions of business, which maybe material. Any estimates we might make regarding any acquired contingent liabilities and the likelihood that these liabilities will materialize could differ materially from the liabilities actually incurred. These circumstances could materially harm our business, results of operations and prospects.</w:t>
      </w:r>
    </w:p>
    <w:p>
      <w:pPr>
        <w:spacing w:after="0" w:line="285" w:lineRule="exact"/>
        <w:rPr>
          <w:sz w:val="20"/>
          <w:szCs w:val="20"/>
          <w:color w:val="auto"/>
        </w:rPr>
      </w:pPr>
    </w:p>
    <w:p>
      <w:pPr>
        <w:ind w:right="780"/>
        <w:spacing w:after="0" w:line="312" w:lineRule="auto"/>
        <w:rPr>
          <w:sz w:val="20"/>
          <w:szCs w:val="20"/>
          <w:color w:val="auto"/>
        </w:rPr>
      </w:pPr>
      <w:r>
        <w:rPr>
          <w:rFonts w:ascii="Arial" w:cs="Arial" w:eastAsia="Arial" w:hAnsi="Arial"/>
          <w:sz w:val="17"/>
          <w:szCs w:val="17"/>
          <w:b w:val="1"/>
          <w:bCs w:val="1"/>
          <w:color w:val="auto"/>
        </w:rPr>
        <w:t>We depend on our information technology systems and any failure of these systems, due to hardware or software malfunctions, delays in operation, and/or failures to implement new or enhanced systems or cybersecurity breaches, could harm our business.</w:t>
      </w:r>
    </w:p>
    <w:p>
      <w:pPr>
        <w:spacing w:after="0" w:line="36" w:lineRule="exact"/>
        <w:rPr>
          <w:sz w:val="20"/>
          <w:szCs w:val="20"/>
          <w:color w:val="auto"/>
        </w:rPr>
      </w:pPr>
    </w:p>
    <w:p>
      <w:pPr>
        <w:ind w:right="360" w:firstLine="510"/>
        <w:spacing w:after="0" w:line="257" w:lineRule="auto"/>
        <w:rPr>
          <w:sz w:val="20"/>
          <w:szCs w:val="20"/>
          <w:color w:val="auto"/>
        </w:rPr>
      </w:pPr>
      <w:r>
        <w:rPr>
          <w:rFonts w:ascii="Arial" w:cs="Arial" w:eastAsia="Arial" w:hAnsi="Arial"/>
          <w:sz w:val="18"/>
          <w:szCs w:val="18"/>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software and customer service functions; our report production systems; our billing and reimbursement procedures; our scientific and medical data analysis and other research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spacing w:after="0" w:line="296" w:lineRule="auto"/>
        <w:rPr>
          <w:sz w:val="20"/>
          <w:szCs w:val="20"/>
          <w:color w:val="auto"/>
        </w:rPr>
      </w:pPr>
      <w:r>
        <w:rPr>
          <w:rFonts w:ascii="Arial" w:cs="Arial" w:eastAsia="Arial" w:hAnsi="Arial"/>
          <w:sz w:val="16"/>
          <w:szCs w:val="16"/>
          <w:color w:val="auto"/>
        </w:rPr>
        <w:t>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61"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potentially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there may be significant downtime or failures of these systems or those used by our third-party service providers. There can be no assurance that we will promptly detect and/or intercept any such disruption or security breach, if at all. Any such downtime or failure could prevent us from conducting tests, preparing and providing reports to customers, billing payors, responding to customer inquiries, conducting research and development activities, maintaining our financial and disclosure controls and other reporting functions and managing the administrative aspects of our business. Moreover, any such downtime or failure could force us to transfer data collection operations to an alternate provider of server-hosting services, which could involve significant costs and result in further delays in our ability to conduct tests, deliver reports to our customers and otherwise manage our operations. Further, although we carry property, business interruption and cyber lability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7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29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5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natural disasters, pandemics or epidemics, terrorist acts or threats or for other reasons, could adversely affect specimen integrity and our ability to process specimens in a timely manner and otherwise service our customers, and ultimately our reputation and our business. In addition, if we are unable to continue to obtain expedited delivery services on commercially reasonable terms, our operating results may be adversely affected.</w:t>
      </w:r>
    </w:p>
    <w:p>
      <w:pPr>
        <w:spacing w:after="0" w:line="2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Although we have implemented systems, processes and controls and performed this evaluation as of the end of 2020, we will need to maintain and enhance these controls if and as we grow, and we may need to hire additional personnel and devote more resources to our financial reporting function in order to do so.</w:t>
      </w:r>
    </w:p>
    <w:p>
      <w:pPr>
        <w:spacing w:after="0" w:line="18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If we identify one or more material weaknesses during the process of annually evaluating our internal controls, we may not detect errors on a timely basis and our financial statements may be materially misstated. In addition, in that event, our management would be unable to conclude that our internal control over financial reporting is effective. Further, when we are no longer an emerging growth company or when and if we become a large accelerated filer or accelerated filer, our independent registered public accounting firm will be required to issue an attestation report on the effectiveness of our internal control over financial reporting. When that occurs, our independent registered public accounting firm may conclude that there are material weaknesses in our internal controls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ind w:right="300"/>
        <w:spacing w:after="0" w:line="277" w:lineRule="auto"/>
        <w:rPr>
          <w:sz w:val="20"/>
          <w:szCs w:val="20"/>
          <w:color w:val="auto"/>
        </w:rPr>
      </w:pPr>
      <w:r>
        <w:rPr>
          <w:rFonts w:ascii="Arial" w:cs="Arial" w:eastAsia="Arial" w:hAnsi="Arial"/>
          <w:sz w:val="18"/>
          <w:szCs w:val="18"/>
          <w:color w:val="auto"/>
        </w:rPr>
        <w:t>the level at which our internal controls are documented, designed, implemented or reviewed even if our management concludes that our internal control over financial reporting is effective.</w:t>
      </w:r>
    </w:p>
    <w:p>
      <w:pPr>
        <w:spacing w:after="0" w:line="170"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2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elect to comply with reduced public company reporting requirements available to us because we are an emerging growth company and a smaller reporting company, which could make our common stock less attractive to investors.</w:t>
      </w:r>
    </w:p>
    <w:p>
      <w:pPr>
        <w:spacing w:after="0" w:line="5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an emerging growth company, as defined in the JOBS Act, and a smaller reporting company, as defined in applicable SEC rules, and we expect to remain as such until December 31, 2021 and January 1, 2022, respectively. As an emerging growth company and smaller reporting company, we are eligible for exemptions from certain reporting requirements applicable to other public companies, including, reduced financial statement and other financial disclosure requirements in registration statements and periodic reports we file, reduced disclosure obligations regarding executive compensation and, so long as we remain an emerging growth company, an exemption from the auditor attestation requirements of Section 404 of the Sarbanes-Oxley Act, exemption from the requirements to hold non-binding advisory votes on executive compensation and exemption from the requirements to obtain stockholder approval for any golden parachute payments not previously approved. We have relied on many of these exemptions in periodic reports to date, and investors may find our common stock less attractive if we choose to continue to rely on these exemptions, in which case there may be a less active trading market for our common stock and our stock price may be more volatile.</w:t>
      </w:r>
    </w:p>
    <w:p>
      <w:pPr>
        <w:spacing w:after="0" w:line="7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Securities Act, emerging growth companies can elect to delay adoption of new or revised accounting standards until those standards apply to private companies. We have irrevocably elected not to avail ourselves of this exemption and, as a result, we are subject to the same new or revised accounting standards at the same time as other public companies that are not emerging growth companies.</w:t>
      </w:r>
    </w:p>
    <w:p>
      <w:pPr>
        <w:spacing w:after="0" w:line="288"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The auditor for FF Gene Biotech, like other independent registered public accounting firms operating in China, is not permitted to be subject to inspection by the Public Company Accounting Oversight Board, and as such, investors may be deprived of the benefits of this inspection.</w:t>
      </w:r>
    </w:p>
    <w:p>
      <w:pPr>
        <w:spacing w:after="0" w:line="1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independent registered public accounting firm that issues the audit reports for FF Gene Biotech, included in our reports filed with the SEC, as an auditor of companies that are traded publicly in the United States and a firm registered with the Public Company Accounting Oversight Board (United States), or PCAOB, is required by the laws of the United States to undergo regular inspections by PCAOB to assess its compliance with the laws of the United States and professional standards. On May 24, 2013, the PCAOB announced that it had signed a Memorandum of Understanding, or MOU, with Chinese securities regulators that would enable the PCAOB under certain circumstances to obtain audit work papers of China-based audit firms. The MOU establishes a framework under which the PCAOB can request and obtain audit papers and permits the PCAOB to share the work papers it obtains with the SEC, subject to certain requirements. But the MOU, which is non-binding, is also limited by its own terms. For instance, Chinese regulators may refuse to produce documents in specified circumstances, including where production would violate Chinese law or run contrary to the public interest. Moreover, the MOU does not provide the PCAOB with the ability to conduct on-the-ground inspections of auditors in China, an important part of the PCAOB’s oversight function. As a result, our auditor, like other independent registered public accounting firms operating in China, is currently not inspected by PCAOB in the same way that PCAOB inspects independent registered public accounting firms operating outside China. Inspections of other firms that PCAOB has conducted outside of China have identified deficiencies in those firms’ audit procedures and quality control procedures, which may be addressed as part of the inspection process to improve future audit quality. The inability of PCAOB to conduct regular inspections of independent registered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660"/>
        <w:spacing w:after="0" w:line="277" w:lineRule="auto"/>
        <w:rPr>
          <w:sz w:val="20"/>
          <w:szCs w:val="20"/>
          <w:color w:val="auto"/>
        </w:rPr>
      </w:pPr>
      <w:r>
        <w:rPr>
          <w:rFonts w:ascii="Arial" w:cs="Arial" w:eastAsia="Arial" w:hAnsi="Arial"/>
          <w:sz w:val="18"/>
          <w:szCs w:val="18"/>
          <w:color w:val="auto"/>
        </w:rPr>
        <w:t>public accounting firms operating in China makes it more difficult to evaluate the effectiveness of our auditor’s audit procedures or quality control procedures. As a result, investors may be deprived of the benefits of PCAOB regular inspections.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3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federal Food, Drug, and Cosmetic Act, or FDC Act, the FDA has jurisdiction over medical devices, including in vitro diagnostics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95" w:lineRule="exact"/>
        <w:rPr>
          <w:sz w:val="20"/>
          <w:szCs w:val="20"/>
          <w:color w:val="auto"/>
        </w:rPr>
      </w:pPr>
    </w:p>
    <w:p>
      <w:pPr>
        <w:jc w:val="both"/>
        <w:ind w:right="200" w:firstLine="510"/>
        <w:spacing w:after="0" w:line="301" w:lineRule="auto"/>
        <w:rPr>
          <w:sz w:val="20"/>
          <w:szCs w:val="20"/>
          <w:color w:val="auto"/>
        </w:rPr>
      </w:pPr>
      <w:r>
        <w:rPr>
          <w:rFonts w:ascii="Arial" w:cs="Arial" w:eastAsia="Arial" w:hAnsi="Arial"/>
          <w:sz w:val="16"/>
          <w:szCs w:val="16"/>
          <w:color w:val="auto"/>
        </w:rPr>
        <w:t>Although the FDA has statutory authority to assure that medical devices and in vitro diagnostics, including potentially our tests, are safe and effective for their intended uses, the FDA has historically exercised its enforcement discretion and not enforced applicable provisions of the FDC Act and regulations with respect to laboratory developed tests, or LDTs, which are a particular type of medical device. We believe our tests are LDTs. As a result, we believe our tests are not currently subject to the FDA’s enforcement of its medical device regulations and the applicable FDC Act provisions.</w:t>
      </w:r>
    </w:p>
    <w:p>
      <w:pPr>
        <w:spacing w:after="0" w:line="1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example, the FDA may disagree with our assessment that our tests fall within the definition of an LDT and seek to regulate our tests as medical devices. Moreover, the FDA issued draft guidance and a 2017 Discussion Paper to allow for further public discussion about an appropriate LDT oversight approach and to give congressional committees the opportunity to develop a legislative solution. The FDA also solicited public input and published two final guidance documents in April 2018 relating to FDA oversight of NGS-based tests. These two guidance documents describe the FDA’s thinking and recommendations regarding test developer’s use of FDA-recognized standards to support analytical validity, and public human genetic variant databases to support clinical validity, of these tests.</w:t>
      </w:r>
    </w:p>
    <w:p>
      <w:pPr>
        <w:spacing w:after="0" w:line="195"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On August 19, 2020, the U.S. Department of Health and Human Services, or HHS, published a policy announcement that the FDA must go through the formal notice-and-comment rulemaking process before requiring pre-market review of LDTs rather than making such changes through guidance documents, compliance manuals, or other informal policy statements. However, laboratories may still voluntarily submit LDTs to the FDA for pre-market review. Although the ultimate impact of HHS’s policy statement on the FDA’s plans for regulating LDTs and its current thinking relating to such testing products is unclear, the announcement appears to confirm that laboratories may commercialize LDTs for clinical use without submitting such tests for FDA review and marketing authorization, including EUA. HHS’s policy statement does not affect proposed legislation for the regulation of LDTs, which is discussed below. It also continues to be unclear whether the Biden Administration, which assumed control of the executive branch on January 20, 2021, would take the same position as the former administration or seek to revoke or revise the HHS policy announcement from August 2020.</w:t>
      </w:r>
    </w:p>
    <w:p>
      <w:pPr>
        <w:spacing w:after="0" w:line="16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In December 2018, members of Congress released a discussion draft of a possible bill to regulate in vitro clinical tests including LDTs, </w:t>
      </w:r>
      <w:r>
        <w:rPr>
          <w:rFonts w:ascii="Arial" w:cs="Arial" w:eastAsia="Arial" w:hAnsi="Arial"/>
          <w:sz w:val="16"/>
          <w:szCs w:val="16"/>
          <w:color w:val="231F20"/>
        </w:rPr>
        <w:t>and provided</w:t>
      </w:r>
      <w:r>
        <w:rPr>
          <w:rFonts w:ascii="Arial" w:cs="Arial" w:eastAsia="Arial" w:hAnsi="Arial"/>
          <w:sz w:val="16"/>
          <w:szCs w:val="16"/>
          <w:color w:val="auto"/>
        </w:rPr>
        <w:t xml:space="preserve"> </w:t>
      </w:r>
      <w:r>
        <w:rPr>
          <w:rFonts w:ascii="Arial" w:cs="Arial" w:eastAsia="Arial" w:hAnsi="Arial"/>
          <w:sz w:val="16"/>
          <w:szCs w:val="16"/>
          <w:color w:val="231F20"/>
        </w:rPr>
        <w:t xml:space="preserve">opportunities for additional stakeholders to also provide input on the proposed reform legislation. On March 5, 2020, U.S. Representatives Diana DeGette (D-CO) and Dr. Larry Bucshon (R-IN) formally introduced the long-awaited legislation, </w:t>
      </w:r>
      <w:r>
        <w:rPr>
          <w:rFonts w:ascii="Arial" w:cs="Arial" w:eastAsia="Arial" w:hAnsi="Arial"/>
          <w:sz w:val="16"/>
          <w:szCs w:val="16"/>
          <w:color w:val="000000"/>
        </w:rPr>
        <w:t>called the Verifying Accurate, Leading-edge IVCT Development</w:t>
      </w:r>
      <w:r>
        <w:rPr>
          <w:rFonts w:ascii="Arial" w:cs="Arial" w:eastAsia="Arial" w:hAnsi="Arial"/>
          <w:sz w:val="16"/>
          <w:szCs w:val="16"/>
          <w:color w:val="231F20"/>
        </w:rPr>
        <w:t xml:space="preserve"> </w:t>
      </w:r>
      <w:r>
        <w:rPr>
          <w:rFonts w:ascii="Arial" w:cs="Arial" w:eastAsia="Arial" w:hAnsi="Arial"/>
          <w:sz w:val="16"/>
          <w:szCs w:val="16"/>
          <w:color w:val="000000"/>
        </w:rPr>
        <w:t xml:space="preserve">Act, or VALID Act. </w:t>
      </w:r>
      <w:r>
        <w:rPr>
          <w:rFonts w:ascii="Arial" w:cs="Arial" w:eastAsia="Arial" w:hAnsi="Arial"/>
          <w:sz w:val="16"/>
          <w:szCs w:val="16"/>
          <w:color w:val="231F20"/>
        </w:rPr>
        <w:t>An identical version of the bill was also introduced in the Senate and is sponsored by U.S. Senators Michael Bennet (D-CO) and</w:t>
      </w:r>
      <w:r>
        <w:rPr>
          <w:rFonts w:ascii="Arial" w:cs="Arial" w:eastAsia="Arial" w:hAnsi="Arial"/>
          <w:sz w:val="16"/>
          <w:szCs w:val="16"/>
          <w:color w:val="000000"/>
        </w:rPr>
        <w:t xml:space="preserve"> </w:t>
      </w:r>
      <w:r>
        <w:rPr>
          <w:rFonts w:ascii="Arial" w:cs="Arial" w:eastAsia="Arial" w:hAnsi="Arial"/>
          <w:sz w:val="16"/>
          <w:szCs w:val="16"/>
          <w:color w:val="231F20"/>
        </w:rPr>
        <w:t xml:space="preserve">Richard Burr (R-NC), demonstrating both bicameral and bipartisan support for the effort to overhaul how the FDA reviews and approves diagnostic tests going forward. The VALID Act </w:t>
      </w:r>
      <w:r>
        <w:rPr>
          <w:rFonts w:ascii="Arial" w:cs="Arial" w:eastAsia="Arial" w:hAnsi="Arial"/>
          <w:sz w:val="16"/>
          <w:szCs w:val="16"/>
          <w:color w:val="000000"/>
        </w:rPr>
        <w:t>would codify into law the term “in vitro clinical test” to create a new medical product category separate from medical</w:t>
      </w:r>
      <w:r>
        <w:rPr>
          <w:rFonts w:ascii="Arial" w:cs="Arial" w:eastAsia="Arial" w:hAnsi="Arial"/>
          <w:sz w:val="16"/>
          <w:szCs w:val="16"/>
          <w:color w:val="231F20"/>
        </w:rPr>
        <w:t xml:space="preserve"> </w:t>
      </w:r>
      <w:r>
        <w:rPr>
          <w:rFonts w:ascii="Arial" w:cs="Arial" w:eastAsia="Arial" w:hAnsi="Arial"/>
          <w:sz w:val="16"/>
          <w:szCs w:val="16"/>
          <w:color w:val="000000"/>
        </w:rPr>
        <w:t xml:space="preserve">devices that includes products currently regulated as in vitro diagnostics, or IVDs, as well as LDTs. </w:t>
      </w:r>
      <w:r>
        <w:rPr>
          <w:rFonts w:ascii="Arial" w:cs="Arial" w:eastAsia="Arial" w:hAnsi="Arial"/>
          <w:sz w:val="16"/>
          <w:szCs w:val="16"/>
          <w:color w:val="231F20"/>
        </w:rPr>
        <w:t>The VALID Act would also create a new system for</w:t>
      </w:r>
      <w:r>
        <w:rPr>
          <w:rFonts w:ascii="Arial" w:cs="Arial" w:eastAsia="Arial" w:hAnsi="Arial"/>
          <w:sz w:val="16"/>
          <w:szCs w:val="16"/>
          <w:color w:val="000000"/>
        </w:rPr>
        <w:t xml:space="preserve"> </w:t>
      </w:r>
      <w:r>
        <w:rPr>
          <w:rFonts w:ascii="Arial" w:cs="Arial" w:eastAsia="Arial" w:hAnsi="Arial"/>
          <w:sz w:val="16"/>
          <w:szCs w:val="16"/>
          <w:color w:val="231F20"/>
        </w:rPr>
        <w:t>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160" w:firstLine="510"/>
        <w:spacing w:after="0" w:line="259" w:lineRule="auto"/>
        <w:rPr>
          <w:sz w:val="20"/>
          <w:szCs w:val="20"/>
          <w:color w:val="auto"/>
        </w:rPr>
      </w:pPr>
      <w:r>
        <w:rPr>
          <w:rFonts w:ascii="Arial" w:cs="Arial" w:eastAsia="Arial" w:hAnsi="Arial"/>
          <w:sz w:val="18"/>
          <w:szCs w:val="18"/>
          <w:color w:val="231F20"/>
        </w:rPr>
        <w:t xml:space="preserve">It is unclear whether the VALID Act would be passed by Congress in its current form or signed into law by President Biden. </w:t>
      </w:r>
      <w:r>
        <w:rPr>
          <w:rFonts w:ascii="Arial" w:cs="Arial" w:eastAsia="Arial" w:hAnsi="Arial"/>
          <w:sz w:val="18"/>
          <w:szCs w:val="18"/>
          <w:color w:val="000000"/>
        </w:rPr>
        <w:t>Until the FDA</w:t>
      </w:r>
      <w:r>
        <w:rPr>
          <w:rFonts w:ascii="Arial" w:cs="Arial" w:eastAsia="Arial" w:hAnsi="Arial"/>
          <w:sz w:val="18"/>
          <w:szCs w:val="18"/>
          <w:color w:val="231F20"/>
        </w:rPr>
        <w:t xml:space="preserve"> </w:t>
      </w:r>
      <w:r>
        <w:rPr>
          <w:rFonts w:ascii="Arial" w:cs="Arial" w:eastAsia="Arial" w:hAnsi="Arial"/>
          <w:sz w:val="18"/>
          <w:szCs w:val="18"/>
          <w:color w:val="000000"/>
        </w:rPr>
        <w:t xml:space="preserve">promulgates binding regulations through notice-and-comment rulemaking regarding LDTs, or </w:t>
      </w:r>
      <w:r>
        <w:rPr>
          <w:rFonts w:ascii="Arial" w:cs="Arial" w:eastAsia="Arial" w:hAnsi="Arial"/>
          <w:sz w:val="18"/>
          <w:szCs w:val="18"/>
          <w:color w:val="231F20"/>
        </w:rPr>
        <w:t>the VALID Act or other</w:t>
      </w:r>
      <w:r>
        <w:rPr>
          <w:rFonts w:ascii="Arial" w:cs="Arial" w:eastAsia="Arial" w:hAnsi="Arial"/>
          <w:sz w:val="18"/>
          <w:szCs w:val="18"/>
          <w:color w:val="000000"/>
        </w:rPr>
        <w:t xml:space="preserve"> legislation is passed </w:t>
      </w:r>
      <w:r>
        <w:rPr>
          <w:rFonts w:ascii="Arial" w:cs="Arial" w:eastAsia="Arial" w:hAnsi="Arial"/>
          <w:sz w:val="18"/>
          <w:szCs w:val="18"/>
          <w:color w:val="231F20"/>
        </w:rPr>
        <w:t>reforming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federal government’s </w:t>
      </w:r>
      <w:r>
        <w:rPr>
          <w:rFonts w:ascii="Arial" w:cs="Arial" w:eastAsia="Arial" w:hAnsi="Arial"/>
          <w:sz w:val="18"/>
          <w:szCs w:val="18"/>
          <w:color w:val="000000"/>
        </w:rPr>
        <w:t>regulation of LDTs, it is unknown how the FDA may regulate our tests in the future and what testing and data may be required to</w:t>
      </w:r>
      <w:r>
        <w:rPr>
          <w:rFonts w:ascii="Arial" w:cs="Arial" w:eastAsia="Arial" w:hAnsi="Arial"/>
          <w:sz w:val="18"/>
          <w:szCs w:val="18"/>
          <w:color w:val="231F20"/>
        </w:rPr>
        <w:t xml:space="preserve"> </w:t>
      </w:r>
      <w:r>
        <w:rPr>
          <w:rFonts w:ascii="Arial" w:cs="Arial" w:eastAsia="Arial" w:hAnsi="Arial"/>
          <w:sz w:val="18"/>
          <w:szCs w:val="18"/>
          <w:color w:val="000000"/>
        </w:rPr>
        <w:t>support any required clearance or approval.</w:t>
      </w:r>
    </w:p>
    <w:p>
      <w:pPr>
        <w:spacing w:after="0" w:line="18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If the FDA creates a new regulation to enforce its medical device requirements for LDTs or if the FDA disagrees with our assessment that our tests are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7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fail to comply with applicable federal, state, local and foreign laboratory licensing requirements, we could lose the ability to perform our tests or experience disruptions to our business.</w:t>
      </w:r>
    </w:p>
    <w:p>
      <w:pPr>
        <w:spacing w:after="0" w:line="5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are subject to CLIA, a federal law that establishes quality standards for all laboratory testing and is intended to ensure the accuracy, reliability and timeliness of patient results. CLIA requires that we hold a certificate specific to the laboratory examinations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 care programs, as well as many private third-party payors, for our tests. We have obtained CLIA certification to conduct our tests at our laboratories in Temple City, California and in Houston, Texas.</w:t>
      </w:r>
    </w:p>
    <w:p>
      <w:pPr>
        <w:spacing w:after="0" w:line="16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addition to CLIA requirements, we elect to participate in the accreditation program of CAP. The Centers for Medicare &amp; Medicaid Services, or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7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also required to maintain a license to conduct testing in the State of California. California laws establish standards for day-to-day operation of our clinical reference laboratory in Temple City, including with respect to the training and skills required of personnel, quality control and proficiency testing requirements. In addition, because we receive test specimens originating from New York, we have obtained a state laboratory permit for our Temple City laboratory from the New York Department of Health, or DOH. The New York state laboratory laws, regulations and rules are equal to or more stringent than the CLIA regulations. The laboratory director must maintain a Certificate of Qualification issued by New York’s DOH in permitted categories. 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2" w:name="page53"/>
    <w:bookmarkEnd w:id="52"/>
    <w:p>
      <w:pPr>
        <w:ind w:right="140"/>
        <w:spacing w:after="0" w:line="263" w:lineRule="auto"/>
        <w:rPr>
          <w:sz w:val="20"/>
          <w:szCs w:val="20"/>
          <w:color w:val="auto"/>
        </w:rPr>
      </w:pPr>
      <w:r>
        <w:rPr>
          <w:rFonts w:ascii="Arial" w:cs="Arial" w:eastAsia="Arial" w:hAnsi="Arial"/>
          <w:sz w:val="18"/>
          <w:szCs w:val="18"/>
          <w:color w:val="auto"/>
        </w:rPr>
        <w:t>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the United States. Additionally, complying with licensure requirements in new jurisdictions may be expensive, time-consuming and subject us to significant and unanticipated delays.</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6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subject to broad legal requirements regarding the information we test and analyze, and any failure to comply with these requirements could result in harsh penalties, damage our reputation and materially harm our business.</w:t>
      </w:r>
    </w:p>
    <w:p>
      <w:pPr>
        <w:spacing w:after="0" w:line="58"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is subject to federal and state laws that protect the privacy and security of personal information, including the Health Insurance Portability and Accountability Act of 1996, or HIPAA, the Health Information Technology for Economic and Clinical Health Act, or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Federal Trade Commission, or FTC, and states’ Attorneys General have also brought enforcement actions and prosecuted some data breach cases as unfair and/or deceptive acts or practices under the Federal Trade Commission Act, or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68"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The European Union formally adopted the General Data Protection Regulation, or GDPR, in 2016, which applies to all European Union member states from May 25, 2018 and replaced the European Data Protection Directive.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 On July 16, 2020, the Court of Justice of the European Union or the CJEU, issued a landmark opinion in the case </w:t>
      </w:r>
      <w:r>
        <w:rPr>
          <w:rFonts w:ascii="Arial" w:cs="Arial" w:eastAsia="Arial" w:hAnsi="Arial"/>
          <w:sz w:val="16"/>
          <w:szCs w:val="16"/>
          <w:i w:val="1"/>
          <w:iCs w:val="1"/>
          <w:color w:val="auto"/>
        </w:rPr>
        <w:t>Maximilian Schrems vs. Facebook</w:t>
      </w:r>
      <w:r>
        <w:rPr>
          <w:rFonts w:ascii="Arial" w:cs="Arial" w:eastAsia="Arial" w:hAnsi="Arial"/>
          <w:sz w:val="16"/>
          <w:szCs w:val="16"/>
          <w:color w:val="auto"/>
        </w:rPr>
        <w:t xml:space="preserve"> (Case C-311/18), or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This decision calls into question certain data transfer mechanisms as between the European Union member states and the US. The CJEU is the highest court in Europe and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220"/>
        <w:spacing w:after="0" w:line="263" w:lineRule="auto"/>
        <w:rPr>
          <w:sz w:val="20"/>
          <w:szCs w:val="20"/>
          <w:color w:val="auto"/>
        </w:rPr>
      </w:pPr>
      <w:r>
        <w:rPr>
          <w:rFonts w:ascii="Arial" w:cs="Arial" w:eastAsia="Arial" w:hAnsi="Arial"/>
          <w:sz w:val="18"/>
          <w:szCs w:val="18"/>
          <w:color w:val="auto"/>
        </w:rPr>
        <w:t xml:space="preserve">Union being halted by one or more European Union member states. Any contractual arrangements requiring the transfer of personal data from the European Union to us in the United States will require greater scrutiny and assessments as required under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and may have an adverse impact on cross-border transfers of personal data, or increase costs of compliance.</w:t>
      </w:r>
    </w:p>
    <w:p>
      <w:pPr>
        <w:spacing w:after="0" w:line="184"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In addition, many states, such as California (where one of our clinical laboratories is located), have implemented similar privacy laws and regulations, such as the California Confidentiality of Medical Information Act,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California Consumer Privacy Act of 2018, or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On November 3, 2020, California voters passed the California Privacy Rights Act, or CPRA, which expands the CCPA. The CPRA will be fully effective in January of 2023 and, among other things, establishes the California Privacy Protection Agency, or CPPA, a new regulatory authority charged with administering and enforcing the CRPA and privacy rights in California. The CPPA will have the power to levy fines and bring other enforcement actions. The CPRA could impact our operations or that of our collaborators and business partners and impose new regulatory requirements and increase costs of compliance. Other states are considering expanded privacy legislation similar to the GDPR and CPRA, with Virginia recently enacting its own statute called the Consumer Data Protection Act, and several federal privacy proposals are under consideration in Congress.</w:t>
      </w:r>
    </w:p>
    <w:p>
      <w:pPr>
        <w:spacing w:after="0" w:line="19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they may become more stringent over time. Complying with these laws or any new laws or interpretations of their application could involve significant time and substantial costs or require us to change our business practices and compliance procedures in a manner adverse to our business. We may not be able to obtain or maintain compliance with the diverse privacy and security requirements in all of the jurisdictions in which we currently or plan to do business, and failure to comply with any of these requirements could result in civil or criminal penalties, harm our reputation and materially adversely affect our business.</w:t>
      </w:r>
    </w:p>
    <w:p>
      <w:pPr>
        <w:spacing w:after="0" w:line="27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20"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6"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HHS policy decision from August 2020 establishing that the FDA does not presently have authority to oversee LDTs;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36" w:lineRule="exact"/>
        <w:rPr>
          <w:rFonts w:ascii="Arial" w:cs="Arial" w:eastAsia="Arial" w:hAnsi="Arial"/>
          <w:sz w:val="18"/>
          <w:szCs w:val="18"/>
          <w:color w:val="auto"/>
        </w:rPr>
      </w:pPr>
    </w:p>
    <w:p>
      <w:pPr>
        <w:ind w:left="740" w:right="160" w:hanging="368"/>
        <w:spacing w:after="0" w:line="25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2" w:lineRule="exact"/>
        <w:rPr>
          <w:rFonts w:ascii="Arial" w:cs="Arial" w:eastAsia="Arial" w:hAnsi="Arial"/>
          <w:sz w:val="18"/>
          <w:szCs w:val="18"/>
          <w:color w:val="auto"/>
        </w:rPr>
      </w:pPr>
    </w:p>
    <w:p>
      <w:pPr>
        <w:jc w:val="both"/>
        <w:ind w:left="740" w:right="80" w:hanging="368"/>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Arial" w:cs="Arial" w:eastAsia="Arial" w:hAnsi="Arial"/>
          <w:sz w:val="18"/>
          <w:szCs w:val="18"/>
          <w:color w:val="auto"/>
        </w:rPr>
      </w:pPr>
    </w:p>
    <w:p>
      <w:pPr>
        <w:jc w:val="both"/>
        <w:ind w:left="740" w:right="80" w:hanging="368"/>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Arial" w:cs="Arial" w:eastAsia="Arial" w:hAnsi="Arial"/>
          <w:sz w:val="18"/>
          <w:szCs w:val="18"/>
          <w:color w:val="auto"/>
        </w:rPr>
      </w:pPr>
    </w:p>
    <w:p>
      <w:pPr>
        <w:ind w:left="740" w:right="280" w:hanging="368"/>
        <w:spacing w:after="0" w:line="25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 care program;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740" w:right="20" w:hanging="368"/>
        <w:spacing w:after="0" w:line="25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2"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Arial" w:cs="Arial" w:eastAsia="Arial" w:hAnsi="Arial"/>
          <w:sz w:val="18"/>
          <w:szCs w:val="18"/>
          <w:color w:val="auto"/>
        </w:rPr>
      </w:pPr>
    </w:p>
    <w:p>
      <w:pPr>
        <w:ind w:left="740" w:right="18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 w:lineRule="exact"/>
        <w:rPr>
          <w:rFonts w:ascii="Arial" w:cs="Arial" w:eastAsia="Arial" w:hAnsi="Arial"/>
          <w:sz w:val="18"/>
          <w:szCs w:val="18"/>
          <w:color w:val="auto"/>
        </w:rPr>
      </w:pPr>
    </w:p>
    <w:p>
      <w:pPr>
        <w:ind w:left="740" w:right="2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or 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 care benefit programs (including commercial insurers) unless a specific exception applies;</w:t>
      </w:r>
    </w:p>
    <w:p>
      <w:pPr>
        <w:spacing w:after="0" w:line="1" w:lineRule="exact"/>
        <w:rPr>
          <w:rFonts w:ascii="Arial" w:cs="Arial" w:eastAsia="Arial" w:hAnsi="Arial"/>
          <w:sz w:val="18"/>
          <w:szCs w:val="18"/>
          <w:color w:val="auto"/>
        </w:rPr>
      </w:pPr>
    </w:p>
    <w:p>
      <w:pPr>
        <w:ind w:left="740" w:right="46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Affordable Care Act, or ACA, which, among other things, establishes a requirement for providers and suppliers to report and return any overpayments received from the Medicare and Medicaid programs;</w:t>
      </w:r>
    </w:p>
    <w:p>
      <w:pPr>
        <w:jc w:val="both"/>
        <w:ind w:left="740" w:right="260" w:hanging="368"/>
        <w:spacing w:after="0" w:line="265"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ind w:left="740" w:right="26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Sunshine Payment Act and various state laws on reporting relationships with health care providers and customers, which could be determined to apply to our LDTs;</w:t>
      </w: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w:t>
      </w:r>
    </w:p>
    <w:p>
      <w:pPr>
        <w:spacing w:after="0" w:line="21" w:lineRule="exact"/>
        <w:rPr>
          <w:rFonts w:ascii="Arial" w:cs="Arial" w:eastAsia="Arial" w:hAnsi="Arial"/>
          <w:sz w:val="18"/>
          <w:szCs w:val="18"/>
          <w:color w:val="auto"/>
        </w:rPr>
      </w:pPr>
    </w:p>
    <w:p>
      <w:pPr>
        <w:ind w:left="740" w:right="80" w:hanging="368"/>
        <w:spacing w:after="0" w:line="287"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2"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Foreign Corrupt Practices Act, or FCPA, and applicable foreign anti-bribery laws;</w:t>
      </w:r>
    </w:p>
    <w:p>
      <w:pPr>
        <w:spacing w:after="0" w:line="21" w:lineRule="exact"/>
        <w:rPr>
          <w:rFonts w:ascii="Arial" w:cs="Arial" w:eastAsia="Arial" w:hAnsi="Arial"/>
          <w:sz w:val="18"/>
          <w:szCs w:val="18"/>
          <w:color w:val="auto"/>
        </w:rPr>
      </w:pPr>
    </w:p>
    <w:p>
      <w:pPr>
        <w:ind w:left="740" w:right="60" w:hanging="368"/>
        <w:spacing w:after="0" w:line="258"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1" w:lineRule="exact"/>
        <w:rPr>
          <w:rFonts w:ascii="Arial" w:cs="Arial" w:eastAsia="Arial" w:hAnsi="Arial"/>
          <w:sz w:val="18"/>
          <w:szCs w:val="18"/>
          <w:color w:val="auto"/>
        </w:rPr>
      </w:pPr>
    </w:p>
    <w:p>
      <w:pPr>
        <w:ind w:left="740" w:right="22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2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genetic testing industry is currently under a high degree of government scrutiny. The Office of Inspector General for the Department of Health and Human Services and a variety of states’ Attorneys General have issued fraud alerts regarding a variety of cancer genetic testing fraud schemes, and the Department of Justice has announced indictments and guilty pleas in such fraud schemes involving a variety of individuals and entities, including genetic testing and other laboratories, physicians who order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This increased regulatory scrutiny could decrease demand for our testing services or increase our costs of regulatory compliance, either of which could have a material adverse effect on our business.</w:t>
      </w:r>
    </w:p>
    <w:p>
      <w:pPr>
        <w:spacing w:after="0" w:line="16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6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right="20"/>
        <w:spacing w:after="0" w:line="257" w:lineRule="auto"/>
        <w:rPr>
          <w:sz w:val="20"/>
          <w:szCs w:val="20"/>
          <w:color w:val="auto"/>
        </w:rPr>
      </w:pPr>
      <w:r>
        <w:rPr>
          <w:rFonts w:ascii="Arial" w:cs="Arial" w:eastAsia="Arial" w:hAnsi="Arial"/>
          <w:sz w:val="18"/>
          <w:szCs w:val="18"/>
          <w:color w:val="auto"/>
        </w:rPr>
        <w:t>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29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Healthcare policy changes, including recently enacted and proposed new legislation reforming the U.S. healthcare system, could cause significant harm to our business, operations and financial condition.</w:t>
      </w:r>
    </w:p>
    <w:p>
      <w:pPr>
        <w:spacing w:after="0" w:line="16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April 2014, Congress passed PAMA, which included substantial changes to the way in which clinical laboratory services will be paid under Medicare. Under PAMA, certain clinical laboratories are required to periodically report to CMS private payor payment rates and volumes for their tests. Laboratories that fail to report the required payment information may be subject to substantial civil monetary penalties. Further, effective January 1, 2018, under PAMA, Medicare reimbursement for diagnostic tests will be based on the weighted-median of the payments made by private payors for these tests, rendering private payor payment levels even more significant. As a result, future Medicare payments may fluctuate more often and become subject to the willingness of private payors to recognize the value of diagnostic tests generally and any given test individually. The impact of this new payment system on rates for our tests, including any current or future tests we may develop, is uncertain.</w:t>
      </w:r>
    </w:p>
    <w:p>
      <w:pPr>
        <w:spacing w:after="0" w:line="17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On December 20, 2019, President Trump signed the Further Consolidated Appropriations Act, which included the Laboratory Access for Beneficiaries Act, or LAB Act. The LAB Act delayed by one year the reporting of payment data under PAMA for clinical diagnostic laboratory tests that are not advanced diagnostic laboratory tests until the first quarter of 2021. The CARES Act, which was signed into law on March 27, 2020, delayed the reporting period by an additional year, until the first quarter of 2022.</w:t>
      </w:r>
    </w:p>
    <w:p>
      <w:pPr>
        <w:spacing w:after="0" w:line="18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In addition, under PAMA, as amended by the LAB Act, any reduction to a particular payment rate resulting from the new methodology is limited to 10% per test per year in 2020 and to 15% per test per year in each of the years 2021 through 2023. The CARES Act delayed the 15% cut scheduled to take effect on January 1, 2021, for one year.</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For instance, the new Democrat-led presidential administration has been taking steps to strengthen the ACA and, following several years of litigation in the federal courts, in June 2021, the U.S. Supreme Court upheld the ACA when it dismissed a legal challenge to the ACA’s constitutionality. Legislation related to precision medicine is also being considered in Congress and, if passed and signed into law, such legislation may affect genetic or genomic testing and related clinical laboratory offerings.</w:t>
      </w:r>
    </w:p>
    <w:p>
      <w:pPr>
        <w:spacing w:after="0" w:line="178"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laws and regulations, or in their application, may adversely affect our business, financial condition and results of operations.</w:t>
      </w:r>
    </w:p>
    <w:p>
      <w:pPr>
        <w:spacing w:after="0" w:line="24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7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Furthermore, the genetic testing industry as a whole is a growing industry and regulatory agencies such as HHS or the FDA may apply heightened scrutiny to new developments in the field, or the U.S. Congress may do so. Since 2017, Congress has been working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80"/>
        <w:spacing w:after="0" w:line="272" w:lineRule="auto"/>
        <w:rPr>
          <w:sz w:val="20"/>
          <w:szCs w:val="20"/>
          <w:color w:val="auto"/>
        </w:rPr>
      </w:pPr>
      <w:r>
        <w:rPr>
          <w:rFonts w:ascii="Arial" w:cs="Arial" w:eastAsia="Arial" w:hAnsi="Arial"/>
          <w:sz w:val="17"/>
          <w:szCs w:val="17"/>
          <w:color w:val="auto"/>
        </w:rPr>
        <w:t xml:space="preserve">on legislation to create an LDT and IVD regulatory framework that would be separate and distinct from the existing medical device regulatory framework. </w:t>
      </w:r>
      <w:r>
        <w:rPr>
          <w:rFonts w:ascii="Arial" w:cs="Arial" w:eastAsia="Arial" w:hAnsi="Arial"/>
          <w:sz w:val="17"/>
          <w:szCs w:val="17"/>
          <w:color w:val="231F20"/>
        </w:rPr>
        <w:t xml:space="preserve">On March 5, 2020, U.S. Representatives Diana DeGette (D-CO) and Dr. Larry Bucshon (R-IN) formally introduced the VALID Act in the House and an identical version of the bill was introduced in the U.S. Senate by Senators Michael Bennet (D-CO) and Richard Burr (R-NC). As anticipated from a discussion draft of the legislation released for stakeholder comment in December 2018, the VALID Act would codify into law the term “in vitro clinical test” to create a new medical product category separate from medical devices, and bring all such products within the scope of the FDA’s oversight. A substantively unchanged version of the VALID Act was re-introduced in both houses of Congress on June 24, 2021. </w:t>
      </w:r>
      <w:r>
        <w:rPr>
          <w:rFonts w:ascii="Arial" w:cs="Arial" w:eastAsia="Arial" w:hAnsi="Arial"/>
          <w:sz w:val="17"/>
          <w:szCs w:val="17"/>
          <w:color w:val="000000"/>
        </w:rPr>
        <w:t>It is unclear whether the VALID Act</w:t>
      </w:r>
      <w:r>
        <w:rPr>
          <w:rFonts w:ascii="Arial" w:cs="Arial" w:eastAsia="Arial" w:hAnsi="Arial"/>
          <w:sz w:val="17"/>
          <w:szCs w:val="17"/>
          <w:color w:val="231F20"/>
        </w:rPr>
        <w:t xml:space="preserve"> </w:t>
      </w:r>
      <w:r>
        <w:rPr>
          <w:rFonts w:ascii="Arial" w:cs="Arial" w:eastAsia="Arial" w:hAnsi="Arial"/>
          <w:sz w:val="17"/>
          <w:szCs w:val="17"/>
          <w:color w:val="000000"/>
        </w:rPr>
        <w:t>would be passed by Congress in its current form or signed into law by President Biden.</w:t>
      </w:r>
    </w:p>
    <w:p>
      <w:pPr>
        <w:spacing w:after="0" w:line="17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the Eliminating Kickbacks in Recovery Act of 2018, or EKRA, was passed in October 2018 as part of the Substance Use-Disorder Prevention that Promotes Opioid Recovery and Treatment for Patients and Communities Act. Similar to the federal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unless a specific exception applies. However, unlike the federal Anti-Kickback Statute, EKRA is not limited to services covered by federal or state health care programs but applies more broadly to services covered by “health care benefit programs,” including commercial insurers. Additionally, because EKRA’s exceptions are not identical to the federal Anti-Kickback Statute’s safe harbors, compliance with a federal Anti-Kickback Statute safe harbor does not guarantee protection under EKRA. As currently drafted, EKRA potentially expands the universe of arrangements that could be subject to government enforcement under federal fraud and abuse laws, and there is no agency guidance or court precedent to indicate how and to what extent it will be applied and enforced.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Marketing of our COVID-19 tests under the EUA from FDA is subject to certain limitations and we are required to maintain compliance with the terms of the EUA, among other things, and the continuance of our EUA is subject to government discretion.</w:t>
      </w:r>
    </w:p>
    <w:p>
      <w:pPr>
        <w:spacing w:after="0" w:line="1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Since March 2020, we have commercially launched several molecular tests for the detection of SARS-CoV-2, the virus that causes COVID-19, including NGS and RT-PCR-based tests as well as related antibody testing options. In May 2020, we were granted an EUA for our RT-PCR-based test for the detection of SARS-CoV-2 using upper and lower respiratory specimens (nasal, nasopharyngeal, and oropharyngeal swabs). In June 2020, we received an amendment to the EUA to add our at-home testing solution for COVID-19 through Picture Genetics. Since that time, the FDA has granted authorizations to revise the authorized labeling for the RT-PCR test and to allow for the use of an additional at-home specimen collection kit in conjunction with our test.</w:t>
      </w:r>
    </w:p>
    <w:p>
      <w:pPr>
        <w:spacing w:after="0" w:line="19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Although there are certain regulatory requirements the FDA has waived for the duration of the EUA, we remain subject to specific conditions of the authorizations. As with other FDA-regulated tests, issues could emerge during the course of the marketing and use of our test under an EUA that could impact our ability to continue the sale and distribution of the authorized test or home collection kit. Factors that may be out of the Company’s control, such as the availability of supplies and key personnel, may impact the Company’s ability to maintain testing capacity and test result delivery, and its other responses to the COVID-19 pandemic, and may have an adverse impact on the Company’s operations. Our EUA remains effective only until the HHS declaration is terminated or revoked, and FDA also may revoke an EUA if it determines the criteria for issuance are no longer met or other circumstances make such revocation appropriate to protect the public health or safety.</w:t>
      </w:r>
    </w:p>
    <w:p>
      <w:pPr>
        <w:spacing w:after="0" w:line="17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However, on August 19, 2020, HHS published a policy announcement that the FDA must go through the formal notice-and-comment rulemaking process before requiring pre-market review (including emergency use authorization) of LDTs rather than making such changes through guidance documents, compliance manuals, or other informal policy statements. Based on the HHS’s policy announcement, which specifically states that LDT developers are not required to obtain an EUA or other marketing authorization from FDA prior to commercialization, we believe we may continue to market our COVID-19 tests even if our EUA is terminated or revoked. The FDA may seek to establish a new regulation through notice-and-comment rulemaking requiring pre-market review and authorization of LDTs, and if that were to occur and if our EUA is either terminated or revoked, then in order to continue marketing our COVID-19 tests, we could be required to obtain the necessary regulatory clearances or approvals and be subject to the full and usual regulatory obligations. It continues to be unclear whether the Biden Administration, which assumed control of the executive branch on January 20, 2021, would take the same position as the former administration or seek to revoke or revise the HHS policy announcement from August 2020.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If the hazardous materials we use in our operations cause contamination or injury, we could be liable for resulting damages.</w:t>
      </w:r>
    </w:p>
    <w:p>
      <w:pPr>
        <w:spacing w:after="0" w:line="22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30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180" w:lineRule="exact"/>
        <w:rPr>
          <w:sz w:val="20"/>
          <w:szCs w:val="20"/>
          <w:color w:val="auto"/>
        </w:rPr>
      </w:pPr>
    </w:p>
    <w:p>
      <w:pPr>
        <w:ind w:firstLine="568"/>
        <w:spacing w:after="0" w:line="253" w:lineRule="auto"/>
        <w:rPr>
          <w:sz w:val="20"/>
          <w:szCs w:val="20"/>
          <w:color w:val="auto"/>
        </w:rPr>
      </w:pPr>
      <w:r>
        <w:rPr>
          <w:rFonts w:ascii="Arial" w:cs="Arial" w:eastAsia="Arial" w:hAnsi="Arial"/>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30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partnerships and activities in China subject us to risks and uncertainties relating to the laws and regulations of China and the changes in relations between the United States and China.</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The United States government has called for substantial changes to foreign trade policy with China and has raised, and has proposed to further raise in the future, tariffs on several Chinese goods. China has retaliated with increased tariffs on United States goods. Moreover, China’s legislature has recently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United States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FCPA and other anti-bribery laws.</w:t>
      </w:r>
    </w:p>
    <w:p>
      <w:pPr>
        <w:spacing w:after="0" w:line="229"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7"/>
          <w:szCs w:val="17"/>
          <w:color w:val="auto"/>
        </w:rPr>
        <w:t>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they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28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services present the potential for embezzlement, identity theft or other similar illegal behavior by our employees, consultants, service providers or commercial partners.</w:t>
      </w:r>
    </w:p>
    <w:p>
      <w:pPr>
        <w:spacing w:after="0" w:line="166"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alleged violations of the FTC Act or other truth-in-advertising and consumer protection laws.</w:t>
      </w:r>
    </w:p>
    <w:p>
      <w:pPr>
        <w:spacing w:after="0" w:line="121" w:lineRule="exact"/>
        <w:rPr>
          <w:sz w:val="20"/>
          <w:szCs w:val="20"/>
          <w:color w:val="auto"/>
        </w:rPr>
      </w:pPr>
    </w:p>
    <w:p>
      <w:pPr>
        <w:ind w:right="20" w:firstLine="464"/>
        <w:spacing w:after="0" w:line="269" w:lineRule="auto"/>
        <w:rPr>
          <w:sz w:val="20"/>
          <w:szCs w:val="20"/>
          <w:color w:val="auto"/>
        </w:rPr>
      </w:pPr>
      <w:r>
        <w:rPr>
          <w:rFonts w:ascii="Arial" w:cs="Arial" w:eastAsia="Arial" w:hAnsi="Arial"/>
          <w:sz w:val="17"/>
          <w:szCs w:val="17"/>
          <w:color w:val="auto"/>
        </w:rPr>
        <w:t>Our advertising for laboratory services and tests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launch of our Picture Genetics line of at-home genetic test offerings that are initiated by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Risks</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We primarily rely on trade secret protection, non-disclosure agreements and invention assignment agreements to protect our proprietary information, which may not be effective.</w:t>
      </w:r>
    </w:p>
    <w:p>
      <w:pPr>
        <w:spacing w:after="0" w:line="5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currently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they provide us.</w:t>
      </w:r>
    </w:p>
    <w:p>
      <w:pPr>
        <w:spacing w:after="0" w:line="16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will be able to protect our proprietary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right="200"/>
        <w:spacing w:after="0" w:line="259" w:lineRule="auto"/>
        <w:rPr>
          <w:sz w:val="20"/>
          <w:szCs w:val="20"/>
          <w:color w:val="auto"/>
        </w:rPr>
      </w:pPr>
      <w:r>
        <w:rPr>
          <w:rFonts w:ascii="Arial" w:cs="Arial" w:eastAsia="Arial" w:hAnsi="Arial"/>
          <w:sz w:val="18"/>
          <w:szCs w:val="18"/>
          <w:color w:val="auto"/>
        </w:rPr>
        <w:t>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91"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Litigation or other proceedings or third-party claims of intellectual property infringement or misappropriation could require us to spend significant time and money and prevent us from selling our tests.</w:t>
      </w:r>
    </w:p>
    <w:p>
      <w:pPr>
        <w:spacing w:after="0" w:line="5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genetic testing.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spacing w:after="0" w:line="16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patent law could have a negative impact on our business.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time to time, the Supreme Court, other federal courts, the U.S. Congress or the U.S. Patent and Trademark Office, or USPTO, may change the standards of patentability, and any such changes could have a negative impact on our business.</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Three cases involving diagnostic method claims and “gene patents” have been decided by the Supreme Court in recent years. In March 2012, the Supreme Court issued a decision in </w:t>
      </w:r>
      <w:r>
        <w:rPr>
          <w:rFonts w:ascii="Arial" w:cs="Arial" w:eastAsia="Arial" w:hAnsi="Arial"/>
          <w:sz w:val="17"/>
          <w:szCs w:val="17"/>
          <w:i w:val="1"/>
          <w:iCs w:val="1"/>
          <w:color w:val="auto"/>
        </w:rPr>
        <w:t>Mayo Collaborative v. Prometheus Laboratories</w:t>
      </w:r>
      <w:r>
        <w:rPr>
          <w:rFonts w:ascii="Arial" w:cs="Arial" w:eastAsia="Arial" w:hAnsi="Arial"/>
          <w:sz w:val="17"/>
          <w:szCs w:val="17"/>
          <w:color w:val="auto"/>
        </w:rPr>
        <w:t xml:space="preserve">, or Prometheus,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w:t>
      </w:r>
      <w:r>
        <w:rPr>
          <w:rFonts w:ascii="Arial" w:cs="Arial" w:eastAsia="Arial" w:hAnsi="Arial"/>
          <w:sz w:val="17"/>
          <w:szCs w:val="17"/>
          <w:i w:val="1"/>
          <w:iCs w:val="1"/>
          <w:color w:val="auto"/>
        </w:rPr>
        <w:t>Association for Molecular Pathology v. Myriad Genetics</w:t>
      </w:r>
      <w:r>
        <w:rPr>
          <w:rFonts w:ascii="Arial" w:cs="Arial" w:eastAsia="Arial" w:hAnsi="Arial"/>
          <w:sz w:val="17"/>
          <w:szCs w:val="17"/>
          <w:color w:val="auto"/>
        </w:rPr>
        <w:t xml:space="preserve">, or Myriad,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RNA transcripts of genes, may be patent eligible. In June 2014, the Supreme Court decided </w:t>
      </w:r>
      <w:r>
        <w:rPr>
          <w:rFonts w:ascii="Arial" w:cs="Arial" w:eastAsia="Arial" w:hAnsi="Arial"/>
          <w:sz w:val="17"/>
          <w:szCs w:val="17"/>
          <w:i w:val="1"/>
          <w:iCs w:val="1"/>
          <w:color w:val="auto"/>
        </w:rPr>
        <w:t>Alice Corporation Pty. Ltd. v. CLS Bank International</w:t>
      </w:r>
      <w:r>
        <w:rPr>
          <w:rFonts w:ascii="Arial" w:cs="Arial" w:eastAsia="Arial" w:hAnsi="Arial"/>
          <w:sz w:val="17"/>
          <w:szCs w:val="17"/>
          <w:color w:val="auto"/>
        </w:rPr>
        <w:t>, or Alice, which affirmed the Prometheus and Myriad decisions and provided additional interpretation.</w:t>
      </w:r>
    </w:p>
    <w:p>
      <w:pPr>
        <w:spacing w:after="0" w:line="18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If we make efforts to seek patent protection for our technologies and tests, these efforts may be negatively impacted by the Prometheus, Myriad and Alice decisions, rulings in other cases or guidance or procedures issued by the USPTO. However, we cannot fully predict the impact of the Prometheus, Myriad and Alice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Myriad that isolated genomic DNA is not patent-eligible subject matter, third parties could allege that our activities infringe other classes of gene-related patent claims. There are numerous risks associated with any patent infringement claim that may be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1080"/>
        <w:spacing w:after="0" w:line="277" w:lineRule="auto"/>
        <w:rPr>
          <w:sz w:val="20"/>
          <w:szCs w:val="20"/>
          <w:color w:val="auto"/>
        </w:rPr>
      </w:pPr>
      <w:r>
        <w:rPr>
          <w:rFonts w:ascii="Arial" w:cs="Arial" w:eastAsia="Arial" w:hAnsi="Arial"/>
          <w:sz w:val="18"/>
          <w:szCs w:val="18"/>
          <w:color w:val="auto"/>
        </w:rPr>
        <w:t>brought against us, as discussed above under “—Litigation or other proceedings or third-party claims of intellectual property infringement or misappropriation could require us to spend significant time and money and prevent us from selling our tests.”</w:t>
      </w:r>
    </w:p>
    <w:p>
      <w:pPr>
        <w:spacing w:after="0" w:line="170"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9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outside the United States.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As a result, our efforts to protect and enforce our intellectual property rights outside the United States may prove inadequate, in which case our ability to remain competitive and grow our business and revenue could be materially harmed.</w:t>
      </w:r>
    </w:p>
    <w:p>
      <w:pPr>
        <w:spacing w:after="0" w:line="2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Third parties may assert that our employees or consultants have wrongfully used or disclosed confidential information or misappropriated trade secrets.</w:t>
      </w:r>
    </w:p>
    <w:p>
      <w:pPr>
        <w:spacing w:after="0" w:line="5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Risks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An active, liquid trading market for our common stock may not be sustained, which could make it difficult for stockholders to sell their shares of our common stock.</w:t>
      </w:r>
    </w:p>
    <w:p>
      <w:pPr>
        <w:spacing w:after="0" w:line="5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An active trading market for our common stock may not be sustained. Further, Mr. Hsieh, our founder, Chief Executive Officer and Chairman of our board of directors, beneficially owns approximately 27% of our outstanding voting equity as of June 30, 2021.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9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The price of our common stock may be volatile and you could lose all or part of your investment.</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76"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36" w:lineRule="exact"/>
        <w:rPr>
          <w:rFonts w:ascii="Arial" w:cs="Arial" w:eastAsia="Arial" w:hAnsi="Arial"/>
          <w:sz w:val="18"/>
          <w:szCs w:val="18"/>
          <w:color w:val="auto"/>
        </w:rPr>
      </w:pPr>
    </w:p>
    <w:p>
      <w:pPr>
        <w:ind w:left="740" w:right="160" w:hanging="368"/>
        <w:spacing w:after="0" w:line="258"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 particularly if competitive factors in our industry, including prices for genetic or other testing, become more acute;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failures to meet or exceed financial estimates and projections of the investment community or guidance we have provided to the public;</w:t>
      </w:r>
    </w:p>
    <w:p>
      <w:pPr>
        <w:spacing w:after="0" w:line="33" w:lineRule="exact"/>
        <w:rPr>
          <w:rFonts w:ascii="Arial" w:cs="Arial" w:eastAsia="Arial" w:hAnsi="Arial"/>
          <w:sz w:val="17"/>
          <w:szCs w:val="17"/>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changed recommendations for our common stock;</w:t>
      </w:r>
    </w:p>
    <w:p>
      <w:pPr>
        <w:spacing w:after="0" w:line="36" w:lineRule="exact"/>
        <w:rPr>
          <w:rFonts w:ascii="Arial" w:cs="Arial" w:eastAsia="Arial" w:hAnsi="Arial"/>
          <w:sz w:val="18"/>
          <w:szCs w:val="18"/>
          <w:color w:val="auto"/>
        </w:rPr>
      </w:pPr>
    </w:p>
    <w:p>
      <w:pPr>
        <w:ind w:left="740" w:right="60" w:hanging="368"/>
        <w:spacing w:after="0" w:line="258"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investments, strategic relationships, joint ventures, collaborations or capital commitments;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amount of our investments in our business and the market’s perception of these investments and their impact on our prospects;</w:t>
      </w:r>
    </w:p>
    <w:p>
      <w:pPr>
        <w:spacing w:after="0" w:line="44" w:lineRule="exact"/>
        <w:rPr>
          <w:rFonts w:ascii="Arial" w:cs="Arial" w:eastAsia="Arial" w:hAnsi="Arial"/>
          <w:sz w:val="16"/>
          <w:szCs w:val="16"/>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laws or regulations applicable to our business or our tests;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coverage and reimbursement by current or potential payors;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additional funding as and when needed on reasonable terms;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36" w:lineRule="exact"/>
        <w:rPr>
          <w:rFonts w:ascii="Arial" w:cs="Arial" w:eastAsia="Arial" w:hAnsi="Arial"/>
          <w:sz w:val="18"/>
          <w:szCs w:val="18"/>
          <w:color w:val="auto"/>
        </w:rPr>
      </w:pPr>
    </w:p>
    <w:p>
      <w:pPr>
        <w:jc w:val="both"/>
        <w:ind w:left="740" w:right="80" w:hanging="368"/>
        <w:spacing w:after="0" w:line="291"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ind w:left="740" w:right="26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that affect, or have the potential to affect, general economic conditions, including but not limited to political unrest, global trade wars, natural disasters, act of war, terrorism, or disease outbreaks (such as the global pandemic related to COVID-19);</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the other risk factors discussed in this report.</w:t>
      </w:r>
    </w:p>
    <w:p>
      <w:pPr>
        <w:spacing w:after="0" w:line="238"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28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58" w:lineRule="exact"/>
        <w:rPr>
          <w:sz w:val="20"/>
          <w:szCs w:val="20"/>
          <w:color w:val="auto"/>
        </w:rPr>
      </w:pPr>
    </w:p>
    <w:p>
      <w:pPr>
        <w:ind w:right="20" w:firstLine="464"/>
        <w:spacing w:after="0" w:line="253" w:lineRule="auto"/>
        <w:rPr>
          <w:sz w:val="20"/>
          <w:szCs w:val="20"/>
          <w:color w:val="auto"/>
        </w:rPr>
      </w:pPr>
      <w:r>
        <w:rPr>
          <w:rFonts w:ascii="Arial" w:cs="Arial" w:eastAsia="Arial" w:hAnsi="Arial"/>
          <w:sz w:val="18"/>
          <w:szCs w:val="18"/>
          <w:color w:val="auto"/>
        </w:rPr>
        <w:t>Our executive officers, directors, beneficial owners of 5% or more of our outstanding voting equity and their respective affiliates collectively beneficially owns approximately 40% of our outstanding voting equity as of June 30, 2021, and of this, Mr. Hsieh, our founder, Chief Executive Officer and Chairman of our board of directors, by himself beneficially owns 27% of our outstanding voting equity as of June 30, 2021.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3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166"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Any such sales, or the perception in the market that sales are pending or could occur, could reduce the market price of our common stock. All of the outstanding shares of our common stock are freely tradable without restriction in the public market, subject to certain volume and</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t>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91"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3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To raise capital or for other strategic purposes, we may sell common stock, convertible securities or other equity securities in one or more transactions at prices and in a manner we determine from time to time. In addition, in November 2020 we entered into the November 2020 Equity Distribution Agreement, with Piper, Oppenheimer &amp; Co. Inc., and BTIG LLC, as sales agents, pursuant to which we may, from time to time, sell through Piper as our sales agent shares of our common stock with an aggregate purchase price of up to $175.0 million. During the year ended December 31, 2020, we sold an aggregate of 2.0 million shares of our common stock pursuant to the November 2020 Equity Distribution Agreement at a weighted-average net selling price of $48.70 per share. During the three months ended June 30, 2021, the Company sold approximately 378,000 shares of its common stock pursuant to the November 2020 Equity Distribution Agreement at a weighted-average net selling price of $73.75. During the six months ended June 30, 2021, the Company sold approximately 961,000 shares of its common stock pursuant to the November 2020 Equity Distribution Agreement at a weighted-average net selling price of $60.56. We also may issue common stock or grant other equity awards for compensatory purposes under our equity incentive plan. If we issue common stock, convertible securities or other equity securities, including shares pursuant to the November 2020 Equity Distribution Agreement or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common stock.</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29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5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9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58"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76" w:lineRule="exact"/>
        <w:rPr>
          <w:sz w:val="20"/>
          <w:szCs w:val="20"/>
          <w:color w:val="auto"/>
        </w:rPr>
      </w:pPr>
    </w:p>
    <w:p>
      <w:pPr>
        <w:ind w:left="740" w:right="220" w:hanging="368"/>
        <w:spacing w:after="0" w:line="258"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1.0 million shares of undesignated or “blank check” preferred stock;</w:t>
      </w:r>
    </w:p>
    <w:p>
      <w:pPr>
        <w:spacing w:after="0" w:line="1" w:lineRule="exact"/>
        <w:rPr>
          <w:rFonts w:ascii="Arial" w:cs="Arial" w:eastAsia="Arial" w:hAnsi="Arial"/>
          <w:sz w:val="18"/>
          <w:szCs w:val="18"/>
          <w:color w:val="auto"/>
        </w:rPr>
      </w:pPr>
    </w:p>
    <w:p>
      <w:pPr>
        <w:ind w:left="740" w:right="5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 stockholder action by written consent, thus requiring all stockholder actions to be taken at a duly noticed and held meeting of our stockholders;</w:t>
      </w:r>
    </w:p>
    <w:p>
      <w:pPr>
        <w:ind w:left="740" w:right="40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ind w:left="740" w:right="10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the board of directors, except as may be required by law;</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our board of directors to amend our bylaws, subject to the power of our stockholders to repeal any such amendment;</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permit cumulative voting by our stockholders on the election of directors; and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3" w:name="page64"/>
    <w:bookmarkEnd w:id="63"/>
    <w:p>
      <w:pPr>
        <w:ind w:left="740" w:right="56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stockholders to propose nominees for election as directors or matters to be acted upon at annual meetings of stockholders.</w:t>
      </w:r>
    </w:p>
    <w:p>
      <w:pPr>
        <w:spacing w:after="0" w:line="170"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 could be adversely affected if we issue preferred stock.</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68"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7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62"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brought on our behalf;</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direct action brought by a stockholder against us or any of our directors, officers or other employees, alleging a breach of a fiduciary duty;</w:t>
      </w:r>
    </w:p>
    <w:p>
      <w:pPr>
        <w:spacing w:after="0" w:line="59" w:lineRule="exact"/>
        <w:rPr>
          <w:rFonts w:ascii="Arial" w:cs="Arial" w:eastAsia="Arial" w:hAnsi="Arial"/>
          <w:sz w:val="16"/>
          <w:szCs w:val="16"/>
          <w:color w:val="auto"/>
        </w:rPr>
      </w:pPr>
    </w:p>
    <w:p>
      <w:pPr>
        <w:ind w:left="740" w:right="600" w:hanging="368"/>
        <w:spacing w:after="0" w:line="258"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alleging a violation of the DGCL, our certificate of incorporation or our bylaws; and</w:t>
      </w:r>
    </w:p>
    <w:p>
      <w:pPr>
        <w:spacing w:after="0" w:line="1" w:lineRule="exact"/>
        <w:rPr>
          <w:rFonts w:ascii="Arial" w:cs="Arial" w:eastAsia="Arial" w:hAnsi="Arial"/>
          <w:sz w:val="18"/>
          <w:szCs w:val="18"/>
          <w:color w:val="auto"/>
        </w:rPr>
      </w:pPr>
    </w:p>
    <w:p>
      <w:pPr>
        <w:ind w:left="740" w:right="140" w:hanging="368"/>
        <w:spacing w:after="0" w:line="26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asserting a claim against us governed by the internal affairs doctrine.</w:t>
      </w:r>
    </w:p>
    <w:p>
      <w:pPr>
        <w:spacing w:after="0" w:line="18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On October 4, 2016, we completed the IPO of our common stock, in which we issued and sold an aggregate of 4,830,000 shares of common stock (including 630,000 shares issued and sold on October 7, 2016 pursuant to the underwriters’ exercise in full of their option to purchase additional shares) at a public offering price of $9.00 per share. We received net proceeds from the IPO of approximately $36.0 million, after deducting underwriting discounts and commissions and offering expenses paid or payable by us of approximately $4.4 million. The shares issued and sold in the IPO were registered under the Securities Act on a registration statement on Form S-1 (File No. 333-213469), as amended, and the final prospectus dated September 28, 2016 included in such registration statement, or the Prospectus.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To date, we have used $28.8 million of the net proceeds from the IPO, of which, $4.5 million was used for contributions to our joint venture, FF Gene Biotech, in partial satisfaction of our contribution obligations under the cooperation agreement for the joint venture and $24.3 million was used to fund the Company’s operations. All other net proceeds from the IPO are invested in investment-grade and interest-bearing securities, such as money market accounts, certificates of deposit, commercial paper and guaranteed obligations of the U.S. government. There has been no material change in the planned use of proceeds from the IPO from that described in the Prospectus.</w:t>
      </w:r>
    </w:p>
    <w:p>
      <w:pPr>
        <w:spacing w:after="0" w:line="18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On August 30, 2019, we entered into the 2019 Equity Distribution Agreement with Piper as sales agent, which was amended on August 4, 2020. During the year ended December 31, 2019, we sold an aggregate of 104,000 shares of our common stock pursuant to the 2019 Equity Distribution Agreement at a weighted-average net selling price of $9.37 per share, which resulted in $979,000 of net proceeds to the Company. During the year ended December 31, 2020, we sold an aggregate of 1.1 million shares of our common stock pursuant to the 2019 Equity Distribution Agreement at a weighted-average net selling price of $38.50 per share, which resulted in $42.7 million of net proceeds to the Company. Shares sold under the Equity Distribution Agreement were offered and sold pursuant to our shelf registration statement on Form S-3 (File No. 333-233227) filed with the SEC on August 12, 2019 and declared effective on August 23, 2019, and prospectus supplements and accompanying base prospectus filed with the SEC on August 30, 2019, May 6, 2020 and August 5, 2020. There has been no material change in the planned use of proceeds as described in the prospectus supplements and accompanying base prospectus.</w:t>
      </w:r>
    </w:p>
    <w:p>
      <w:pPr>
        <w:spacing w:after="0" w:line="18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 November 13, 2019, we entered into a purchase agreement with Piper, as representative of the several underwriters, pursuant to which we sold 2,673,750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registered under the Securities Act and sold pursuant to our shelf registration statement on Form S-3 (File No. 333-233227), and a prospectus supplement and accompanying base prospectus filed with the SEC on November 13, 2019. There has been no material change in the planned use of proceeds as described in the prospectus supplement and accompanying base prospectus.</w:t>
      </w:r>
    </w:p>
    <w:p>
      <w:pPr>
        <w:spacing w:after="0" w:line="16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September 25, 2020, we entered into an Equity Distribution Agreement, or the September 2020 Equity Distribution Agreement, with Piper as sales agent, pursuant to which we sold 2.8 million shares of our common stock pursuant to the September 2020 Equity Distribution Agreement at a weighted-average net selling price of $42.90 per share during the year ended December 31, 2020, which resulted in $122.1 million of net proceeds to the Company. Piper may receive a commission of up to 3% of the gross proceeds received by the Company for sales pursuant to the September 2020 Equity Distribution Agreement. Shares sold under the September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September 25, 2020. There has been no material change in the planned use of proceeds as described in the prospectus supplement and accompanying base prospectus.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5" w:name="page66"/>
    <w:bookmarkEnd w:id="65"/>
    <w:p>
      <w:pPr>
        <w:ind w:firstLine="510"/>
        <w:spacing w:after="0" w:line="287"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we sold an aggregate of 2.0 million shares of our common stock pursuant to the November 2020 Equity Distribution Agreement at a weighted-average net selling price of $48.70 per share, which resulted in $99.1 million of net proceeds to the Company. During the six months ended June 30, 2021, we sold approximately 961,000 shares of our common stock pursuant to the November 2020 Equity Distribution Agreement at a weighted-average net selling price of $60.56, which resulted in $58.2 million of net proceeds to the Company. Shares sold under the November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November 20, 2020. There has been no material change in the planned use of proceeds as described in the prospectus supplement and accompanying base prospectus.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20" w:type="dxa"/>
            <w:vAlign w:val="bottom"/>
            <w:gridSpan w:val="8"/>
          </w:tcPr>
          <w:p>
            <w:pPr>
              <w:ind w:left="1640"/>
              <w:spacing w:after="0"/>
              <w:rPr>
                <w:sz w:val="20"/>
                <w:szCs w:val="20"/>
                <w:color w:val="auto"/>
              </w:rPr>
            </w:pPr>
            <w:r>
              <w:rPr>
                <w:rFonts w:ascii="Arial" w:cs="Arial" w:eastAsia="Arial" w:hAnsi="Arial"/>
                <w:sz w:val="18"/>
                <w:szCs w:val="18"/>
                <w:b w:val="1"/>
                <w:bCs w:val="1"/>
                <w:color w:val="auto"/>
              </w:rPr>
              <w:t>EXHIBIT INDEX</w:t>
            </w:r>
          </w:p>
        </w:tc>
        <w:tc>
          <w:tcPr>
            <w:tcW w:w="940" w:type="dxa"/>
            <w:vAlign w:val="bottom"/>
          </w:tcPr>
          <w:p>
            <w:pPr>
              <w:spacing w:after="0"/>
              <w:rPr>
                <w:sz w:val="20"/>
                <w:szCs w:val="20"/>
                <w:color w:val="auto"/>
              </w:rPr>
            </w:pPr>
          </w:p>
        </w:tc>
      </w:tr>
      <w:tr>
        <w:trPr>
          <w:trHeight w:val="481"/>
        </w:trPr>
        <w:tc>
          <w:tcPr>
            <w:tcW w:w="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with this</w:t>
            </w:r>
          </w:p>
        </w:tc>
      </w:tr>
      <w:tr>
        <w:trPr>
          <w:trHeight w:val="234"/>
        </w:trPr>
        <w:tc>
          <w:tcPr>
            <w:tcW w:w="920" w:type="dxa"/>
            <w:vAlign w:val="bottom"/>
          </w:tcPr>
          <w:p>
            <w:pPr>
              <w:ind w:left="340"/>
              <w:spacing w:after="0"/>
              <w:rPr>
                <w:sz w:val="20"/>
                <w:szCs w:val="20"/>
                <w:color w:val="auto"/>
              </w:rPr>
            </w:pPr>
            <w:r>
              <w:rPr>
                <w:rFonts w:ascii="Arial" w:cs="Arial" w:eastAsia="Arial" w:hAnsi="Arial"/>
                <w:sz w:val="18"/>
                <w:szCs w:val="18"/>
                <w:b w:val="1"/>
                <w:bCs w:val="1"/>
                <w:color w:val="auto"/>
              </w:rPr>
              <w:t>No.</w:t>
            </w:r>
          </w:p>
        </w:tc>
        <w:tc>
          <w:tcPr>
            <w:tcW w:w="5480" w:type="dxa"/>
            <w:vAlign w:val="bottom"/>
            <w:gridSpan w:val="9"/>
          </w:tcPr>
          <w:p>
            <w:pPr>
              <w:ind w:left="2240"/>
              <w:spacing w:after="0"/>
              <w:rPr>
                <w:sz w:val="20"/>
                <w:szCs w:val="20"/>
                <w:color w:val="auto"/>
              </w:rPr>
            </w:pPr>
            <w:r>
              <w:rPr>
                <w:rFonts w:ascii="Arial" w:cs="Arial" w:eastAsia="Arial" w:hAnsi="Arial"/>
                <w:sz w:val="18"/>
                <w:szCs w:val="18"/>
                <w:b w:val="1"/>
                <w:bCs w:val="1"/>
                <w:color w:val="auto"/>
              </w:rPr>
              <w:t>Exhibit Title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5"/>
              </w:rPr>
              <w:t>Form 10-Q</w:t>
            </w:r>
          </w:p>
        </w:tc>
      </w:tr>
      <w:tr>
        <w:trPr>
          <w:trHeight w:val="391"/>
        </w:trPr>
        <w:tc>
          <w:tcPr>
            <w:tcW w:w="920" w:type="dxa"/>
            <w:vAlign w:val="bottom"/>
          </w:tcPr>
          <w:p>
            <w:pPr>
              <w:ind w:left="100"/>
              <w:spacing w:after="0"/>
              <w:rPr>
                <w:sz w:val="20"/>
                <w:szCs w:val="20"/>
                <w:color w:val="auto"/>
              </w:rPr>
            </w:pPr>
            <w:r>
              <w:rPr>
                <w:rFonts w:ascii="Arial" w:cs="Arial" w:eastAsia="Arial" w:hAnsi="Arial"/>
                <w:sz w:val="18"/>
                <w:szCs w:val="18"/>
                <w:color w:val="auto"/>
              </w:rPr>
              <w:t>10.1§</w:t>
            </w:r>
          </w:p>
        </w:tc>
        <w:tc>
          <w:tcPr>
            <w:tcW w:w="548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Restructuring Agreement of Fujian Fujun Gene Biotech Co., Ltd.</w:t>
              </w:r>
            </w:hyperlink>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9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51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Certification of Principal Executive Officer pursuant to Rules 13a-14(a)</w:t>
              </w:r>
            </w:hyperlink>
          </w:p>
        </w:tc>
        <w:tc>
          <w:tcPr>
            <w:tcW w:w="300" w:type="dxa"/>
            <w:vAlign w:val="bottom"/>
            <w:gridSpan w:val="3"/>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920" w:type="dxa"/>
            <w:vAlign w:val="bottom"/>
          </w:tcPr>
          <w:p>
            <w:pPr>
              <w:spacing w:after="0"/>
              <w:rPr>
                <w:sz w:val="17"/>
                <w:szCs w:val="17"/>
                <w:color w:val="auto"/>
              </w:rPr>
            </w:pPr>
          </w:p>
        </w:tc>
        <w:tc>
          <w:tcPr>
            <w:tcW w:w="5480" w:type="dxa"/>
            <w:vAlign w:val="bottom"/>
            <w:gridSpan w:val="9"/>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and 15d-14(a) under the Securities Exchange Act of 1934, as adopted</w:t>
              </w:r>
            </w:hyperlink>
          </w:p>
        </w:tc>
        <w:tc>
          <w:tcPr>
            <w:tcW w:w="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pursuant to Section 302 of the Sarbanes-Oxley Act of 2002.</w:t>
              </w:r>
            </w:hyperlink>
          </w:p>
        </w:tc>
        <w:tc>
          <w:tcPr>
            <w:tcW w:w="680" w:type="dxa"/>
            <w:vAlign w:val="bottom"/>
            <w:tcBorders>
              <w:top w:val="single" w:sz="8" w:color="0000EE"/>
            </w:tcBorders>
            <w:gridSpan w:val="2"/>
          </w:tcPr>
          <w:p>
            <w:pPr>
              <w:spacing w:after="0"/>
              <w:rPr>
                <w:sz w:val="17"/>
                <w:szCs w:val="17"/>
                <w:color w:val="auto"/>
              </w:rPr>
            </w:pPr>
          </w:p>
        </w:tc>
        <w:tc>
          <w:tcPr>
            <w:tcW w:w="4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5480" w:type="dxa"/>
            <w:vAlign w:val="bottom"/>
            <w:gridSpan w:val="9"/>
          </w:tcPr>
          <w:p>
            <w:pPr>
              <w:spacing w:after="0"/>
              <w:rPr>
                <w:rFonts w:ascii="Arial" w:cs="Arial" w:eastAsia="Arial" w:hAnsi="Arial"/>
                <w:sz w:val="18"/>
                <w:szCs w:val="18"/>
                <w:color w:val="0000EE"/>
                <w:w w:val="98"/>
              </w:rPr>
            </w:pPr>
            <w:hyperlink w:anchor="page101">
              <w:r>
                <w:rPr>
                  <w:rFonts w:ascii="Arial" w:cs="Arial" w:eastAsia="Arial" w:hAnsi="Arial"/>
                  <w:sz w:val="18"/>
                  <w:szCs w:val="18"/>
                  <w:color w:val="0000EE"/>
                  <w:w w:val="98"/>
                </w:rPr>
                <w:t>Certification of Principal Financial Officer pursuant to Rules 13a-14(a)</w:t>
              </w:r>
            </w:hyperlink>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920" w:type="dxa"/>
            <w:vAlign w:val="bottom"/>
          </w:tcPr>
          <w:p>
            <w:pPr>
              <w:spacing w:after="0"/>
              <w:rPr>
                <w:sz w:val="17"/>
                <w:szCs w:val="17"/>
                <w:color w:val="auto"/>
              </w:rPr>
            </w:pPr>
          </w:p>
        </w:tc>
        <w:tc>
          <w:tcPr>
            <w:tcW w:w="5120" w:type="dxa"/>
            <w:vAlign w:val="bottom"/>
            <w:tcBorders>
              <w:top w:val="single" w:sz="8" w:color="0000EE"/>
            </w:tcBorders>
            <w:gridSpan w:val="5"/>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and 15d-14(a) under the Securities Exchange Act of 1934, as adopted</w:t>
              </w:r>
            </w:hyperlink>
          </w:p>
        </w:tc>
        <w:tc>
          <w:tcPr>
            <w:tcW w:w="36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pursuant to Section 302 of the Sarbanes-Oxley Act of 2002.</w:t>
              </w:r>
            </w:hyperlink>
          </w:p>
        </w:tc>
        <w:tc>
          <w:tcPr>
            <w:tcW w:w="680" w:type="dxa"/>
            <w:vAlign w:val="bottom"/>
            <w:tcBorders>
              <w:top w:val="single" w:sz="8" w:color="0000EE"/>
            </w:tcBorders>
            <w:gridSpan w:val="2"/>
          </w:tcPr>
          <w:p>
            <w:pPr>
              <w:spacing w:after="0"/>
              <w:rPr>
                <w:sz w:val="17"/>
                <w:szCs w:val="17"/>
                <w:color w:val="auto"/>
              </w:rPr>
            </w:pPr>
          </w:p>
        </w:tc>
        <w:tc>
          <w:tcPr>
            <w:tcW w:w="4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5480" w:type="dxa"/>
            <w:vAlign w:val="bottom"/>
            <w:gridSpan w:val="9"/>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Certification of Principal Executive Officer and Principal Financial Officer</w:t>
              </w:r>
            </w:hyperlink>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92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pursuant to 18 U.S.C. Section 1350, as adopted pursuant to Section 906 of</w:t>
              </w:r>
            </w:hyperlink>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480" w:type="dxa"/>
            <w:vAlign w:val="bottom"/>
            <w:gridSpan w:val="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the Sarbanes-Oxley Act of 2002.</w:t>
              </w:r>
            </w:hyperlink>
          </w:p>
        </w:tc>
        <w:tc>
          <w:tcPr>
            <w:tcW w:w="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48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920" w:type="dxa"/>
            <w:vAlign w:val="bottom"/>
          </w:tcPr>
          <w:p>
            <w:pPr>
              <w:spacing w:after="0"/>
              <w:rPr>
                <w:sz w:val="18"/>
                <w:szCs w:val="18"/>
                <w:color w:val="auto"/>
              </w:rPr>
            </w:pPr>
          </w:p>
        </w:tc>
        <w:tc>
          <w:tcPr>
            <w:tcW w:w="5480" w:type="dxa"/>
            <w:vAlign w:val="bottom"/>
            <w:gridSpan w:val="9"/>
          </w:tcPr>
          <w:p>
            <w:pPr>
              <w:spacing w:after="0"/>
              <w:rPr>
                <w:sz w:val="20"/>
                <w:szCs w:val="20"/>
                <w:color w:val="auto"/>
              </w:rPr>
            </w:pPr>
            <w:r>
              <w:rPr>
                <w:rFonts w:ascii="Arial" w:cs="Arial" w:eastAsia="Arial" w:hAnsi="Arial"/>
                <w:sz w:val="18"/>
                <w:szCs w:val="18"/>
                <w:color w:val="auto"/>
                <w:w w:val="94"/>
              </w:rPr>
              <w:t>in the Interactive Data File because XBRL tags are embedded within the</w:t>
            </w:r>
          </w:p>
        </w:tc>
        <w:tc>
          <w:tcPr>
            <w:tcW w:w="9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480" w:type="dxa"/>
            <w:vAlign w:val="bottom"/>
            <w:gridSpan w:val="9"/>
          </w:tcPr>
          <w:p>
            <w:pPr>
              <w:spacing w:after="0"/>
              <w:rPr>
                <w:sz w:val="20"/>
                <w:szCs w:val="20"/>
                <w:color w:val="auto"/>
              </w:rPr>
            </w:pPr>
            <w:r>
              <w:rPr>
                <w:rFonts w:ascii="Arial" w:cs="Arial" w:eastAsia="Arial" w:hAnsi="Arial"/>
                <w:sz w:val="18"/>
                <w:szCs w:val="18"/>
                <w:color w:val="auto"/>
              </w:rPr>
              <w:t>Inline XBRL document.</w:t>
            </w:r>
          </w:p>
        </w:tc>
        <w:tc>
          <w:tcPr>
            <w:tcW w:w="94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4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4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4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4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4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548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w:t>
            </w: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920" w:type="dxa"/>
            <w:vAlign w:val="bottom"/>
          </w:tcPr>
          <w:p>
            <w:pPr>
              <w:spacing w:after="0"/>
              <w:rPr>
                <w:sz w:val="20"/>
                <w:szCs w:val="20"/>
                <w:color w:val="auto"/>
              </w:rPr>
            </w:pPr>
          </w:p>
        </w:tc>
        <w:tc>
          <w:tcPr>
            <w:tcW w:w="54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1912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2360"/>
        <w:spacing w:after="0"/>
        <w:rPr>
          <w:sz w:val="20"/>
          <w:szCs w:val="20"/>
          <w:color w:val="auto"/>
        </w:rPr>
      </w:pPr>
      <w:r>
        <w:rPr>
          <w:rFonts w:ascii="Arial" w:cs="Arial" w:eastAsia="Arial" w:hAnsi="Arial"/>
          <w:sz w:val="16"/>
          <w:szCs w:val="16"/>
          <w:b w:val="1"/>
          <w:bCs w:val="1"/>
          <w:color w:val="auto"/>
        </w:rPr>
        <w:t>Incorporated by</w:t>
      </w:r>
    </w:p>
    <w:p>
      <w:pPr>
        <w:spacing w:after="0" w:line="50"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Reference</w:t>
      </w:r>
    </w:p>
    <w:p>
      <w:pPr>
        <w:spacing w:after="0" w:line="58" w:lineRule="exact"/>
        <w:rPr>
          <w:sz w:val="20"/>
          <w:szCs w:val="20"/>
          <w:color w:val="auto"/>
        </w:rPr>
      </w:pPr>
    </w:p>
    <w:p>
      <w:pPr>
        <w:jc w:val="both"/>
        <w:ind w:left="420"/>
        <w:spacing w:after="0"/>
        <w:tabs>
          <w:tab w:leader="none" w:pos="1560" w:val="left"/>
          <w:tab w:leader="none" w:pos="272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Form No.</w:t>
      </w:r>
      <w:r>
        <w:rPr>
          <w:sz w:val="20"/>
          <w:szCs w:val="20"/>
          <w:color w:val="auto"/>
        </w:rPr>
        <w:tab/>
      </w:r>
      <w:r>
        <w:rPr>
          <w:rFonts w:ascii="Arial" w:cs="Arial" w:eastAsia="Arial" w:hAnsi="Arial"/>
          <w:sz w:val="16"/>
          <w:szCs w:val="16"/>
          <w:b w:val="1"/>
          <w:bCs w:val="1"/>
          <w:color w:val="auto"/>
        </w:rPr>
        <w:t>Date filed</w:t>
      </w:r>
    </w:p>
    <w:p>
      <w:pPr>
        <w:spacing w:after="0" w:line="6923" w:lineRule="exact"/>
        <w:rPr>
          <w:sz w:val="20"/>
          <w:szCs w:val="20"/>
          <w:color w:val="auto"/>
        </w:rPr>
      </w:pPr>
    </w:p>
    <w:p>
      <w:pPr>
        <w:sectPr>
          <w:pgSz w:w="11900" w:h="16838" w:orient="portrait"/>
          <w:cols w:equalWidth="0" w:num="2">
            <w:col w:w="7340" w:space="220"/>
            <w:col w:w="3620"/>
          </w:cols>
          <w:pgMar w:left="320" w:top="337" w:right="399" w:bottom="1440" w:gutter="0" w:footer="0" w:header="0"/>
        </w:sectPr>
      </w:pPr>
    </w:p>
    <w:p>
      <w:pPr>
        <w:spacing w:after="0" w:line="285"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50" w:lineRule="exact"/>
        <w:rPr>
          <w:sz w:val="20"/>
          <w:szCs w:val="20"/>
          <w:color w:val="auto"/>
        </w:rPr>
      </w:pPr>
    </w:p>
    <w:p>
      <w:pPr>
        <w:ind w:left="380" w:right="720" w:hanging="372"/>
        <w:spacing w:after="0" w:line="273"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The Company hereby undertakes to furnish supplementally a copy of any omitted exhibit or schedule upon request by the SEC.</w:t>
      </w:r>
    </w:p>
    <w:p>
      <w:pPr>
        <w:spacing w:after="0" w:line="2" w:lineRule="exact"/>
        <w:rPr>
          <w:sz w:val="20"/>
          <w:szCs w:val="20"/>
          <w:color w:val="auto"/>
        </w:rPr>
      </w:pPr>
    </w:p>
    <w:p>
      <w:pPr>
        <w:ind w:left="380" w:hanging="372"/>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080" w:type="dxa"/>
            <w:vAlign w:val="bottom"/>
            <w:gridSpan w:val="2"/>
          </w:tcPr>
          <w:p>
            <w:pPr>
              <w:ind w:left="2600"/>
              <w:spacing w:after="0"/>
              <w:rPr>
                <w:sz w:val="20"/>
                <w:szCs w:val="20"/>
                <w:color w:val="auto"/>
              </w:rPr>
            </w:pPr>
            <w:r>
              <w:rPr>
                <w:rFonts w:ascii="Arial" w:cs="Arial" w:eastAsia="Arial" w:hAnsi="Arial"/>
                <w:sz w:val="18"/>
                <w:szCs w:val="18"/>
                <w:b w:val="1"/>
                <w:bCs w:val="1"/>
                <w:color w:val="auto"/>
              </w:rPr>
              <w:t>FULGENT GENETICS, INC.</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2940" w:type="dxa"/>
            <w:vAlign w:val="bottom"/>
          </w:tcPr>
          <w:p>
            <w:pPr>
              <w:ind w:left="26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w:t>
            </w:r>
            <w:r>
              <w:rPr>
                <w:rFonts w:ascii="Arial" w:cs="Arial" w:eastAsia="Arial" w:hAnsi="Arial"/>
                <w:sz w:val="12"/>
                <w:szCs w:val="12"/>
                <w:color w:val="auto"/>
                <w:w w:val="97"/>
              </w:rPr>
              <w:t>ING</w:t>
            </w:r>
            <w:r>
              <w:rPr>
                <w:rFonts w:ascii="Arial" w:cs="Arial" w:eastAsia="Arial" w:hAnsi="Arial"/>
                <w:sz w:val="18"/>
                <w:szCs w:val="18"/>
                <w:color w:val="auto"/>
                <w:w w:val="97"/>
              </w:rPr>
              <w:t xml:space="preserve"> H</w:t>
            </w:r>
            <w:r>
              <w:rPr>
                <w:rFonts w:ascii="Arial" w:cs="Arial" w:eastAsia="Arial" w:hAnsi="Arial"/>
                <w:sz w:val="12"/>
                <w:szCs w:val="12"/>
                <w:color w:val="auto"/>
                <w:w w:val="97"/>
              </w:rPr>
              <w:t>SIEH</w:t>
            </w:r>
          </w:p>
        </w:tc>
      </w:tr>
      <w:tr>
        <w:trPr>
          <w:trHeight w:val="222"/>
        </w:trPr>
        <w:tc>
          <w:tcPr>
            <w:tcW w:w="4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Ming Hsieh</w:t>
            </w:r>
          </w:p>
        </w:tc>
      </w:tr>
      <w:tr>
        <w:trPr>
          <w:trHeight w:val="216"/>
        </w:trPr>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r>
      <w:tr>
        <w:trPr>
          <w:trHeight w:val="230"/>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2940" w:type="dxa"/>
            <w:vAlign w:val="bottom"/>
          </w:tcPr>
          <w:p>
            <w:pPr>
              <w:ind w:left="26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P</w:t>
            </w:r>
            <w:r>
              <w:rPr>
                <w:rFonts w:ascii="Arial" w:cs="Arial" w:eastAsia="Arial" w:hAnsi="Arial"/>
                <w:sz w:val="12"/>
                <w:szCs w:val="12"/>
                <w:color w:val="auto"/>
                <w:w w:val="98"/>
              </w:rPr>
              <w:t>AUL</w:t>
            </w:r>
            <w:r>
              <w:rPr>
                <w:rFonts w:ascii="Arial" w:cs="Arial" w:eastAsia="Arial" w:hAnsi="Arial"/>
                <w:sz w:val="18"/>
                <w:szCs w:val="18"/>
                <w:color w:val="auto"/>
                <w:w w:val="98"/>
              </w:rPr>
              <w:t xml:space="preserve"> K</w:t>
            </w:r>
            <w:r>
              <w:rPr>
                <w:rFonts w:ascii="Arial" w:cs="Arial" w:eastAsia="Arial" w:hAnsi="Arial"/>
                <w:sz w:val="12"/>
                <w:szCs w:val="12"/>
                <w:color w:val="auto"/>
                <w:w w:val="98"/>
              </w:rPr>
              <w:t>IM</w:t>
            </w:r>
          </w:p>
        </w:tc>
      </w:tr>
      <w:tr>
        <w:trPr>
          <w:trHeight w:val="224"/>
        </w:trPr>
        <w:tc>
          <w:tcPr>
            <w:tcW w:w="4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Paul Kim</w:t>
            </w:r>
          </w:p>
        </w:tc>
      </w:tr>
    </w:tbl>
    <w:p>
      <w:pPr>
        <w:jc w:val="center"/>
        <w:ind w:left="70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1" w:right="339" w:bottom="1440" w:gutter="0" w:footer="0" w:header="0"/>
        </w:sectPr>
      </w:pPr>
    </w:p>
    <w:bookmarkStart w:id="68" w:name="page69"/>
    <w:bookmarkEnd w:id="68"/>
    <w:p>
      <w:pPr>
        <w:ind w:left="1012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ind w:left="340"/>
        <w:spacing w:after="0" w:line="243" w:lineRule="auto"/>
        <w:rPr>
          <w:sz w:val="20"/>
          <w:szCs w:val="20"/>
          <w:color w:val="auto"/>
        </w:rPr>
      </w:pPr>
      <w:r>
        <w:rPr>
          <w:rFonts w:ascii="Arial" w:cs="Arial" w:eastAsia="Arial" w:hAnsi="Arial"/>
          <w:sz w:val="22"/>
          <w:szCs w:val="22"/>
          <w:b w:val="1"/>
          <w:bCs w:val="1"/>
          <w:color w:val="auto"/>
        </w:rPr>
        <w:t>Pursuant to Item 601(b)(10) of Regulation S-K, certain confidential portions of this exhibit have been omitted by means of marking such portions with asterisks as the identified confidential portions (i) are not material and (ii) would be competitively harmful if publicly disclosed.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Restructuring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Fujian Fujun Gene Biotech Co., Ltd</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i w:val="1"/>
          <w:iCs w:val="1"/>
          <w:color w:val="auto"/>
        </w:rPr>
        <w:t>Restructuring Agreement of Fujian Fujun Gene Biotech Co., Ltd</w:t>
      </w:r>
      <w:r>
        <w:rPr>
          <w:rFonts w:ascii="Arial" w:cs="Arial" w:eastAsia="Arial" w:hAnsi="Arial"/>
          <w:sz w:val="22"/>
          <w:szCs w:val="22"/>
          <w:color w:val="auto"/>
        </w:rPr>
        <w:t xml:space="preserve">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by and among the following parties on May 7, 2021 (the “</w:t>
      </w:r>
      <w:r>
        <w:rPr>
          <w:rFonts w:ascii="Arial" w:cs="Arial" w:eastAsia="Arial" w:hAnsi="Arial"/>
          <w:sz w:val="22"/>
          <w:szCs w:val="22"/>
          <w:b w:val="1"/>
          <w:bCs w:val="1"/>
          <w:color w:val="auto"/>
        </w:rPr>
        <w:t>Date of Signing</w:t>
      </w:r>
      <w:r>
        <w:rPr>
          <w:rFonts w:ascii="Arial" w:cs="Arial" w:eastAsia="Arial" w:hAnsi="Arial"/>
          <w:sz w:val="22"/>
          <w:szCs w:val="22"/>
          <w:color w:val="auto"/>
        </w:rPr>
        <w:t>”):</w:t>
      </w:r>
    </w:p>
    <w:p>
      <w:pPr>
        <w:spacing w:after="0" w:line="189" w:lineRule="exact"/>
        <w:rPr>
          <w:sz w:val="20"/>
          <w:szCs w:val="20"/>
          <w:color w:val="auto"/>
        </w:rPr>
      </w:pPr>
    </w:p>
    <w:p>
      <w:pPr>
        <w:jc w:val="both"/>
        <w:ind w:left="520" w:hanging="512"/>
        <w:spacing w:after="0" w:line="243"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Fujian Fujun Gene Biotech Co., Ltd</w:t>
      </w:r>
      <w:r>
        <w:rPr>
          <w:rFonts w:ascii="Arial" w:cs="Arial" w:eastAsia="Arial" w:hAnsi="Arial"/>
          <w:sz w:val="22"/>
          <w:szCs w:val="22"/>
          <w:color w:val="auto"/>
        </w:rPr>
        <w:t>, a limited liability company validly organized and legally existing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People’s Republic of China (“</w:t>
      </w:r>
      <w:r>
        <w:rPr>
          <w:rFonts w:ascii="Arial" w:cs="Arial" w:eastAsia="Arial" w:hAnsi="Arial"/>
          <w:sz w:val="22"/>
          <w:szCs w:val="22"/>
          <w:b w:val="1"/>
          <w:bCs w:val="1"/>
          <w:color w:val="auto"/>
        </w:rPr>
        <w:t>China</w:t>
      </w:r>
      <w:r>
        <w:rPr>
          <w:rFonts w:ascii="Arial" w:cs="Arial" w:eastAsia="Arial" w:hAnsi="Arial"/>
          <w:sz w:val="22"/>
          <w:szCs w:val="22"/>
          <w:color w:val="auto"/>
        </w:rPr>
        <w:t>”, which, for the sole purpose of this Agreement, excludes Hong Kong, Macao and Taiwan) (“</w:t>
      </w:r>
      <w:r>
        <w:rPr>
          <w:rFonts w:ascii="Arial" w:cs="Arial" w:eastAsia="Arial" w:hAnsi="Arial"/>
          <w:sz w:val="22"/>
          <w:szCs w:val="22"/>
          <w:b w:val="1"/>
          <w:bCs w:val="1"/>
          <w:color w:val="auto"/>
        </w:rPr>
        <w:t>Fujian Fulgent</w:t>
      </w:r>
      <w:r>
        <w:rPr>
          <w:rFonts w:ascii="Arial" w:cs="Arial" w:eastAsia="Arial" w:hAnsi="Arial"/>
          <w:sz w:val="22"/>
          <w:szCs w:val="22"/>
          <w:color w:val="auto"/>
        </w:rPr>
        <w:t>”);</w:t>
      </w:r>
    </w:p>
    <w:p>
      <w:pPr>
        <w:spacing w:after="0" w:line="203" w:lineRule="exact"/>
        <w:rPr>
          <w:rFonts w:ascii="Arial" w:cs="Arial" w:eastAsia="Arial" w:hAnsi="Arial"/>
          <w:sz w:val="22"/>
          <w:szCs w:val="22"/>
          <w:color w:val="auto"/>
        </w:rPr>
      </w:pPr>
    </w:p>
    <w:p>
      <w:pPr>
        <w:ind w:left="520" w:hanging="512"/>
        <w:spacing w:after="0" w:line="256"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Fulgent Investment Development Limited (Hong Kong)</w:t>
      </w:r>
      <w:r>
        <w:rPr>
          <w:rFonts w:ascii="Arial" w:cs="Arial" w:eastAsia="Arial" w:hAnsi="Arial"/>
          <w:sz w:val="22"/>
          <w:szCs w:val="22"/>
          <w:color w:val="auto"/>
        </w:rPr>
        <w:t>, a limited liability company validly organized and legally</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under the laws of Hong Kong (“</w:t>
      </w:r>
      <w:r>
        <w:rPr>
          <w:rFonts w:ascii="Arial" w:cs="Arial" w:eastAsia="Arial" w:hAnsi="Arial"/>
          <w:sz w:val="22"/>
          <w:szCs w:val="22"/>
          <w:b w:val="1"/>
          <w:bCs w:val="1"/>
          <w:color w:val="auto"/>
        </w:rPr>
        <w:t>Fulgent</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520" w:hanging="512"/>
        <w:spacing w:after="0" w:line="256"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Shenzhen Mingrui Consulting Co., Ltd</w:t>
      </w:r>
      <w:r>
        <w:rPr>
          <w:rFonts w:ascii="Arial" w:cs="Arial" w:eastAsia="Arial" w:hAnsi="Arial"/>
          <w:sz w:val="22"/>
          <w:szCs w:val="22"/>
          <w:color w:val="auto"/>
        </w:rPr>
        <w:t>, a limited liability company validly organized and legally existing under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China (“</w:t>
      </w:r>
      <w:r>
        <w:rPr>
          <w:rFonts w:ascii="Arial" w:cs="Arial" w:eastAsia="Arial" w:hAnsi="Arial"/>
          <w:sz w:val="22"/>
          <w:szCs w:val="22"/>
          <w:b w:val="1"/>
          <w:bCs w:val="1"/>
          <w:color w:val="auto"/>
        </w:rPr>
        <w:t>Shenzhen Mingrui</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520" w:right="20" w:hanging="512"/>
        <w:spacing w:after="0" w:line="256"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Shenzhen Fujin Gene Technology Co., Ltd</w:t>
      </w:r>
      <w:r>
        <w:rPr>
          <w:rFonts w:ascii="Arial" w:cs="Arial" w:eastAsia="Arial" w:hAnsi="Arial"/>
          <w:sz w:val="22"/>
          <w:szCs w:val="22"/>
          <w:color w:val="auto"/>
        </w:rPr>
        <w:t>, a limited liability company validly organized and legally existing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China (“</w:t>
      </w:r>
      <w:r>
        <w:rPr>
          <w:rFonts w:ascii="Arial" w:cs="Arial" w:eastAsia="Arial" w:hAnsi="Arial"/>
          <w:sz w:val="22"/>
          <w:szCs w:val="22"/>
          <w:b w:val="1"/>
          <w:bCs w:val="1"/>
          <w:color w:val="auto"/>
        </w:rPr>
        <w:t>Shenzhen Fujin</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520" w:right="20" w:hanging="512"/>
        <w:spacing w:after="0" w:line="256"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Xilong Scientific Co., Ltd</w:t>
      </w:r>
      <w:r>
        <w:rPr>
          <w:rFonts w:ascii="Arial" w:cs="Arial" w:eastAsia="Arial" w:hAnsi="Arial"/>
          <w:sz w:val="22"/>
          <w:szCs w:val="22"/>
          <w:color w:val="auto"/>
        </w:rPr>
        <w:t>, a joint stock company validly organized and legally existing under the Laws of China (“</w:t>
      </w:r>
      <w:r>
        <w:rPr>
          <w:rFonts w:ascii="Arial" w:cs="Arial" w:eastAsia="Arial" w:hAnsi="Arial"/>
          <w:sz w:val="22"/>
          <w:szCs w:val="22"/>
          <w:b w:val="1"/>
          <w:bCs w:val="1"/>
          <w:color w:val="auto"/>
        </w:rPr>
        <w:t>Xilong Scientific</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520" w:hanging="512"/>
        <w:spacing w:after="0" w:line="256"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Fuzhou Jinqiang Investment Partnership(Limited Partnership)</w:t>
      </w:r>
      <w:r>
        <w:rPr>
          <w:rFonts w:ascii="Arial" w:cs="Arial" w:eastAsia="Arial" w:hAnsi="Arial"/>
          <w:sz w:val="22"/>
          <w:szCs w:val="22"/>
          <w:color w:val="auto"/>
        </w:rPr>
        <w:t>, a limited partnership validly organized and legally</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under the Laws of China (“</w:t>
      </w:r>
      <w:r>
        <w:rPr>
          <w:rFonts w:ascii="Arial" w:cs="Arial" w:eastAsia="Arial" w:hAnsi="Arial"/>
          <w:sz w:val="22"/>
          <w:szCs w:val="22"/>
          <w:b w:val="1"/>
          <w:bCs w:val="1"/>
          <w:color w:val="auto"/>
        </w:rPr>
        <w:t>Fuzhou Jinqiang</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ind w:left="520" w:hanging="512"/>
        <w:spacing w:after="0" w:line="256" w:lineRule="auto"/>
        <w:tabs>
          <w:tab w:leader="none" w:pos="52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Hanlin GAO</w:t>
      </w:r>
      <w:r>
        <w:rPr>
          <w:rFonts w:ascii="Arial" w:cs="Arial" w:eastAsia="Arial" w:hAnsi="Arial"/>
          <w:sz w:val="22"/>
          <w:szCs w:val="22"/>
          <w:color w:val="auto"/>
        </w:rPr>
        <w:t>, ID Card No.: ***, a natural person of Chinese nationality (together with “Fulgent”, “Shenzhen Mingrui” and</w:t>
      </w:r>
      <w:r>
        <w:rPr>
          <w:rFonts w:ascii="Arial" w:cs="Arial" w:eastAsia="Arial" w:hAnsi="Arial"/>
          <w:sz w:val="22"/>
          <w:szCs w:val="22"/>
          <w:b w:val="1"/>
          <w:bCs w:val="1"/>
          <w:color w:val="auto"/>
        </w:rPr>
        <w:t xml:space="preserve"> </w:t>
      </w:r>
      <w:r>
        <w:rPr>
          <w:rFonts w:ascii="Arial" w:cs="Arial" w:eastAsia="Arial" w:hAnsi="Arial"/>
          <w:sz w:val="22"/>
          <w:szCs w:val="22"/>
          <w:color w:val="auto"/>
        </w:rPr>
        <w:t>“Shenzhen Fujin”, the “</w:t>
      </w:r>
      <w:r>
        <w:rPr>
          <w:rFonts w:ascii="Arial" w:cs="Arial" w:eastAsia="Arial" w:hAnsi="Arial"/>
          <w:sz w:val="22"/>
          <w:szCs w:val="22"/>
          <w:b w:val="1"/>
          <w:bCs w:val="1"/>
          <w:color w:val="auto"/>
        </w:rPr>
        <w:t>Fulgent Entities</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520" w:hanging="512"/>
        <w:spacing w:after="0"/>
        <w:tabs>
          <w:tab w:leader="none" w:pos="52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Shaoyi CHEN</w:t>
      </w:r>
      <w:r>
        <w:rPr>
          <w:rFonts w:ascii="Arial" w:cs="Arial" w:eastAsia="Arial" w:hAnsi="Arial"/>
          <w:sz w:val="22"/>
          <w:szCs w:val="22"/>
          <w:color w:val="auto"/>
        </w:rPr>
        <w:t>, ID Card No.: ***, a natural person of Chinese nationality.</w:t>
      </w:r>
    </w:p>
    <w:p>
      <w:pPr>
        <w:spacing w:after="0" w:line="23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Each of the said parties are hereinafter individually referred to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For the purpose of this Agreement, “</w:t>
      </w:r>
      <w:r>
        <w:rPr>
          <w:rFonts w:ascii="Arial" w:cs="Arial" w:eastAsia="Arial" w:hAnsi="Arial"/>
          <w:sz w:val="19"/>
          <w:szCs w:val="19"/>
          <w:b w:val="1"/>
          <w:bCs w:val="1"/>
          <w:color w:val="auto"/>
        </w:rPr>
        <w:t>Laws of China</w:t>
      </w:r>
      <w:r>
        <w:rPr>
          <w:rFonts w:ascii="Arial" w:cs="Arial" w:eastAsia="Arial" w:hAnsi="Arial"/>
          <w:sz w:val="19"/>
          <w:szCs w:val="19"/>
          <w:color w:val="auto"/>
        </w:rPr>
        <w:t>” shall mean all laws, administrative regulations, rules, regulations, policy documents, regulations, decisions and policy documents of the local government or local government departments then in force of China.</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9" w:lineRule="exact"/>
        <w:rPr>
          <w:sz w:val="20"/>
          <w:szCs w:val="20"/>
          <w:color w:val="auto"/>
        </w:rPr>
      </w:pPr>
    </w:p>
    <w:p>
      <w:pPr>
        <w:ind w:left="580" w:hanging="572"/>
        <w:spacing w:after="0" w:line="250" w:lineRule="auto"/>
        <w:tabs>
          <w:tab w:leader="none" w:pos="5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As of the Date of Signing, the registered capital of Fujian Fulgent is CNY 100 million and its shareholding structure is set forth in </w:t>
      </w:r>
      <w:r>
        <w:rPr>
          <w:rFonts w:ascii="Arial" w:cs="Arial" w:eastAsia="Arial" w:hAnsi="Arial"/>
          <w:sz w:val="22"/>
          <w:szCs w:val="22"/>
          <w:u w:val="single" w:color="auto"/>
          <w:color w:val="auto"/>
        </w:rPr>
        <w:t>Annex 1</w:t>
      </w:r>
      <w:r>
        <w:rPr>
          <w:rFonts w:ascii="Arial" w:cs="Arial" w:eastAsia="Arial" w:hAnsi="Arial"/>
          <w:sz w:val="22"/>
          <w:szCs w:val="22"/>
          <w:color w:val="auto"/>
        </w:rPr>
        <w:t xml:space="preserve"> hereto.</w:t>
      </w:r>
    </w:p>
    <w:p>
      <w:pPr>
        <w:spacing w:after="0" w:line="201" w:lineRule="exact"/>
        <w:rPr>
          <w:rFonts w:ascii="Arial" w:cs="Arial" w:eastAsia="Arial" w:hAnsi="Arial"/>
          <w:sz w:val="22"/>
          <w:szCs w:val="22"/>
          <w:color w:val="auto"/>
        </w:rPr>
      </w:pPr>
    </w:p>
    <w:p>
      <w:pPr>
        <w:jc w:val="both"/>
        <w:ind w:left="580" w:hanging="572"/>
        <w:spacing w:after="0" w:line="297" w:lineRule="auto"/>
        <w:tabs>
          <w:tab w:leader="none" w:pos="5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Shenzhen Fujin, Xilong Scientific and Fuzhou Jinqiang entered into a </w:t>
      </w:r>
      <w:r>
        <w:rPr>
          <w:rFonts w:ascii="Arial" w:cs="Arial" w:eastAsia="Arial" w:hAnsi="Arial"/>
          <w:sz w:val="19"/>
          <w:szCs w:val="19"/>
          <w:i w:val="1"/>
          <w:iCs w:val="1"/>
          <w:color w:val="auto"/>
        </w:rPr>
        <w:t>Cooperation Agreement on the Joint Investment to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Establish Fujian Fujun Gene Biotech Co., Ltd.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Supplementary Agreement to the Cooperation Agreement on the Joint Investment to Establish Fujian Fujun Gene Biotech Co., Ltd. </w:t>
      </w:r>
      <w:r>
        <w:rPr>
          <w:rFonts w:ascii="Arial" w:cs="Arial" w:eastAsia="Arial" w:hAnsi="Arial"/>
          <w:sz w:val="19"/>
          <w:szCs w:val="19"/>
          <w:color w:val="auto"/>
        </w:rPr>
        <w:t>on April 1</w:t>
      </w:r>
      <w:r>
        <w:rPr>
          <w:rFonts w:ascii="Arial" w:cs="Arial" w:eastAsia="Arial" w:hAnsi="Arial"/>
          <w:sz w:val="16"/>
          <w:szCs w:val="16"/>
          <w:color w:val="auto"/>
        </w:rPr>
        <w:t>st</w:t>
      </w:r>
      <w:r>
        <w:rPr>
          <w:rFonts w:ascii="Arial" w:cs="Arial" w:eastAsia="Arial" w:hAnsi="Arial"/>
          <w:sz w:val="19"/>
          <w:szCs w:val="19"/>
          <w:color w:val="auto"/>
        </w:rPr>
        <w:t>, 2016 (the “</w:t>
      </w:r>
      <w:r>
        <w:rPr>
          <w:rFonts w:ascii="Arial" w:cs="Arial" w:eastAsia="Arial" w:hAnsi="Arial"/>
          <w:sz w:val="19"/>
          <w:szCs w:val="19"/>
          <w:b w:val="1"/>
          <w:bCs w:val="1"/>
          <w:color w:val="auto"/>
        </w:rPr>
        <w:t>Cooperation Agreement</w:t>
      </w:r>
      <w:r>
        <w:rPr>
          <w:rFonts w:ascii="Arial" w:cs="Arial" w:eastAsia="Arial" w:hAnsi="Arial"/>
          <w:sz w:val="19"/>
          <w:szCs w:val="19"/>
          <w:color w:val="auto"/>
        </w:rPr>
        <w:t>”);</w:t>
      </w:r>
    </w:p>
    <w:p>
      <w:pPr>
        <w:spacing w:after="0" w:line="161" w:lineRule="exact"/>
        <w:rPr>
          <w:sz w:val="20"/>
          <w:szCs w:val="20"/>
          <w:color w:val="auto"/>
        </w:rPr>
      </w:pPr>
    </w:p>
    <w:p>
      <w:pPr>
        <w:ind w:left="580" w:hanging="572"/>
        <w:spacing w:after="0" w:line="250" w:lineRule="auto"/>
        <w:tabs>
          <w:tab w:leader="none" w:pos="5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Parties agree to restructure the shareholding structure of Fujian Fulgent and to construct a VIE structure in accordance with the terms and conditions of this Agreement (the “</w:t>
      </w:r>
      <w:r>
        <w:rPr>
          <w:rFonts w:ascii="Arial" w:cs="Arial" w:eastAsia="Arial" w:hAnsi="Arial"/>
          <w:sz w:val="22"/>
          <w:szCs w:val="22"/>
          <w:b w:val="1"/>
          <w:bCs w:val="1"/>
          <w:color w:val="auto"/>
        </w:rPr>
        <w:t>Restructuring</w:t>
      </w:r>
      <w:r>
        <w:rPr>
          <w:rFonts w:ascii="Arial" w:cs="Arial" w:eastAsia="Arial" w:hAnsi="Arial"/>
          <w:sz w:val="22"/>
          <w:szCs w:val="22"/>
          <w:color w:val="auto"/>
        </w:rPr>
        <w:t>”).</w:t>
      </w:r>
    </w:p>
    <w:p>
      <w:pPr>
        <w:spacing w:after="0" w:line="202" w:lineRule="exact"/>
        <w:rPr>
          <w:sz w:val="20"/>
          <w:szCs w:val="20"/>
          <w:color w:val="auto"/>
        </w:rPr>
      </w:pPr>
    </w:p>
    <w:p>
      <w:pPr>
        <w:ind w:firstLine="569"/>
        <w:spacing w:after="0" w:line="250" w:lineRule="auto"/>
        <w:rPr>
          <w:sz w:val="20"/>
          <w:szCs w:val="20"/>
          <w:color w:val="auto"/>
        </w:rPr>
      </w:pPr>
      <w:r>
        <w:rPr>
          <w:rFonts w:ascii="Arial" w:cs="Arial" w:eastAsia="Arial" w:hAnsi="Arial"/>
          <w:sz w:val="22"/>
          <w:szCs w:val="22"/>
          <w:color w:val="auto"/>
        </w:rPr>
        <w:t>THEREFORE, the Parties hereto, based on the principle of equality and mutual benefit, enter into the following agreement with respect to the Restructuring.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0" w:name="page71"/>
    <w:bookmarkEnd w:id="70"/>
    <w:p>
      <w:pPr>
        <w:ind w:left="3660"/>
        <w:spacing w:after="0"/>
        <w:tabs>
          <w:tab w:leader="none" w:pos="498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color w:val="auto"/>
        </w:rPr>
        <w:t>Restructuring Arrangement</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Parties agree to complete the Restructuring in accordance with the steps set out below in this Article:</w:t>
      </w: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Domestic shareholding structure adjustment</w:t>
      </w:r>
    </w:p>
    <w:p>
      <w:pPr>
        <w:spacing w:after="0" w:line="23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Equity Transfer by Existing Shareholders</w:t>
      </w:r>
    </w:p>
    <w:p>
      <w:pPr>
        <w:spacing w:after="0" w:line="233" w:lineRule="exact"/>
        <w:rPr>
          <w:sz w:val="20"/>
          <w:szCs w:val="20"/>
          <w:color w:val="auto"/>
        </w:rPr>
      </w:pPr>
    </w:p>
    <w:p>
      <w:pPr>
        <w:jc w:val="both"/>
        <w:ind w:left="2160" w:hanging="883"/>
        <w:spacing w:after="0" w:line="272" w:lineRule="auto"/>
        <w:tabs>
          <w:tab w:leader="none" w:pos="21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Xilong Scientific agrees to transfer the registered capital of CNY 40,500,000 held by it in Fujian Fulgent (corresponding to 40.50% equity of Fujian Fulgent) to Shenzhen Fujin (“</w:t>
      </w:r>
      <w:r>
        <w:rPr>
          <w:rFonts w:ascii="Arial" w:cs="Arial" w:eastAsia="Arial" w:hAnsi="Arial"/>
          <w:sz w:val="19"/>
          <w:szCs w:val="19"/>
          <w:b w:val="1"/>
          <w:bCs w:val="1"/>
          <w:color w:val="auto"/>
        </w:rPr>
        <w:t>Xilong Equity Transfer</w:t>
      </w:r>
      <w:r>
        <w:rPr>
          <w:rFonts w:ascii="Arial" w:cs="Arial" w:eastAsia="Arial" w:hAnsi="Arial"/>
          <w:sz w:val="19"/>
          <w:szCs w:val="19"/>
          <w:color w:val="auto"/>
        </w:rPr>
        <w:t>”) at the price of CNY 1 (“</w:t>
      </w:r>
      <w:r>
        <w:rPr>
          <w:rFonts w:ascii="Arial" w:cs="Arial" w:eastAsia="Arial" w:hAnsi="Arial"/>
          <w:sz w:val="19"/>
          <w:szCs w:val="19"/>
          <w:b w:val="1"/>
          <w:bCs w:val="1"/>
          <w:color w:val="auto"/>
        </w:rPr>
        <w:t>Xilong Equity Transfer Price</w:t>
      </w:r>
      <w:r>
        <w:rPr>
          <w:rFonts w:ascii="Arial" w:cs="Arial" w:eastAsia="Arial" w:hAnsi="Arial"/>
          <w:sz w:val="19"/>
          <w:szCs w:val="19"/>
          <w:color w:val="auto"/>
        </w:rPr>
        <w:t>”). Fuzhou Jinqiang shall then agree to Xilong Equity Transfer and waive the right of first refusal. Xilong Scientific acknowledges that Shenzhen Fujin does not need to actually pay Xilong Equity Transfer Price, and Xilong Scientific shall issue a confirmation letter to Shenzhen Fujin for receipt of all Xilong Equity Transfer Price upon the execution of the equity transfer agreement on Xilong Equity Transfer. Shenzhen Fujin, Xilong Scientific and Fuzhou Jinqiang agree that, upon the completion of the Xilong Equity Transfer, they shall sign an articles of association of Fujian Fulgent, which shall include (but not be limited to) the following contents: (1) the board of directors of Fujian Fulgent shall consist of 3 directors, 2 of which shall be appointed by Shenzhen Fujin, 1 of which shall be the management of Fujian Fulgent nominated by Xilong Scientific, and the chairman shall be a director appointed by Shenzhen Fujin; (2) the chairman shall be the legal representative of the company.</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2160" w:hanging="883"/>
        <w:spacing w:after="0" w:line="236" w:lineRule="auto"/>
        <w:tabs>
          <w:tab w:leader="none" w:pos="21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Fuzhou Jinqiang agrees to transfer its equity of 4.5% (corresponding to registered capital of CNY 4,500,000 in Fujian Fulgent) to Shenzhen Fujin (“</w:t>
      </w:r>
      <w:r>
        <w:rPr>
          <w:rFonts w:ascii="Arial" w:cs="Arial" w:eastAsia="Arial" w:hAnsi="Arial"/>
          <w:sz w:val="22"/>
          <w:szCs w:val="22"/>
          <w:b w:val="1"/>
          <w:bCs w:val="1"/>
          <w:color w:val="auto"/>
        </w:rPr>
        <w:t>Jinqiang Equity Transfer</w:t>
      </w:r>
      <w:r>
        <w:rPr>
          <w:rFonts w:ascii="Arial" w:cs="Arial" w:eastAsia="Arial" w:hAnsi="Arial"/>
          <w:sz w:val="22"/>
          <w:szCs w:val="22"/>
          <w:color w:val="auto"/>
        </w:rPr>
        <w:t>”, together with “Xilong Equity Transfer”, the “</w:t>
      </w:r>
      <w:r>
        <w:rPr>
          <w:rFonts w:ascii="Arial" w:cs="Arial" w:eastAsia="Arial" w:hAnsi="Arial"/>
          <w:sz w:val="22"/>
          <w:szCs w:val="22"/>
          <w:b w:val="1"/>
          <w:bCs w:val="1"/>
          <w:color w:val="auto"/>
        </w:rPr>
        <w:t>Equity Transfer of Existing Shareholders</w:t>
      </w:r>
      <w:r>
        <w:rPr>
          <w:rFonts w:ascii="Arial" w:cs="Arial" w:eastAsia="Arial" w:hAnsi="Arial"/>
          <w:sz w:val="22"/>
          <w:szCs w:val="22"/>
          <w:color w:val="auto"/>
        </w:rPr>
        <w:t>”) at the price of CNY 1 (“</w:t>
      </w:r>
      <w:r>
        <w:rPr>
          <w:rFonts w:ascii="Arial" w:cs="Arial" w:eastAsia="Arial" w:hAnsi="Arial"/>
          <w:sz w:val="22"/>
          <w:szCs w:val="22"/>
          <w:b w:val="1"/>
          <w:bCs w:val="1"/>
          <w:color w:val="auto"/>
        </w:rPr>
        <w:t>Jinqiang</w:t>
      </w:r>
      <w:r>
        <w:rPr>
          <w:rFonts w:ascii="Arial" w:cs="Arial" w:eastAsia="Arial" w:hAnsi="Arial"/>
          <w:sz w:val="22"/>
          <w:szCs w:val="22"/>
          <w:color w:val="auto"/>
        </w:rPr>
        <w:t xml:space="preserve"> </w:t>
      </w:r>
      <w:r>
        <w:rPr>
          <w:rFonts w:ascii="Arial" w:cs="Arial" w:eastAsia="Arial" w:hAnsi="Arial"/>
          <w:sz w:val="22"/>
          <w:szCs w:val="22"/>
          <w:b w:val="1"/>
          <w:bCs w:val="1"/>
          <w:color w:val="auto"/>
        </w:rPr>
        <w:t>Equity Transfer Price</w:t>
      </w:r>
      <w:r>
        <w:rPr>
          <w:rFonts w:ascii="Arial" w:cs="Arial" w:eastAsia="Arial" w:hAnsi="Arial"/>
          <w:sz w:val="22"/>
          <w:szCs w:val="22"/>
          <w:color w:val="auto"/>
        </w:rPr>
        <w:t>”). Xilong Scientific shall then agree to Jinqiang Equity Transfer and waive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of first refusal. Fuzhou Jinqiang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71" w:name="page72"/>
    <w:bookmarkEnd w:id="71"/>
    <w:p>
      <w:pPr>
        <w:jc w:val="both"/>
        <w:ind w:left="2160" w:right="20"/>
        <w:spacing w:after="0" w:line="297" w:lineRule="auto"/>
        <w:rPr>
          <w:sz w:val="20"/>
          <w:szCs w:val="20"/>
          <w:color w:val="auto"/>
        </w:rPr>
      </w:pPr>
      <w:r>
        <w:rPr>
          <w:rFonts w:ascii="Arial" w:cs="Arial" w:eastAsia="Arial" w:hAnsi="Arial"/>
          <w:sz w:val="19"/>
          <w:szCs w:val="19"/>
          <w:color w:val="auto"/>
        </w:rPr>
        <w:t>acknowledges Shenzhen Fujin does not need to actually pay the Jinqiang Equity Transfer Price, and Fuzhou Jinqiang shall issue a confirmation letter to Shenzhen Fujin for receipt of all Jinqiang Equity Transfer Price upon the execution of the equity transfer agreement on Jinqiang Equity Transfer.</w:t>
      </w:r>
    </w:p>
    <w:p>
      <w:pPr>
        <w:spacing w:after="0" w:line="161" w:lineRule="exact"/>
        <w:rPr>
          <w:sz w:val="20"/>
          <w:szCs w:val="20"/>
          <w:color w:val="auto"/>
        </w:rPr>
      </w:pPr>
    </w:p>
    <w:p>
      <w:pPr>
        <w:jc w:val="both"/>
        <w:ind w:left="2160" w:right="20" w:hanging="883"/>
        <w:spacing w:after="0" w:line="273" w:lineRule="auto"/>
        <w:tabs>
          <w:tab w:leader="none" w:pos="21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Xilong Scientific and Fuzhou Jinqiang shall respectively sign with Shenzhen Fujin the equity transfer agreement, the resolution of the board of shareholders, the articles of association (or amendment to the articles of association) of Fujian Fulgent and other necessary documents related to the Equity Transfer of Existing Shareholders. Fujian Fulgent shall be responsible for completing the industrial and commercial registration of changes related to the Equity Transfer of Existing Shareholders and bear the corresponding expenses. The Parties further agree that, the condition for completing the equity transfer by existing shareholders (including relevant industrial and commercial registration of change) is that they have executed the Cayman Shares Transfer Agreement (as defined in Article 1.2.2(i) hereof) and that, with respect to the Xilong Equity Transfer, the board of shareholders (or any other competent authority) of Xilong Scientific has duly approved the Xilong Equity Transfer.</w:t>
      </w:r>
    </w:p>
    <w:p>
      <w:pPr>
        <w:spacing w:after="0" w:line="187" w:lineRule="exact"/>
        <w:rPr>
          <w:rFonts w:ascii="Arial" w:cs="Arial" w:eastAsia="Arial" w:hAnsi="Arial"/>
          <w:sz w:val="19"/>
          <w:szCs w:val="19"/>
          <w:color w:val="auto"/>
        </w:rPr>
      </w:pPr>
    </w:p>
    <w:p>
      <w:pPr>
        <w:ind w:left="2160" w:right="40" w:hanging="883"/>
        <w:spacing w:after="0" w:line="274" w:lineRule="auto"/>
        <w:tabs>
          <w:tab w:leader="none" w:pos="21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Upon the completion of the Equity Transfer of Existing Shareholders, the subscribed registered capital and shareholding ratio of each shareholder of Fujian Fulgent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00" w:type="dxa"/>
            <w:vAlign w:val="bottom"/>
            <w:tcBorders>
              <w:right w:val="single" w:sz="8" w:color="auto"/>
            </w:tcBorders>
          </w:tcPr>
          <w:p>
            <w:pPr>
              <w:spacing w:after="0"/>
              <w:rPr>
                <w:sz w:val="22"/>
                <w:szCs w:val="22"/>
                <w:color w:val="auto"/>
              </w:rPr>
            </w:pP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Shareholder</w:t>
            </w:r>
          </w:p>
        </w:tc>
        <w:tc>
          <w:tcPr>
            <w:tcW w:w="3760" w:type="dxa"/>
            <w:vAlign w:val="bottom"/>
            <w:tcBorders>
              <w:top w:val="single" w:sz="8" w:color="auto"/>
              <w:bottom w:val="single" w:sz="8" w:color="auto"/>
              <w:right w:val="single" w:sz="8" w:color="auto"/>
            </w:tcBorders>
          </w:tcPr>
          <w:p>
            <w:pPr>
              <w:jc w:val="right"/>
              <w:ind w:right="592"/>
              <w:spacing w:after="0"/>
              <w:rPr>
                <w:sz w:val="20"/>
                <w:szCs w:val="20"/>
                <w:color w:val="auto"/>
              </w:rPr>
            </w:pPr>
            <w:r>
              <w:rPr>
                <w:rFonts w:ascii="Arial" w:cs="Arial" w:eastAsia="Arial" w:hAnsi="Arial"/>
                <w:sz w:val="22"/>
                <w:szCs w:val="22"/>
                <w:b w:val="1"/>
                <w:bCs w:val="1"/>
                <w:color w:val="auto"/>
              </w:rPr>
              <w:t>Registered Capital (CNY)</w:t>
            </w:r>
          </w:p>
        </w:tc>
        <w:tc>
          <w:tcPr>
            <w:tcW w:w="264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22"/>
                <w:szCs w:val="22"/>
                <w:b w:val="1"/>
                <w:bCs w:val="1"/>
                <w:color w:val="auto"/>
              </w:rPr>
              <w:t>Shareholding Ratio</w:t>
            </w:r>
          </w:p>
        </w:tc>
        <w:tc>
          <w:tcPr>
            <w:tcW w:w="20" w:type="dxa"/>
            <w:vAlign w:val="bottom"/>
          </w:tcPr>
          <w:p>
            <w:pPr>
              <w:spacing w:after="0"/>
              <w:rPr>
                <w:sz w:val="22"/>
                <w:szCs w:val="22"/>
                <w:color w:val="auto"/>
              </w:rPr>
            </w:pPr>
          </w:p>
        </w:tc>
      </w:tr>
      <w:tr>
        <w:trPr>
          <w:trHeight w:val="237"/>
        </w:trPr>
        <w:tc>
          <w:tcPr>
            <w:tcW w:w="2200" w:type="dxa"/>
            <w:vAlign w:val="bottom"/>
            <w:tcBorders>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Shenzhen Fujin</w:t>
            </w:r>
          </w:p>
        </w:tc>
        <w:tc>
          <w:tcPr>
            <w:tcW w:w="37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75,000,000</w:t>
            </w: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75.00%</w:t>
            </w:r>
          </w:p>
        </w:tc>
        <w:tc>
          <w:tcPr>
            <w:tcW w:w="20" w:type="dxa"/>
            <w:vAlign w:val="bottom"/>
          </w:tcPr>
          <w:p>
            <w:pPr>
              <w:spacing w:after="0"/>
              <w:rPr>
                <w:sz w:val="20"/>
                <w:szCs w:val="20"/>
                <w:color w:val="auto"/>
              </w:rPr>
            </w:pPr>
          </w:p>
        </w:tc>
      </w:tr>
      <w:tr>
        <w:trPr>
          <w:trHeight w:val="237"/>
        </w:trPr>
        <w:tc>
          <w:tcPr>
            <w:tcW w:w="2200" w:type="dxa"/>
            <w:vAlign w:val="bottom"/>
            <w:tcBorders>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Xilong Scientific</w:t>
            </w:r>
          </w:p>
        </w:tc>
        <w:tc>
          <w:tcPr>
            <w:tcW w:w="37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10,500,000</w:t>
            </w: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10.5%</w:t>
            </w:r>
          </w:p>
        </w:tc>
        <w:tc>
          <w:tcPr>
            <w:tcW w:w="20" w:type="dxa"/>
            <w:vAlign w:val="bottom"/>
          </w:tcPr>
          <w:p>
            <w:pPr>
              <w:spacing w:after="0"/>
              <w:rPr>
                <w:sz w:val="20"/>
                <w:szCs w:val="20"/>
                <w:color w:val="auto"/>
              </w:rPr>
            </w:pPr>
          </w:p>
        </w:tc>
      </w:tr>
      <w:tr>
        <w:trPr>
          <w:trHeight w:val="237"/>
        </w:trPr>
        <w:tc>
          <w:tcPr>
            <w:tcW w:w="2200" w:type="dxa"/>
            <w:vAlign w:val="bottom"/>
            <w:tcBorders>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Fuzhou Jinqiang</w:t>
            </w:r>
          </w:p>
        </w:tc>
        <w:tc>
          <w:tcPr>
            <w:tcW w:w="37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14,500,000</w:t>
            </w: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14.5%</w:t>
            </w:r>
          </w:p>
        </w:tc>
        <w:tc>
          <w:tcPr>
            <w:tcW w:w="20" w:type="dxa"/>
            <w:vAlign w:val="bottom"/>
          </w:tcPr>
          <w:p>
            <w:pPr>
              <w:spacing w:after="0"/>
              <w:rPr>
                <w:sz w:val="20"/>
                <w:szCs w:val="20"/>
                <w:color w:val="auto"/>
              </w:rPr>
            </w:pPr>
          </w:p>
        </w:tc>
      </w:tr>
      <w:tr>
        <w:trPr>
          <w:trHeight w:val="236"/>
        </w:trPr>
        <w:tc>
          <w:tcPr>
            <w:tcW w:w="2200" w:type="dxa"/>
            <w:vAlign w:val="bottom"/>
            <w:tcBorders>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7"/>
              </w:rPr>
              <w:t>Total</w:t>
            </w:r>
          </w:p>
        </w:tc>
        <w:tc>
          <w:tcPr>
            <w:tcW w:w="37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100,000,000</w:t>
            </w:r>
          </w:p>
        </w:tc>
        <w:tc>
          <w:tcPr>
            <w:tcW w:w="26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5"/>
              </w:rPr>
              <w:t>100%</w:t>
            </w:r>
          </w:p>
        </w:tc>
        <w:tc>
          <w:tcPr>
            <w:tcW w:w="20" w:type="dxa"/>
            <w:vAlign w:val="bottom"/>
          </w:tcPr>
          <w:p>
            <w:pPr>
              <w:spacing w:after="0"/>
              <w:rPr>
                <w:sz w:val="20"/>
                <w:szCs w:val="20"/>
                <w:color w:val="auto"/>
              </w:rPr>
            </w:pPr>
          </w:p>
        </w:tc>
      </w:tr>
      <w:tr>
        <w:trPr>
          <w:trHeight w:val="949"/>
        </w:trPr>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60" w:type="dxa"/>
            <w:vAlign w:val="bottom"/>
          </w:tcPr>
          <w:p>
            <w:pPr>
              <w:jc w:val="right"/>
              <w:ind w:right="2812"/>
              <w:spacing w:after="0"/>
              <w:rPr>
                <w:sz w:val="20"/>
                <w:szCs w:val="20"/>
                <w:color w:val="auto"/>
              </w:rPr>
            </w:pPr>
            <w:r>
              <w:rPr>
                <w:rFonts w:ascii="Arial" w:cs="Arial" w:eastAsia="Arial" w:hAnsi="Arial"/>
                <w:sz w:val="22"/>
                <w:szCs w:val="22"/>
                <w:color w:val="auto"/>
              </w:rPr>
              <w:t>4</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20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1" w:right="319" w:bottom="1440" w:gutter="0" w:footer="0" w:header="0"/>
        </w:sectPr>
      </w:pPr>
    </w:p>
    <w:bookmarkStart w:id="72" w:name="page73"/>
    <w:bookmarkEnd w:id="72"/>
    <w:p>
      <w:pPr>
        <w:spacing w:after="0"/>
        <w:tabs>
          <w:tab w:leader="none" w:pos="6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Employee Shareholding Platform</w:t>
      </w:r>
    </w:p>
    <w:p>
      <w:pPr>
        <w:spacing w:after="0" w:line="233" w:lineRule="exact"/>
        <w:rPr>
          <w:sz w:val="20"/>
          <w:szCs w:val="20"/>
          <w:color w:val="auto"/>
        </w:rPr>
      </w:pPr>
    </w:p>
    <w:p>
      <w:pPr>
        <w:jc w:val="both"/>
        <w:ind w:left="1580" w:hanging="883"/>
        <w:spacing w:after="0" w:line="257" w:lineRule="auto"/>
        <w:tabs>
          <w:tab w:leader="none" w:pos="15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Parties agree that, Hanlin GAO, as the general partner, and the entity designated by Fulgent, as the limited partners, will establish a limited partnership, which will serve as a shareholding platform for employee stock ownership incentive (the “</w:t>
      </w:r>
      <w:r>
        <w:rPr>
          <w:rFonts w:ascii="Arial" w:cs="Arial" w:eastAsia="Arial" w:hAnsi="Arial"/>
          <w:sz w:val="21"/>
          <w:szCs w:val="21"/>
          <w:b w:val="1"/>
          <w:bCs w:val="1"/>
          <w:color w:val="auto"/>
        </w:rPr>
        <w:t>Employee Shareholding Platform</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left="1580" w:hanging="883"/>
        <w:spacing w:after="0" w:line="246" w:lineRule="auto"/>
        <w:tabs>
          <w:tab w:leader="none" w:pos="15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Shenzhen Fujin agrees to transfer the registered capital of CNY 10,500,000 held by it in Fujian Fulgent (corresponding to 10.50% of equity of Fujian Fulgent) to the Employee Shareholding Platform (“</w:t>
      </w:r>
      <w:r>
        <w:rPr>
          <w:rFonts w:ascii="Arial" w:cs="Arial" w:eastAsia="Arial" w:hAnsi="Arial"/>
          <w:sz w:val="21"/>
          <w:szCs w:val="21"/>
          <w:b w:val="1"/>
          <w:bCs w:val="1"/>
          <w:color w:val="auto"/>
        </w:rPr>
        <w:t>Fujin</w:t>
      </w:r>
      <w:r>
        <w:rPr>
          <w:rFonts w:ascii="Arial" w:cs="Arial" w:eastAsia="Arial" w:hAnsi="Arial"/>
          <w:sz w:val="21"/>
          <w:szCs w:val="21"/>
          <w:color w:val="auto"/>
        </w:rPr>
        <w:t xml:space="preserve"> </w:t>
      </w:r>
      <w:r>
        <w:rPr>
          <w:rFonts w:ascii="Arial" w:cs="Arial" w:eastAsia="Arial" w:hAnsi="Arial"/>
          <w:sz w:val="21"/>
          <w:szCs w:val="21"/>
          <w:b w:val="1"/>
          <w:bCs w:val="1"/>
          <w:color w:val="auto"/>
        </w:rPr>
        <w:t>Equity Transfer</w:t>
      </w:r>
      <w:r>
        <w:rPr>
          <w:rFonts w:ascii="Arial" w:cs="Arial" w:eastAsia="Arial" w:hAnsi="Arial"/>
          <w:sz w:val="21"/>
          <w:szCs w:val="21"/>
          <w:color w:val="auto"/>
        </w:rPr>
        <w:t>”) at the price of CNY 1 (“</w:t>
      </w:r>
      <w:r>
        <w:rPr>
          <w:rFonts w:ascii="Arial" w:cs="Arial" w:eastAsia="Arial" w:hAnsi="Arial"/>
          <w:sz w:val="21"/>
          <w:szCs w:val="21"/>
          <w:b w:val="1"/>
          <w:bCs w:val="1"/>
          <w:color w:val="auto"/>
        </w:rPr>
        <w:t>Fujin Equity Transfer Price</w:t>
      </w:r>
      <w:r>
        <w:rPr>
          <w:rFonts w:ascii="Arial" w:cs="Arial" w:eastAsia="Arial" w:hAnsi="Arial"/>
          <w:sz w:val="21"/>
          <w:szCs w:val="21"/>
          <w:color w:val="auto"/>
        </w:rPr>
        <w:t>”). Xilong Scientific and</w:t>
      </w:r>
      <w:r>
        <w:rPr>
          <w:rFonts w:ascii="Arial" w:cs="Arial" w:eastAsia="Arial" w:hAnsi="Arial"/>
          <w:sz w:val="21"/>
          <w:szCs w:val="21"/>
          <w:b w:val="1"/>
          <w:bCs w:val="1"/>
          <w:color w:val="auto"/>
        </w:rPr>
        <w:t xml:space="preserve"> </w:t>
      </w:r>
      <w:r>
        <w:rPr>
          <w:rFonts w:ascii="Arial" w:cs="Arial" w:eastAsia="Arial" w:hAnsi="Arial"/>
          <w:sz w:val="21"/>
          <w:szCs w:val="21"/>
          <w:color w:val="auto"/>
        </w:rPr>
        <w:t>Fuzhou Jinqiang shall then agree to Fujin Equity Transfer and waive the right of first refusal. Shenzhen Fujin acknowledges that the Employee Shareholding Platform does not need to actually pay Fujin Equity Transfer Price, and Shenzhen Fujin shall issue a confirmation letter to the Employee Shareholding Platform for receipt of all Fujin Equity Transfer Price upon the execution of the equity transfer agreement on Fujin Equity Transfer.</w:t>
      </w:r>
    </w:p>
    <w:p>
      <w:pPr>
        <w:spacing w:after="0" w:line="206" w:lineRule="exact"/>
        <w:rPr>
          <w:rFonts w:ascii="Arial" w:cs="Arial" w:eastAsia="Arial" w:hAnsi="Arial"/>
          <w:sz w:val="21"/>
          <w:szCs w:val="21"/>
          <w:color w:val="auto"/>
        </w:rPr>
      </w:pPr>
    </w:p>
    <w:p>
      <w:pPr>
        <w:jc w:val="both"/>
        <w:ind w:left="1580" w:hanging="883"/>
        <w:spacing w:after="0" w:line="245" w:lineRule="auto"/>
        <w:tabs>
          <w:tab w:leader="none" w:pos="15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Shenzhen Fujin, Xilong Scientific and Fuzhou Jinqiang shall cooperate in signing the resolution of the board of shareholders, the articles of association of Fujian Fulgent and other necessary documents related to the Fujin Equity Transfer. Fujian Fulgent shall be responsible for completing the industrial and commercial registration of changes related to the Fujin Equity Transfer and bear the corresponding expenses. The Parties further agree that, the condition for the commercial and industrial registration of change with respect to the Fujin Equity Transfer is that the Parties have executed the Cayman Shares Transfer Agreement (as defined in Article 1.2.2(i) hereof) and Fulgent VIE Agreements (as defined in Article 1.2.2 (iii)), and the Parties have executed relevant Equity Transfer Agreement relating to the equity transfer by existing shareholders.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62865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60"/>
          </w:cols>
          <w:pgMar w:left="900" w:top="537" w:right="339" w:bottom="1440" w:gutter="0" w:footer="0" w:header="0"/>
        </w:sectPr>
      </w:pPr>
    </w:p>
    <w:bookmarkStart w:id="73" w:name="page74"/>
    <w:bookmarkEnd w:id="73"/>
    <w:p>
      <w:pPr>
        <w:ind w:left="1580" w:hanging="883"/>
        <w:spacing w:after="0" w:line="250" w:lineRule="auto"/>
        <w:tabs>
          <w:tab w:leader="none" w:pos="1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Upon the completion of Fujin Equity Transfer, the subscribed registered capital and shareholding ratio of each shareholder of Fujian Fulgent are as follows:</w:t>
      </w:r>
    </w:p>
    <w:p>
      <w:pPr>
        <w:spacing w:after="0" w:line="203" w:lineRule="exact"/>
        <w:rPr>
          <w:sz w:val="20"/>
          <w:szCs w:val="20"/>
          <w:color w:val="auto"/>
        </w:rPr>
      </w:pPr>
    </w:p>
    <w:tbl>
      <w:tblPr>
        <w:tblLayout w:type="fixed"/>
        <w:tblInd w:w="16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Shareholder</w:t>
            </w:r>
          </w:p>
        </w:tc>
        <w:tc>
          <w:tcPr>
            <w:tcW w:w="29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Registered Capital (CNY)</w:t>
            </w:r>
          </w:p>
        </w:tc>
        <w:tc>
          <w:tcPr>
            <w:tcW w:w="282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22"/>
                <w:szCs w:val="22"/>
                <w:b w:val="1"/>
                <w:bCs w:val="1"/>
                <w:color w:val="auto"/>
              </w:rPr>
              <w:t>Shareholding Ratio</w:t>
            </w:r>
          </w:p>
        </w:tc>
      </w:tr>
      <w:tr>
        <w:trPr>
          <w:trHeight w:val="237"/>
        </w:trPr>
        <w:tc>
          <w:tcPr>
            <w:tcW w:w="3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Shenzhen Fujin</w:t>
            </w:r>
          </w:p>
        </w:tc>
        <w:tc>
          <w:tcPr>
            <w:tcW w:w="2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64,500,000</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64.50%</w:t>
            </w:r>
          </w:p>
        </w:tc>
      </w:tr>
      <w:tr>
        <w:trPr>
          <w:trHeight w:val="237"/>
        </w:trPr>
        <w:tc>
          <w:tcPr>
            <w:tcW w:w="3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Xilong Scientific</w:t>
            </w:r>
          </w:p>
        </w:tc>
        <w:tc>
          <w:tcPr>
            <w:tcW w:w="2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10,500,000</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10.50%</w:t>
            </w:r>
          </w:p>
        </w:tc>
      </w:tr>
      <w:tr>
        <w:trPr>
          <w:trHeight w:val="236"/>
        </w:trPr>
        <w:tc>
          <w:tcPr>
            <w:tcW w:w="3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Fuzhou Jinqiang</w:t>
            </w:r>
          </w:p>
        </w:tc>
        <w:tc>
          <w:tcPr>
            <w:tcW w:w="2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14,500,000</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14.50%</w:t>
            </w:r>
          </w:p>
        </w:tc>
      </w:tr>
      <w:tr>
        <w:trPr>
          <w:trHeight w:val="237"/>
        </w:trPr>
        <w:tc>
          <w:tcPr>
            <w:tcW w:w="3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Employee Shareholding Platform</w:t>
            </w:r>
          </w:p>
        </w:tc>
        <w:tc>
          <w:tcPr>
            <w:tcW w:w="2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10,500,000</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10.50%</w:t>
            </w:r>
          </w:p>
        </w:tc>
      </w:tr>
      <w:tr>
        <w:trPr>
          <w:trHeight w:val="237"/>
        </w:trPr>
        <w:tc>
          <w:tcPr>
            <w:tcW w:w="3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1"/>
              </w:rPr>
              <w:t>Total</w:t>
            </w:r>
          </w:p>
        </w:tc>
        <w:tc>
          <w:tcPr>
            <w:tcW w:w="2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100,000,000</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5"/>
              </w:rPr>
              <w:t>100%</w:t>
            </w:r>
          </w:p>
        </w:tc>
      </w:tr>
    </w:tbl>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Paid-in capital contribution and shareholder loan</w:t>
      </w:r>
    </w:p>
    <w:p>
      <w:pPr>
        <w:spacing w:after="0" w:line="233" w:lineRule="exact"/>
        <w:rPr>
          <w:sz w:val="20"/>
          <w:szCs w:val="20"/>
          <w:color w:val="auto"/>
        </w:rPr>
      </w:pPr>
    </w:p>
    <w:p>
      <w:pPr>
        <w:jc w:val="both"/>
        <w:ind w:left="1580" w:hanging="883"/>
        <w:spacing w:after="0" w:line="235" w:lineRule="auto"/>
        <w:tabs>
          <w:tab w:leader="none" w:pos="15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Xilong Scientific, Shenzhen Fujin and Fuzhou Jinqiang acknowledge that, as of the Date of Signing, they have paid CNY 60,500,000, CNY 30,113,690 and CNY 0 to Fujian Fulgent respectively. Fujian Fulgent, Xilong Scientific, Shenzhen Fujin and Fuzhou Jinqiang agree that Xilong Scientific and Shenzhen Fujin shall no longer make the remaining payment (if any) to Fujian Fulgent and that Fujian Fulgent shall convert the corresponding amount of capital reserve into paid-in capital contributions of relevant shareholders.</w:t>
      </w:r>
    </w:p>
    <w:p>
      <w:pPr>
        <w:spacing w:after="0" w:line="208" w:lineRule="exact"/>
        <w:rPr>
          <w:rFonts w:ascii="Arial" w:cs="Arial" w:eastAsia="Arial" w:hAnsi="Arial"/>
          <w:sz w:val="22"/>
          <w:szCs w:val="22"/>
          <w:color w:val="auto"/>
        </w:rPr>
      </w:pPr>
    </w:p>
    <w:p>
      <w:pPr>
        <w:jc w:val="both"/>
        <w:ind w:left="1580" w:hanging="883"/>
        <w:spacing w:after="0" w:line="236" w:lineRule="auto"/>
        <w:tabs>
          <w:tab w:leader="none" w:pos="15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Xilong Scientific agrees to enter into a written loan agreement (“</w:t>
      </w:r>
      <w:r>
        <w:rPr>
          <w:rFonts w:ascii="Arial" w:cs="Arial" w:eastAsia="Arial" w:hAnsi="Arial"/>
          <w:sz w:val="22"/>
          <w:szCs w:val="22"/>
          <w:b w:val="1"/>
          <w:bCs w:val="1"/>
          <w:color w:val="auto"/>
        </w:rPr>
        <w:t>Loan Agreement</w:t>
      </w:r>
      <w:r>
        <w:rPr>
          <w:rFonts w:ascii="Arial" w:cs="Arial" w:eastAsia="Arial" w:hAnsi="Arial"/>
          <w:sz w:val="22"/>
          <w:szCs w:val="22"/>
          <w:color w:val="auto"/>
        </w:rPr>
        <w:t>”) with Fujian Fulgent and its subsidiaries, Fuzhou Furui Medical Laboratory Co., Ltd and Shanghai Fulgent Biotechnology Co., Ltd, agreeing that the loans of CNY 38,108,504.69 previously lent by Xilong Scientific to the related parties shall be repaid on December 31, 2022. The interest will be calculated from June 1, 2021 at a rate of 4.97% per annum (calculated on actual days if it is less than one year), and Shenzhen Fujin will provide a guarantee for the said loan.</w:t>
      </w:r>
    </w:p>
    <w:p>
      <w:pPr>
        <w:spacing w:after="0" w:line="200" w:lineRule="exact"/>
        <w:rPr>
          <w:sz w:val="20"/>
          <w:szCs w:val="20"/>
          <w:color w:val="auto"/>
        </w:rPr>
      </w:pPr>
    </w:p>
    <w:p>
      <w:pPr>
        <w:spacing w:after="0" w:line="23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62865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60"/>
          </w:cols>
          <w:pgMar w:left="900" w:top="537" w:right="339" w:bottom="1440" w:gutter="0" w:footer="0" w:header="0"/>
        </w:sectPr>
      </w:pPr>
    </w:p>
    <w:bookmarkStart w:id="74" w:name="page75"/>
    <w:bookmarkEnd w:id="74"/>
    <w:p>
      <w:pPr>
        <w:spacing w:after="0"/>
        <w:tabs>
          <w:tab w:leader="none" w:pos="5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Construction of VIE structure</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9"/>
          <w:szCs w:val="19"/>
          <w:color w:val="auto"/>
        </w:rPr>
        <w:t>Fulgent, Xilong Scientific and Fuzhou Jinqiang agree to construct the VIE structure for Fujian Fulgent as agreed in Article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15"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Establishment of entities</w:t>
      </w:r>
    </w:p>
    <w:p>
      <w:pPr>
        <w:spacing w:after="0" w:line="233" w:lineRule="exact"/>
        <w:rPr>
          <w:sz w:val="20"/>
          <w:szCs w:val="20"/>
          <w:color w:val="auto"/>
        </w:rPr>
      </w:pPr>
    </w:p>
    <w:p>
      <w:pPr>
        <w:jc w:val="both"/>
        <w:ind w:left="2160" w:hanging="883"/>
        <w:spacing w:after="0" w:line="252" w:lineRule="auto"/>
        <w:tabs>
          <w:tab w:leader="none" w:pos="21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Xilong Scientific shall, as soon as possible after the signing of this Agreement, complete the filing and registration procedures with the competent department of development and reform, the ministry of commerce, and the administration of foreign exchange in the place where it is located (“</w:t>
      </w:r>
      <w:r>
        <w:rPr>
          <w:rFonts w:ascii="Arial" w:cs="Arial" w:eastAsia="Arial" w:hAnsi="Arial"/>
          <w:sz w:val="21"/>
          <w:szCs w:val="21"/>
          <w:b w:val="1"/>
          <w:bCs w:val="1"/>
          <w:color w:val="auto"/>
        </w:rPr>
        <w:t>ODI Filing</w:t>
      </w:r>
      <w:r>
        <w:rPr>
          <w:rFonts w:ascii="Arial" w:cs="Arial" w:eastAsia="Arial" w:hAnsi="Arial"/>
          <w:sz w:val="21"/>
          <w:szCs w:val="21"/>
          <w:color w:val="auto"/>
        </w:rPr>
        <w:t>”) with respect to Xilong Scientific and Fuzhou Jinqiang’s overseas investment.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5" w:name="page76"/>
    <w:bookmarkEnd w:id="75"/>
    <w:p>
      <w:pPr>
        <w:jc w:val="both"/>
        <w:ind w:left="1040" w:hanging="883"/>
        <w:spacing w:after="0" w:line="245" w:lineRule="auto"/>
        <w:tabs>
          <w:tab w:leader="none" w:pos="1040" w:val="left"/>
        </w:tabs>
        <w:numPr>
          <w:ilvl w:val="0"/>
          <w:numId w:val="30"/>
        </w:numPr>
        <w:rPr>
          <w:rFonts w:ascii="Arial" w:cs="Arial" w:eastAsia="Arial" w:hAnsi="Arial"/>
          <w:sz w:val="21"/>
          <w:szCs w:val="21"/>
          <w:color w:val="auto"/>
        </w:rPr>
      </w:pPr>
      <w:r>
        <w:rPr>
          <w:rFonts w:ascii="Arial" w:cs="Arial" w:eastAsia="Arial" w:hAnsi="Arial"/>
          <w:sz w:val="21"/>
          <w:szCs w:val="21"/>
          <w:color w:val="auto"/>
        </w:rPr>
        <w:t>Fulgent shall be responsible for establishing a limited liability company in the Cayman Islands (the “</w:t>
      </w:r>
      <w:r>
        <w:rPr>
          <w:rFonts w:ascii="Arial" w:cs="Arial" w:eastAsia="Arial" w:hAnsi="Arial"/>
          <w:sz w:val="21"/>
          <w:szCs w:val="21"/>
          <w:b w:val="1"/>
          <w:bCs w:val="1"/>
          <w:color w:val="auto"/>
        </w:rPr>
        <w:t>Cayman Company</w:t>
      </w:r>
      <w:r>
        <w:rPr>
          <w:rFonts w:ascii="Arial" w:cs="Arial" w:eastAsia="Arial" w:hAnsi="Arial"/>
          <w:sz w:val="21"/>
          <w:szCs w:val="21"/>
          <w:color w:val="auto"/>
        </w:rPr>
        <w:t>”). The authorized share capital of the Cayman Company shall be USD 50,000, with a par price of USD 0.0001 per share, for a total of 500,000,000 authorized shares. The Cayman Company shall issue 69,000,000 ordinary shares to Fulgent (or its designated entity, as applicable). Xilong Scientific and Fuzhou Jinqiang acknowledge that, in order to avoid violation of relevant requirements of ODI Filing, Xilong Scientific and Fuzhou Jinqiang shall not hold any shares of the Cayman Company prior to the completion of ODI Filing. Upon completion of the ODI Filing, Fulgent shall cause the Cayman Company to issue 102,000,000 ordinary shares to Xilong Scientific and 29,000,000 ordinary shares to Fuzhou Jinqiang. After the issuance of the aforesaid shares, the Cayman Company’s equity structure shall be as follows:</w:t>
      </w:r>
    </w:p>
    <w:p>
      <w:pPr>
        <w:spacing w:after="0" w:line="209" w:lineRule="exact"/>
        <w:rPr>
          <w:sz w:val="20"/>
          <w:szCs w:val="20"/>
          <w:color w:val="auto"/>
        </w:rPr>
      </w:pPr>
    </w:p>
    <w:tbl>
      <w:tblPr>
        <w:tblLayout w:type="fixed"/>
        <w:tblInd w:w="1070" w:type="dxa"/>
        <w:tblCellMar>
          <w:top w:w="0" w:type="dxa"/>
          <w:left w:w="0" w:type="dxa"/>
          <w:bottom w:w="0" w:type="dxa"/>
          <w:right w:w="0" w:type="dxa"/>
        </w:tblCellMar>
      </w:tblPr>
      <w:tr>
        <w:trPr>
          <w:trHeight w:val="257"/>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Shareholder</w:t>
            </w:r>
          </w:p>
        </w:tc>
        <w:tc>
          <w:tcPr>
            <w:tcW w:w="262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22"/>
                <w:szCs w:val="22"/>
                <w:b w:val="1"/>
                <w:bCs w:val="1"/>
                <w:color w:val="auto"/>
              </w:rPr>
              <w:t>Number of Shares</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Type of Shares</w:t>
            </w:r>
          </w:p>
        </w:tc>
        <w:tc>
          <w:tcPr>
            <w:tcW w:w="23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rPr>
              <w:t>Shareholding Ratio</w:t>
            </w:r>
          </w:p>
        </w:tc>
      </w:tr>
      <w:tr>
        <w:trPr>
          <w:trHeight w:val="236"/>
        </w:trPr>
        <w:tc>
          <w:tcPr>
            <w:tcW w:w="2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Fulgent</w:t>
            </w:r>
          </w:p>
        </w:tc>
        <w:tc>
          <w:tcPr>
            <w:tcW w:w="2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69,000,000</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34.50%</w:t>
            </w:r>
          </w:p>
        </w:tc>
      </w:tr>
      <w:tr>
        <w:trPr>
          <w:trHeight w:val="237"/>
        </w:trPr>
        <w:tc>
          <w:tcPr>
            <w:tcW w:w="2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Xilong Scientific</w:t>
            </w:r>
          </w:p>
        </w:tc>
        <w:tc>
          <w:tcPr>
            <w:tcW w:w="2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102,000,000</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51.00%</w:t>
            </w:r>
          </w:p>
        </w:tc>
      </w:tr>
      <w:tr>
        <w:trPr>
          <w:trHeight w:val="237"/>
        </w:trPr>
        <w:tc>
          <w:tcPr>
            <w:tcW w:w="2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Fuzhou Jinqiang</w:t>
            </w:r>
          </w:p>
        </w:tc>
        <w:tc>
          <w:tcPr>
            <w:tcW w:w="2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29,000,000</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14.50%</w:t>
            </w:r>
          </w:p>
        </w:tc>
      </w:tr>
      <w:tr>
        <w:trPr>
          <w:trHeight w:val="237"/>
        </w:trPr>
        <w:tc>
          <w:tcPr>
            <w:tcW w:w="2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1"/>
              </w:rPr>
              <w:t>Total</w:t>
            </w:r>
          </w:p>
        </w:tc>
        <w:tc>
          <w:tcPr>
            <w:tcW w:w="2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200,000,000</w:t>
            </w:r>
          </w:p>
        </w:tc>
        <w:tc>
          <w:tcPr>
            <w:tcW w:w="16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7"/>
              </w:rPr>
              <w:t>/</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5"/>
              </w:rPr>
              <w:t>100%</w:t>
            </w:r>
          </w:p>
        </w:tc>
      </w:tr>
    </w:tbl>
    <w:p>
      <w:pPr>
        <w:spacing w:after="0" w:line="200" w:lineRule="exact"/>
        <w:rPr>
          <w:sz w:val="20"/>
          <w:szCs w:val="20"/>
          <w:color w:val="auto"/>
        </w:rPr>
      </w:pPr>
    </w:p>
    <w:p>
      <w:pPr>
        <w:spacing w:after="0" w:line="238" w:lineRule="exact"/>
        <w:rPr>
          <w:sz w:val="20"/>
          <w:szCs w:val="20"/>
          <w:color w:val="auto"/>
        </w:rPr>
      </w:pPr>
    </w:p>
    <w:p>
      <w:pPr>
        <w:jc w:val="both"/>
        <w:ind w:left="1040" w:hanging="883"/>
        <w:spacing w:after="0" w:line="235" w:lineRule="auto"/>
        <w:tabs>
          <w:tab w:leader="none" w:pos="1040" w:val="left"/>
        </w:tabs>
        <w:numPr>
          <w:ilvl w:val="0"/>
          <w:numId w:val="31"/>
        </w:numPr>
        <w:rPr>
          <w:rFonts w:ascii="Arial" w:cs="Arial" w:eastAsia="Arial" w:hAnsi="Arial"/>
          <w:sz w:val="21"/>
          <w:szCs w:val="21"/>
          <w:color w:val="auto"/>
        </w:rPr>
      </w:pPr>
      <w:r>
        <w:rPr>
          <w:rFonts w:ascii="Arial" w:cs="Arial" w:eastAsia="Arial" w:hAnsi="Arial"/>
          <w:sz w:val="22"/>
          <w:szCs w:val="22"/>
          <w:color w:val="auto"/>
        </w:rPr>
        <w:t>Fulgent, Xilong Scientific and Fuzhou Jinqiang agree that after the establishment of the Cayman Company, Cayman Company shall establish a limited liability company wholly owned by the Cayman Company in Hong Kong (the “</w:t>
      </w:r>
      <w:r>
        <w:rPr>
          <w:rFonts w:ascii="Arial" w:cs="Arial" w:eastAsia="Arial" w:hAnsi="Arial"/>
          <w:sz w:val="22"/>
          <w:szCs w:val="22"/>
          <w:b w:val="1"/>
          <w:bCs w:val="1"/>
          <w:color w:val="auto"/>
        </w:rPr>
        <w:t>Hong Kong Company</w:t>
      </w:r>
      <w:r>
        <w:rPr>
          <w:rFonts w:ascii="Arial" w:cs="Arial" w:eastAsia="Arial" w:hAnsi="Arial"/>
          <w:sz w:val="22"/>
          <w:szCs w:val="22"/>
          <w:color w:val="auto"/>
        </w:rPr>
        <w:t>”) and Hong Kong Company shall establish a wholly foreign-owned enterprise (the “</w:t>
      </w:r>
      <w:r>
        <w:rPr>
          <w:rFonts w:ascii="Arial" w:cs="Arial" w:eastAsia="Arial" w:hAnsi="Arial"/>
          <w:sz w:val="22"/>
          <w:szCs w:val="22"/>
          <w:b w:val="1"/>
          <w:bCs w:val="1"/>
          <w:color w:val="auto"/>
        </w:rPr>
        <w:t>WFOE</w:t>
      </w:r>
      <w:r>
        <w:rPr>
          <w:rFonts w:ascii="Arial" w:cs="Arial" w:eastAsia="Arial" w:hAnsi="Arial"/>
          <w:sz w:val="22"/>
          <w:szCs w:val="22"/>
          <w:color w:val="auto"/>
        </w:rPr>
        <w:t>”) in Shenzhen. The Parties agree that the Hong Kong Company shall have one director and the WFOE shall have an executive director, and the director of the Hong</w:t>
      </w: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37" w:right="339" w:bottom="1440" w:gutter="0" w:footer="0" w:header="0"/>
        </w:sectPr>
      </w:pPr>
    </w:p>
    <w:bookmarkStart w:id="76" w:name="page77"/>
    <w:bookmarkEnd w:id="76"/>
    <w:p>
      <w:pPr>
        <w:ind w:left="2160" w:right="20"/>
        <w:spacing w:after="0" w:line="250" w:lineRule="auto"/>
        <w:rPr>
          <w:sz w:val="20"/>
          <w:szCs w:val="20"/>
          <w:color w:val="auto"/>
        </w:rPr>
      </w:pPr>
      <w:r>
        <w:rPr>
          <w:rFonts w:ascii="Arial" w:cs="Arial" w:eastAsia="Arial" w:hAnsi="Arial"/>
          <w:sz w:val="22"/>
          <w:szCs w:val="22"/>
          <w:color w:val="auto"/>
        </w:rPr>
        <w:t>Kong Company, the executive director and the legal representative of the WFOE shall be those persons designated by Fulgent.</w:t>
      </w:r>
    </w:p>
    <w:p>
      <w:pPr>
        <w:spacing w:after="0" w:line="20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Shares Transfer by the Cayman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ind w:left="1280"/>
              <w:spacing w:after="0"/>
              <w:rPr>
                <w:sz w:val="20"/>
                <w:szCs w:val="20"/>
                <w:color w:val="auto"/>
              </w:rPr>
            </w:pPr>
            <w:r>
              <w:rPr>
                <w:rFonts w:ascii="Arial" w:cs="Arial" w:eastAsia="Arial" w:hAnsi="Arial"/>
                <w:sz w:val="21"/>
                <w:szCs w:val="21"/>
                <w:color w:val="auto"/>
              </w:rPr>
              <w:t>(i)</w:t>
            </w:r>
          </w:p>
        </w:tc>
        <w:tc>
          <w:tcPr>
            <w:tcW w:w="9420" w:type="dxa"/>
            <w:vAlign w:val="bottom"/>
            <w:gridSpan w:val="6"/>
          </w:tcPr>
          <w:p>
            <w:pPr>
              <w:ind w:left="320"/>
              <w:spacing w:after="0"/>
              <w:rPr>
                <w:sz w:val="20"/>
                <w:szCs w:val="20"/>
                <w:color w:val="auto"/>
              </w:rPr>
            </w:pPr>
            <w:r>
              <w:rPr>
                <w:rFonts w:ascii="Arial" w:cs="Arial" w:eastAsia="Arial" w:hAnsi="Arial"/>
                <w:sz w:val="22"/>
                <w:szCs w:val="22"/>
                <w:color w:val="auto"/>
                <w:w w:val="90"/>
              </w:rPr>
              <w:t>Xilong Scientific, after acquiring the appropriate shares in Cayman Company in accordance with Article</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color w:val="auto"/>
                <w:w w:val="90"/>
              </w:rPr>
              <w:t>1.2.1(ii) above, shall enter into an agreement for transfer of shares in Cayman Company (the “</w:t>
            </w:r>
            <w:r>
              <w:rPr>
                <w:rFonts w:ascii="Arial" w:cs="Arial" w:eastAsia="Arial" w:hAnsi="Arial"/>
                <w:sz w:val="22"/>
                <w:szCs w:val="22"/>
                <w:b w:val="1"/>
                <w:bCs w:val="1"/>
                <w:color w:val="auto"/>
                <w:w w:val="90"/>
              </w:rPr>
              <w:t>Cayman</w:t>
            </w:r>
          </w:p>
        </w:tc>
      </w:tr>
      <w:tr>
        <w:trPr>
          <w:trHeight w:val="249"/>
        </w:trPr>
        <w:tc>
          <w:tcPr>
            <w:tcW w:w="1840" w:type="dxa"/>
            <w:vAlign w:val="bottom"/>
          </w:tcPr>
          <w:p>
            <w:pPr>
              <w:spacing w:after="0"/>
              <w:rPr>
                <w:sz w:val="21"/>
                <w:szCs w:val="21"/>
                <w:color w:val="auto"/>
              </w:rPr>
            </w:pPr>
          </w:p>
        </w:tc>
        <w:tc>
          <w:tcPr>
            <w:tcW w:w="9420" w:type="dxa"/>
            <w:vAlign w:val="bottom"/>
            <w:gridSpan w:val="6"/>
          </w:tcPr>
          <w:p>
            <w:pPr>
              <w:ind w:left="320"/>
              <w:spacing w:after="0" w:line="249" w:lineRule="exact"/>
              <w:rPr>
                <w:sz w:val="20"/>
                <w:szCs w:val="20"/>
                <w:color w:val="auto"/>
              </w:rPr>
            </w:pPr>
            <w:r>
              <w:rPr>
                <w:rFonts w:ascii="Arial" w:cs="Arial" w:eastAsia="Arial" w:hAnsi="Arial"/>
                <w:sz w:val="22"/>
                <w:szCs w:val="22"/>
                <w:b w:val="1"/>
                <w:bCs w:val="1"/>
                <w:color w:val="auto"/>
                <w:w w:val="99"/>
              </w:rPr>
              <w:t>Shares Transfer Agreement</w:t>
            </w:r>
            <w:r>
              <w:rPr>
                <w:rFonts w:ascii="Arial" w:cs="Arial" w:eastAsia="Arial" w:hAnsi="Arial"/>
                <w:sz w:val="22"/>
                <w:szCs w:val="22"/>
                <w:color w:val="auto"/>
                <w:w w:val="99"/>
              </w:rPr>
              <w:t>”) with Fulgent (or its designated entity, as applicable) to transfer</w:t>
            </w:r>
          </w:p>
        </w:tc>
      </w:tr>
      <w:tr>
        <w:trPr>
          <w:trHeight w:val="237"/>
        </w:trPr>
        <w:tc>
          <w:tcPr>
            <w:tcW w:w="1840" w:type="dxa"/>
            <w:vAlign w:val="bottom"/>
          </w:tcPr>
          <w:p>
            <w:pPr>
              <w:spacing w:after="0"/>
              <w:rPr>
                <w:sz w:val="20"/>
                <w:szCs w:val="20"/>
                <w:color w:val="auto"/>
              </w:rPr>
            </w:pPr>
          </w:p>
        </w:tc>
        <w:tc>
          <w:tcPr>
            <w:tcW w:w="9420" w:type="dxa"/>
            <w:vAlign w:val="bottom"/>
            <w:gridSpan w:val="6"/>
          </w:tcPr>
          <w:p>
            <w:pPr>
              <w:ind w:left="320"/>
              <w:spacing w:after="0" w:line="237" w:lineRule="exact"/>
              <w:rPr>
                <w:sz w:val="20"/>
                <w:szCs w:val="20"/>
                <w:color w:val="auto"/>
              </w:rPr>
            </w:pPr>
            <w:r>
              <w:rPr>
                <w:rFonts w:ascii="Arial" w:cs="Arial" w:eastAsia="Arial" w:hAnsi="Arial"/>
                <w:sz w:val="22"/>
                <w:szCs w:val="22"/>
                <w:color w:val="auto"/>
                <w:w w:val="90"/>
              </w:rPr>
              <w:t>81,000,000 ordinary shares in Cayman Company to Fulgent (or its designated entity, as applicable) (the</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color w:val="auto"/>
                <w:w w:val="97"/>
              </w:rPr>
              <w:t>Cayman Shares Transfer</w:t>
            </w:r>
            <w:r>
              <w:rPr>
                <w:rFonts w:ascii="Arial" w:cs="Arial" w:eastAsia="Arial" w:hAnsi="Arial"/>
                <w:sz w:val="22"/>
                <w:szCs w:val="22"/>
                <w:color w:val="auto"/>
                <w:w w:val="97"/>
              </w:rPr>
              <w:t>”) at a price of CNY 122 million (or equivalent in USD) (the “</w:t>
            </w:r>
            <w:r>
              <w:rPr>
                <w:rFonts w:ascii="Arial" w:cs="Arial" w:eastAsia="Arial" w:hAnsi="Arial"/>
                <w:sz w:val="22"/>
                <w:szCs w:val="22"/>
                <w:b w:val="1"/>
                <w:bCs w:val="1"/>
                <w:color w:val="auto"/>
                <w:w w:val="97"/>
              </w:rPr>
              <w:t>Cayman</w:t>
            </w:r>
          </w:p>
        </w:tc>
      </w:tr>
      <w:tr>
        <w:trPr>
          <w:trHeight w:val="249"/>
        </w:trPr>
        <w:tc>
          <w:tcPr>
            <w:tcW w:w="1840" w:type="dxa"/>
            <w:vAlign w:val="bottom"/>
          </w:tcPr>
          <w:p>
            <w:pPr>
              <w:spacing w:after="0"/>
              <w:rPr>
                <w:sz w:val="21"/>
                <w:szCs w:val="21"/>
                <w:color w:val="auto"/>
              </w:rPr>
            </w:pPr>
          </w:p>
        </w:tc>
        <w:tc>
          <w:tcPr>
            <w:tcW w:w="9420" w:type="dxa"/>
            <w:vAlign w:val="bottom"/>
            <w:gridSpan w:val="6"/>
          </w:tcPr>
          <w:p>
            <w:pPr>
              <w:ind w:left="320"/>
              <w:spacing w:after="0" w:line="249" w:lineRule="exact"/>
              <w:rPr>
                <w:sz w:val="20"/>
                <w:szCs w:val="20"/>
                <w:color w:val="auto"/>
              </w:rPr>
            </w:pPr>
            <w:r>
              <w:rPr>
                <w:rFonts w:ascii="Arial" w:cs="Arial" w:eastAsia="Arial" w:hAnsi="Arial"/>
                <w:sz w:val="22"/>
                <w:szCs w:val="22"/>
                <w:b w:val="1"/>
                <w:bCs w:val="1"/>
                <w:color w:val="auto"/>
                <w:w w:val="90"/>
              </w:rPr>
              <w:t>Shares Transfer Price</w:t>
            </w:r>
            <w:r>
              <w:rPr>
                <w:rFonts w:ascii="Arial" w:cs="Arial" w:eastAsia="Arial" w:hAnsi="Arial"/>
                <w:sz w:val="22"/>
                <w:szCs w:val="22"/>
                <w:color w:val="auto"/>
                <w:w w:val="90"/>
              </w:rPr>
              <w:t>”). Upon execution of the Cayman Shares Transfer Agreement, Xilong Scientific</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color w:val="auto"/>
                <w:w w:val="93"/>
              </w:rPr>
              <w:t>shall cooperate with Fulgent and the Cayman Company to update the register of shareholders of the</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color w:val="auto"/>
                <w:w w:val="89"/>
              </w:rPr>
              <w:t>Cayman Company as soon as possible and register the aforesaid shares of the Cayman Company in the</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color w:val="auto"/>
                <w:w w:val="92"/>
              </w:rPr>
              <w:t>name of Fulgent (or its designated entity, as applicable). Upon the completion of the Cayman Shares</w:t>
            </w:r>
          </w:p>
        </w:tc>
      </w:tr>
      <w:tr>
        <w:trPr>
          <w:trHeight w:val="274"/>
        </w:trPr>
        <w:tc>
          <w:tcPr>
            <w:tcW w:w="1840" w:type="dxa"/>
            <w:vAlign w:val="bottom"/>
          </w:tcPr>
          <w:p>
            <w:pPr>
              <w:spacing w:after="0"/>
              <w:rPr>
                <w:sz w:val="23"/>
                <w:szCs w:val="23"/>
                <w:color w:val="auto"/>
              </w:rPr>
            </w:pPr>
          </w:p>
        </w:tc>
        <w:tc>
          <w:tcPr>
            <w:tcW w:w="7040" w:type="dxa"/>
            <w:vAlign w:val="bottom"/>
            <w:gridSpan w:val="4"/>
          </w:tcPr>
          <w:p>
            <w:pPr>
              <w:ind w:left="320"/>
              <w:spacing w:after="0"/>
              <w:rPr>
                <w:sz w:val="20"/>
                <w:szCs w:val="20"/>
                <w:color w:val="auto"/>
              </w:rPr>
            </w:pPr>
            <w:r>
              <w:rPr>
                <w:rFonts w:ascii="Arial" w:cs="Arial" w:eastAsia="Arial" w:hAnsi="Arial"/>
                <w:sz w:val="22"/>
                <w:szCs w:val="22"/>
                <w:color w:val="auto"/>
                <w:w w:val="94"/>
              </w:rPr>
              <w:t>Transfer, Cayman Company’s shareholding structure shall be as follows:</w:t>
            </w: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3"/>
        </w:trPr>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8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Shareholder</w:t>
            </w:r>
          </w:p>
        </w:tc>
        <w:tc>
          <w:tcPr>
            <w:tcW w:w="2300" w:type="dxa"/>
            <w:vAlign w:val="bottom"/>
            <w:tcBorders>
              <w:bottom w:val="single" w:sz="8" w:color="auto"/>
              <w:right w:val="single" w:sz="8" w:color="auto"/>
            </w:tcBorders>
          </w:tcPr>
          <w:p>
            <w:pPr>
              <w:jc w:val="right"/>
              <w:ind w:right="212"/>
              <w:spacing w:after="0" w:line="237" w:lineRule="exact"/>
              <w:rPr>
                <w:sz w:val="20"/>
                <w:szCs w:val="20"/>
                <w:color w:val="auto"/>
              </w:rPr>
            </w:pPr>
            <w:r>
              <w:rPr>
                <w:rFonts w:ascii="Arial" w:cs="Arial" w:eastAsia="Arial" w:hAnsi="Arial"/>
                <w:sz w:val="22"/>
                <w:szCs w:val="22"/>
                <w:b w:val="1"/>
                <w:bCs w:val="1"/>
                <w:color w:val="auto"/>
              </w:rPr>
              <w:t>Number of Shares</w:t>
            </w: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Type of Shares</w:t>
            </w:r>
          </w:p>
        </w:tc>
        <w:tc>
          <w:tcPr>
            <w:tcW w:w="2360" w:type="dxa"/>
            <w:vAlign w:val="bottom"/>
            <w:tcBorders>
              <w:bottom w:val="single" w:sz="8" w:color="auto"/>
              <w:right w:val="single" w:sz="8" w:color="auto"/>
            </w:tcBorders>
          </w:tcPr>
          <w:p>
            <w:pPr>
              <w:ind w:left="260"/>
              <w:spacing w:after="0" w:line="237" w:lineRule="exact"/>
              <w:rPr>
                <w:sz w:val="20"/>
                <w:szCs w:val="20"/>
                <w:color w:val="auto"/>
              </w:rPr>
            </w:pPr>
            <w:r>
              <w:rPr>
                <w:rFonts w:ascii="Arial" w:cs="Arial" w:eastAsia="Arial" w:hAnsi="Arial"/>
                <w:sz w:val="22"/>
                <w:szCs w:val="22"/>
                <w:b w:val="1"/>
                <w:bCs w:val="1"/>
                <w:color w:val="auto"/>
              </w:rPr>
              <w:t>Shareholding Ratio</w:t>
            </w:r>
          </w:p>
        </w:tc>
        <w:tc>
          <w:tcPr>
            <w:tcW w:w="20" w:type="dxa"/>
            <w:vAlign w:val="bottom"/>
          </w:tcPr>
          <w:p>
            <w:pPr>
              <w:spacing w:after="0"/>
              <w:rPr>
                <w:sz w:val="20"/>
                <w:szCs w:val="20"/>
                <w:color w:val="auto"/>
              </w:rPr>
            </w:pPr>
          </w:p>
        </w:tc>
      </w:tr>
      <w:tr>
        <w:trPr>
          <w:trHeight w:val="237"/>
        </w:trPr>
        <w:tc>
          <w:tcPr>
            <w:tcW w:w="18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Fulgent</w:t>
            </w:r>
          </w:p>
        </w:tc>
        <w:tc>
          <w:tcPr>
            <w:tcW w:w="23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150,000,000</w:t>
            </w: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Ordinary share</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75.00%</w:t>
            </w:r>
          </w:p>
        </w:tc>
        <w:tc>
          <w:tcPr>
            <w:tcW w:w="20" w:type="dxa"/>
            <w:vAlign w:val="bottom"/>
          </w:tcPr>
          <w:p>
            <w:pPr>
              <w:spacing w:after="0"/>
              <w:rPr>
                <w:sz w:val="20"/>
                <w:szCs w:val="20"/>
                <w:color w:val="auto"/>
              </w:rPr>
            </w:pPr>
          </w:p>
        </w:tc>
      </w:tr>
      <w:tr>
        <w:trPr>
          <w:trHeight w:val="237"/>
        </w:trPr>
        <w:tc>
          <w:tcPr>
            <w:tcW w:w="18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Xilong Scientific</w:t>
            </w:r>
          </w:p>
        </w:tc>
        <w:tc>
          <w:tcPr>
            <w:tcW w:w="23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21,000,000</w:t>
            </w: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Ordinary share</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10.50%</w:t>
            </w:r>
          </w:p>
        </w:tc>
        <w:tc>
          <w:tcPr>
            <w:tcW w:w="20" w:type="dxa"/>
            <w:vAlign w:val="bottom"/>
          </w:tcPr>
          <w:p>
            <w:pPr>
              <w:spacing w:after="0"/>
              <w:rPr>
                <w:sz w:val="20"/>
                <w:szCs w:val="20"/>
                <w:color w:val="auto"/>
              </w:rPr>
            </w:pPr>
          </w:p>
        </w:tc>
      </w:tr>
      <w:tr>
        <w:trPr>
          <w:trHeight w:val="237"/>
        </w:trPr>
        <w:tc>
          <w:tcPr>
            <w:tcW w:w="18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Fuzhou Jinqiang</w:t>
            </w:r>
          </w:p>
        </w:tc>
        <w:tc>
          <w:tcPr>
            <w:tcW w:w="23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29,000,000</w:t>
            </w: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Ordinary share</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14.50%</w:t>
            </w:r>
          </w:p>
        </w:tc>
        <w:tc>
          <w:tcPr>
            <w:tcW w:w="20" w:type="dxa"/>
            <w:vAlign w:val="bottom"/>
          </w:tcPr>
          <w:p>
            <w:pPr>
              <w:spacing w:after="0"/>
              <w:rPr>
                <w:sz w:val="20"/>
                <w:szCs w:val="20"/>
                <w:color w:val="auto"/>
              </w:rPr>
            </w:pPr>
          </w:p>
        </w:tc>
      </w:tr>
      <w:tr>
        <w:trPr>
          <w:trHeight w:val="237"/>
        </w:trPr>
        <w:tc>
          <w:tcPr>
            <w:tcW w:w="18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1"/>
              </w:rPr>
              <w:t>Total</w:t>
            </w:r>
          </w:p>
        </w:tc>
        <w:tc>
          <w:tcPr>
            <w:tcW w:w="23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200,000,000</w:t>
            </w: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7"/>
              </w:rPr>
              <w:t>/</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5"/>
              </w:rPr>
              <w:t>100%</w:t>
            </w:r>
          </w:p>
        </w:tc>
        <w:tc>
          <w:tcPr>
            <w:tcW w:w="20" w:type="dxa"/>
            <w:vAlign w:val="bottom"/>
          </w:tcPr>
          <w:p>
            <w:pPr>
              <w:spacing w:after="0"/>
              <w:rPr>
                <w:sz w:val="20"/>
                <w:szCs w:val="20"/>
                <w:color w:val="auto"/>
              </w:rPr>
            </w:pPr>
          </w:p>
        </w:tc>
      </w:tr>
      <w:tr>
        <w:trPr>
          <w:trHeight w:val="452"/>
        </w:trPr>
        <w:tc>
          <w:tcPr>
            <w:tcW w:w="1840" w:type="dxa"/>
            <w:vAlign w:val="bottom"/>
          </w:tcPr>
          <w:p>
            <w:pPr>
              <w:ind w:left="1280"/>
              <w:spacing w:after="0"/>
              <w:rPr>
                <w:sz w:val="20"/>
                <w:szCs w:val="20"/>
                <w:color w:val="auto"/>
              </w:rPr>
            </w:pPr>
            <w:r>
              <w:rPr>
                <w:rFonts w:ascii="Arial" w:cs="Arial" w:eastAsia="Arial" w:hAnsi="Arial"/>
                <w:sz w:val="21"/>
                <w:szCs w:val="21"/>
                <w:color w:val="auto"/>
              </w:rPr>
              <w:t>(ii)</w:t>
            </w:r>
          </w:p>
        </w:tc>
        <w:tc>
          <w:tcPr>
            <w:tcW w:w="9420" w:type="dxa"/>
            <w:vAlign w:val="bottom"/>
            <w:gridSpan w:val="6"/>
          </w:tcPr>
          <w:p>
            <w:pPr>
              <w:ind w:left="320"/>
              <w:spacing w:after="0"/>
              <w:rPr>
                <w:sz w:val="20"/>
                <w:szCs w:val="20"/>
                <w:color w:val="auto"/>
              </w:rPr>
            </w:pPr>
            <w:r>
              <w:rPr>
                <w:rFonts w:ascii="Arial" w:cs="Arial" w:eastAsia="Arial" w:hAnsi="Arial"/>
                <w:sz w:val="22"/>
                <w:szCs w:val="22"/>
                <w:color w:val="auto"/>
                <w:w w:val="91"/>
              </w:rPr>
              <w:t>Fulgent agrees that the Cayman Company shall repurchase at par 21,000,000 ordinary shares held by</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color w:val="auto"/>
                <w:w w:val="92"/>
              </w:rPr>
              <w:t>Fulgent in the Cayman Company upon the completion of the Cayman Shares Transfer (the “</w:t>
            </w:r>
            <w:r>
              <w:rPr>
                <w:rFonts w:ascii="Arial" w:cs="Arial" w:eastAsia="Arial" w:hAnsi="Arial"/>
                <w:sz w:val="22"/>
                <w:szCs w:val="22"/>
                <w:b w:val="1"/>
                <w:bCs w:val="1"/>
                <w:color w:val="auto"/>
                <w:w w:val="92"/>
              </w:rPr>
              <w:t>Cayman</w:t>
            </w:r>
          </w:p>
        </w:tc>
      </w:tr>
      <w:tr>
        <w:trPr>
          <w:trHeight w:val="243"/>
        </w:trPr>
        <w:tc>
          <w:tcPr>
            <w:tcW w:w="1840" w:type="dxa"/>
            <w:vAlign w:val="bottom"/>
          </w:tcPr>
          <w:p>
            <w:pPr>
              <w:spacing w:after="0"/>
              <w:rPr>
                <w:sz w:val="21"/>
                <w:szCs w:val="21"/>
                <w:color w:val="auto"/>
              </w:rPr>
            </w:pPr>
          </w:p>
        </w:tc>
        <w:tc>
          <w:tcPr>
            <w:tcW w:w="9420" w:type="dxa"/>
            <w:vAlign w:val="bottom"/>
            <w:gridSpan w:val="6"/>
          </w:tcPr>
          <w:p>
            <w:pPr>
              <w:ind w:left="320"/>
              <w:spacing w:after="0" w:line="243" w:lineRule="exact"/>
              <w:rPr>
                <w:sz w:val="20"/>
                <w:szCs w:val="20"/>
                <w:color w:val="auto"/>
              </w:rPr>
            </w:pPr>
            <w:r>
              <w:rPr>
                <w:rFonts w:ascii="Arial" w:cs="Arial" w:eastAsia="Arial" w:hAnsi="Arial"/>
                <w:sz w:val="22"/>
                <w:szCs w:val="22"/>
                <w:b w:val="1"/>
                <w:bCs w:val="1"/>
                <w:color w:val="auto"/>
                <w:w w:val="88"/>
              </w:rPr>
              <w:t>Shares Repurchase</w:t>
            </w:r>
            <w:r>
              <w:rPr>
                <w:rFonts w:ascii="Arial" w:cs="Arial" w:eastAsia="Arial" w:hAnsi="Arial"/>
                <w:sz w:val="22"/>
                <w:szCs w:val="22"/>
                <w:color w:val="auto"/>
                <w:w w:val="88"/>
              </w:rPr>
              <w:t>”), and reserve such 21,000,000 ordinary shares (the “</w:t>
            </w:r>
            <w:r>
              <w:rPr>
                <w:rFonts w:ascii="Arial" w:cs="Arial" w:eastAsia="Arial" w:hAnsi="Arial"/>
                <w:sz w:val="22"/>
                <w:szCs w:val="22"/>
                <w:b w:val="1"/>
                <w:bCs w:val="1"/>
                <w:color w:val="auto"/>
                <w:w w:val="88"/>
              </w:rPr>
              <w:t>Option Pool</w:t>
            </w:r>
            <w:r>
              <w:rPr>
                <w:rFonts w:ascii="Arial" w:cs="Arial" w:eastAsia="Arial" w:hAnsi="Arial"/>
                <w:sz w:val="22"/>
                <w:szCs w:val="22"/>
                <w:color w:val="auto"/>
                <w:w w:val="88"/>
              </w:rPr>
              <w:t>”) for the purpose</w:t>
            </w:r>
          </w:p>
        </w:tc>
      </w:tr>
      <w:tr>
        <w:trPr>
          <w:trHeight w:val="280"/>
        </w:trPr>
        <w:tc>
          <w:tcPr>
            <w:tcW w:w="1840" w:type="dxa"/>
            <w:vAlign w:val="bottom"/>
          </w:tcPr>
          <w:p>
            <w:pPr>
              <w:spacing w:after="0"/>
              <w:rPr>
                <w:sz w:val="24"/>
                <w:szCs w:val="24"/>
                <w:color w:val="auto"/>
              </w:rPr>
            </w:pPr>
          </w:p>
        </w:tc>
        <w:tc>
          <w:tcPr>
            <w:tcW w:w="5140" w:type="dxa"/>
            <w:vAlign w:val="bottom"/>
            <w:gridSpan w:val="3"/>
          </w:tcPr>
          <w:p>
            <w:pPr>
              <w:ind w:left="320"/>
              <w:spacing w:after="0"/>
              <w:rPr>
                <w:sz w:val="20"/>
                <w:szCs w:val="20"/>
                <w:color w:val="auto"/>
              </w:rPr>
            </w:pPr>
            <w:r>
              <w:rPr>
                <w:rFonts w:ascii="Arial" w:cs="Arial" w:eastAsia="Arial" w:hAnsi="Arial"/>
                <w:sz w:val="22"/>
                <w:szCs w:val="22"/>
                <w:color w:val="auto"/>
                <w:w w:val="93"/>
              </w:rPr>
              <w:t>of an employee stock ownership plan (“</w:t>
            </w:r>
            <w:r>
              <w:rPr>
                <w:rFonts w:ascii="Arial" w:cs="Arial" w:eastAsia="Arial" w:hAnsi="Arial"/>
                <w:sz w:val="22"/>
                <w:szCs w:val="22"/>
                <w:b w:val="1"/>
                <w:bCs w:val="1"/>
                <w:color w:val="auto"/>
                <w:w w:val="93"/>
              </w:rPr>
              <w:t>ESOP</w:t>
            </w:r>
            <w:r>
              <w:rPr>
                <w:rFonts w:ascii="Arial" w:cs="Arial" w:eastAsia="Arial" w:hAnsi="Arial"/>
                <w:sz w:val="22"/>
                <w:szCs w:val="22"/>
                <w:color w:val="auto"/>
                <w:w w:val="93"/>
              </w:rPr>
              <w:t>”) to be</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2"/>
        </w:trPr>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00" w:type="dxa"/>
            <w:vAlign w:val="bottom"/>
          </w:tcPr>
          <w:p>
            <w:pPr>
              <w:jc w:val="right"/>
              <w:ind w:right="1192"/>
              <w:spacing w:after="0"/>
              <w:rPr>
                <w:sz w:val="20"/>
                <w:szCs w:val="20"/>
                <w:color w:val="auto"/>
              </w:rPr>
            </w:pPr>
            <w:r>
              <w:rPr>
                <w:rFonts w:ascii="Arial" w:cs="Arial" w:eastAsia="Arial" w:hAnsi="Arial"/>
                <w:sz w:val="22"/>
                <w:szCs w:val="22"/>
                <w:color w:val="auto"/>
              </w:rPr>
              <w:t>9</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8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1" w:right="319" w:bottom="1440" w:gutter="0" w:footer="0" w:header="0"/>
        </w:sectPr>
      </w:pPr>
    </w:p>
    <w:bookmarkStart w:id="77" w:name="page78"/>
    <w:bookmarkEnd w:id="77"/>
    <w:p>
      <w:pPr>
        <w:ind w:left="1040"/>
        <w:spacing w:after="0" w:line="250" w:lineRule="auto"/>
        <w:rPr>
          <w:sz w:val="20"/>
          <w:szCs w:val="20"/>
          <w:color w:val="auto"/>
        </w:rPr>
      </w:pPr>
      <w:r>
        <w:rPr>
          <w:rFonts w:ascii="Arial" w:cs="Arial" w:eastAsia="Arial" w:hAnsi="Arial"/>
          <w:sz w:val="22"/>
          <w:szCs w:val="22"/>
          <w:color w:val="auto"/>
        </w:rPr>
        <w:t>established in the future. Upon the completion of the Cayman Shares Repurchase, the Cayman Company’s shareholding structure (at the fully diluted basis) shall be as follows:</w:t>
      </w:r>
    </w:p>
    <w:p>
      <w:pPr>
        <w:spacing w:after="0" w:line="203" w:lineRule="exact"/>
        <w:rPr>
          <w:sz w:val="20"/>
          <w:szCs w:val="20"/>
          <w:color w:val="auto"/>
        </w:rPr>
      </w:pPr>
    </w:p>
    <w:tbl>
      <w:tblPr>
        <w:tblLayout w:type="fixed"/>
        <w:tblInd w:w="1070" w:type="dxa"/>
        <w:tblCellMar>
          <w:top w:w="0" w:type="dxa"/>
          <w:left w:w="0" w:type="dxa"/>
          <w:bottom w:w="0" w:type="dxa"/>
          <w:right w:w="0" w:type="dxa"/>
        </w:tblCellMar>
      </w:tblPr>
      <w:tr>
        <w:trPr>
          <w:trHeight w:val="257"/>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Shareholder</w:t>
            </w:r>
          </w:p>
        </w:tc>
        <w:tc>
          <w:tcPr>
            <w:tcW w:w="236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22"/>
                <w:szCs w:val="22"/>
                <w:b w:val="1"/>
                <w:bCs w:val="1"/>
                <w:color w:val="auto"/>
              </w:rPr>
              <w:t>Number of Shares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Type of Shares</w:t>
            </w:r>
          </w:p>
        </w:tc>
        <w:tc>
          <w:tcPr>
            <w:tcW w:w="234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Shareholding Ratio</w:t>
            </w:r>
          </w:p>
        </w:tc>
      </w:tr>
      <w:tr>
        <w:trPr>
          <w:trHeight w:val="237"/>
        </w:trPr>
        <w:tc>
          <w:tcPr>
            <w:tcW w:w="25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Fulgent</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129,000,000</w:t>
            </w:r>
          </w:p>
        </w:tc>
        <w:tc>
          <w:tcPr>
            <w:tcW w:w="1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64.50%</w:t>
            </w:r>
          </w:p>
        </w:tc>
      </w:tr>
      <w:tr>
        <w:trPr>
          <w:trHeight w:val="236"/>
        </w:trPr>
        <w:tc>
          <w:tcPr>
            <w:tcW w:w="25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Xilong Scientific</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21,000,000</w:t>
            </w:r>
          </w:p>
        </w:tc>
        <w:tc>
          <w:tcPr>
            <w:tcW w:w="1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10.50%</w:t>
            </w:r>
          </w:p>
        </w:tc>
      </w:tr>
      <w:tr>
        <w:trPr>
          <w:trHeight w:val="237"/>
        </w:trPr>
        <w:tc>
          <w:tcPr>
            <w:tcW w:w="25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Fuzhou Jinqiang</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29,000,000</w:t>
            </w:r>
          </w:p>
        </w:tc>
        <w:tc>
          <w:tcPr>
            <w:tcW w:w="1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14.50%</w:t>
            </w:r>
          </w:p>
        </w:tc>
      </w:tr>
      <w:tr>
        <w:trPr>
          <w:trHeight w:val="237"/>
        </w:trPr>
        <w:tc>
          <w:tcPr>
            <w:tcW w:w="25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Option Pool (reserved)</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21,000,000</w:t>
            </w:r>
          </w:p>
        </w:tc>
        <w:tc>
          <w:tcPr>
            <w:tcW w:w="1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Ordinary share</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10.50%</w:t>
            </w:r>
          </w:p>
        </w:tc>
      </w:tr>
      <w:tr>
        <w:trPr>
          <w:trHeight w:val="237"/>
        </w:trPr>
        <w:tc>
          <w:tcPr>
            <w:tcW w:w="25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1"/>
              </w:rPr>
              <w:t>Total</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200,000,000</w:t>
            </w:r>
          </w:p>
        </w:tc>
        <w:tc>
          <w:tcPr>
            <w:tcW w:w="1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7"/>
              </w:rPr>
              <w:t>/</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5"/>
              </w:rPr>
              <w:t>100%</w:t>
            </w:r>
          </w:p>
        </w:tc>
      </w:tr>
    </w:tbl>
    <w:p>
      <w:pPr>
        <w:spacing w:after="0" w:line="195" w:lineRule="exact"/>
        <w:rPr>
          <w:sz w:val="20"/>
          <w:szCs w:val="20"/>
          <w:color w:val="auto"/>
        </w:rPr>
      </w:pPr>
    </w:p>
    <w:p>
      <w:pPr>
        <w:jc w:val="both"/>
        <w:ind w:left="1040" w:hanging="883"/>
        <w:spacing w:after="0" w:line="271" w:lineRule="auto"/>
        <w:tabs>
          <w:tab w:leader="none" w:pos="10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Cayman Shares Transfer Agreement shall stipulate that the conditions for Fulgent (or its designated entity, as applicable) to pay the Cayman Shares Transfer Price in full are at least the following (the “</w:t>
      </w:r>
      <w:r>
        <w:rPr>
          <w:rFonts w:ascii="Arial" w:cs="Arial" w:eastAsia="Arial" w:hAnsi="Arial"/>
          <w:sz w:val="19"/>
          <w:szCs w:val="19"/>
          <w:b w:val="1"/>
          <w:bCs w:val="1"/>
          <w:color w:val="auto"/>
        </w:rPr>
        <w:t>Conditions of Payment</w:t>
      </w:r>
      <w:r>
        <w:rPr>
          <w:rFonts w:ascii="Arial" w:cs="Arial" w:eastAsia="Arial" w:hAnsi="Arial"/>
          <w:sz w:val="19"/>
          <w:szCs w:val="19"/>
          <w:color w:val="auto"/>
        </w:rPr>
        <w:t>”): (1) all matters set forth in Article 1.1 hereof have been completed to the satisfaction of Fulgent, and the Parties concerned shall have paid to the relevant tax authorities all taxes and fees due to all matters set forth in Article 1.1 and Article 1.2 hereof in accordance with applicable laws; (2) Shenzhen Fujin, Xilong Scientific, Fuzhou Jinqiang, the Employee Shareholding Platform, Fujian Fulgent and WFOE have entered into the VIE control agreements in a form and content satisfactory to Fulgent (“</w:t>
      </w:r>
      <w:r>
        <w:rPr>
          <w:rFonts w:ascii="Arial" w:cs="Arial" w:eastAsia="Arial" w:hAnsi="Arial"/>
          <w:sz w:val="19"/>
          <w:szCs w:val="19"/>
          <w:b w:val="1"/>
          <w:bCs w:val="1"/>
          <w:color w:val="auto"/>
        </w:rPr>
        <w:t>Fulgent VIE Agreements</w:t>
      </w:r>
      <w:r>
        <w:rPr>
          <w:rFonts w:ascii="Arial" w:cs="Arial" w:eastAsia="Arial" w:hAnsi="Arial"/>
          <w:sz w:val="19"/>
          <w:szCs w:val="19"/>
          <w:color w:val="auto"/>
        </w:rPr>
        <w:t>”), and Shenzhen Fujin, Xilong Scientific, Fuzhou Jinqiang and the Employee Shareholding Platform have pledged all the equity held by them in Fujian Fulgent to WFOE in accordance with the Fulgent VIE Agreements and completed the registration of equity pledge; (3) the register of shareholders of the Cayman Company has been updated in accordance with Article 1.2.2 (i) and 1.2.2 (ii) hereof; (4) the Cayman Company has made an effective resolution to reserve the Cayman Company’s 21,000,000 ordinary shares as an Option Pool; (5) the articles of association of the Cayman Company have been amended to state that the board of directors of</w:t>
      </w: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78" w:name="page79"/>
    <w:bookmarkEnd w:id="78"/>
    <w:p>
      <w:pPr>
        <w:jc w:val="both"/>
        <w:ind w:left="1040"/>
        <w:spacing w:after="0" w:line="271" w:lineRule="auto"/>
        <w:rPr>
          <w:sz w:val="20"/>
          <w:szCs w:val="20"/>
          <w:color w:val="auto"/>
        </w:rPr>
      </w:pPr>
      <w:r>
        <w:rPr>
          <w:rFonts w:ascii="Arial" w:cs="Arial" w:eastAsia="Arial" w:hAnsi="Arial"/>
          <w:sz w:val="19"/>
          <w:szCs w:val="19"/>
          <w:color w:val="auto"/>
        </w:rPr>
        <w:t>Cayman Company shall consist of [3] directors, [2] of which shall be appointed by Fulgent (or its designated entity, as applicable) and [1] of which shall be the management of Fujian Fulgent nominated by Xilong Scientific; (6) the register of directors of the Cayman Company has recorded that the board of directors of the Cayman Company has been constituted in accordance with item (5) above; (7) the register of shareholders, articles of association, register of directors and relevant resolutions of the Cayman Company as mentioned in items (3) - (6) above have been filed with the registry of Cayman Company; (8) the Parties have executed the loan agreement to the satisfactory of Fulgent (9) there is no material breach of this Agreement by any Party hereto other than the Fulgent Entities (including but not limited to no Party’s breach of any undertaking under Article 1.4 hereof). Xilong Scientific shall cooperate with other relevant Parties to satisfy all the Conditions of Payment as soon as possible after the execution of the Cayman Shares Transfer Agreement. Fulgent (or its designated entity, as applicable) shall pay the Cayman Share Transfer Price to Xilong Scientific in a lump sum within 5 business days after the payment Conditions are fully met. If Fulgent (or its designated entity, as applicable) fails to make the payment in accordance with the said provisions, Shenzhen Fujin shall transfer the equity of Fujian Fulgent acquired in accordance with Article1.1.1 (i) hereof to Xilong Scientific free of charge.</w:t>
      </w:r>
    </w:p>
    <w:p>
      <w:pPr>
        <w:spacing w:after="0" w:line="187" w:lineRule="exact"/>
        <w:rPr>
          <w:sz w:val="20"/>
          <w:szCs w:val="20"/>
          <w:color w:val="auto"/>
        </w:rPr>
      </w:pPr>
    </w:p>
    <w:p>
      <w:pPr>
        <w:jc w:val="both"/>
        <w:ind w:left="1040" w:hanging="883"/>
        <w:spacing w:after="0" w:line="277" w:lineRule="auto"/>
        <w:tabs>
          <w:tab w:leader="none" w:pos="10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Shenzhen Fujin, Xilong Scientific and Fujian Fulgent shall, and each Party shall cause the Employee Shareholding Platform and WFOE to, sign the Fulgent VIE Agreements as soon as possible after the establishment of the WFOE. Shenzhen Fujin and Xilong Scientific shall, and Hanlin GAO shall cause the Employee Shareholding Platform to, as soon as possible complete the registration of equity pledge for pledge of all their equity of Fujian Fulgent to WFOE in accordance with the Fulgent VIE Agreements. The Parties further acknowledge that the conditions for Shenzhen Fujin to sign the Fulgent VIE Agreements and complete the registration of equity pledge</w:t>
      </w: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79" w:name="page80"/>
    <w:bookmarkEnd w:id="79"/>
    <w:p>
      <w:pPr>
        <w:ind w:left="2160"/>
        <w:spacing w:after="0"/>
        <w:rPr>
          <w:sz w:val="20"/>
          <w:szCs w:val="20"/>
          <w:color w:val="auto"/>
        </w:rPr>
      </w:pPr>
      <w:r>
        <w:rPr>
          <w:rFonts w:ascii="Arial" w:cs="Arial" w:eastAsia="Arial" w:hAnsi="Arial"/>
          <w:sz w:val="22"/>
          <w:szCs w:val="22"/>
          <w:color w:val="auto"/>
        </w:rPr>
        <w:t>is that those specified in items (3) - (6) of Article 1.2.2 (iii) hereof have been completed.</w:t>
      </w:r>
    </w:p>
    <w:p>
      <w:pPr>
        <w:spacing w:after="0" w:line="233" w:lineRule="exact"/>
        <w:rPr>
          <w:sz w:val="20"/>
          <w:szCs w:val="20"/>
          <w:color w:val="auto"/>
        </w:rPr>
      </w:pPr>
    </w:p>
    <w:p>
      <w:pPr>
        <w:jc w:val="both"/>
        <w:ind w:left="2160" w:hanging="883"/>
        <w:spacing w:after="0" w:line="287" w:lineRule="auto"/>
        <w:tabs>
          <w:tab w:leader="none" w:pos="21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Fulgent, Xilong Scientific and Fujian Jinqiang respectively acknowledge that their respective investments in Fujian Fulgent prior to the Restructuring shall not be invested abroad in the Cayman Company and then into the registered capital of the WFOE, the tax base loss arising from their future transfer of shares in Cayman Company due to which shall be borne by themselves.</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color w:val="auto"/>
        </w:rPr>
        <w:t>ESOP</w:t>
      </w:r>
    </w:p>
    <w:p>
      <w:pPr>
        <w:spacing w:after="0" w:line="233" w:lineRule="exact"/>
        <w:rPr>
          <w:sz w:val="20"/>
          <w:szCs w:val="20"/>
          <w:color w:val="auto"/>
        </w:rPr>
      </w:pPr>
    </w:p>
    <w:p>
      <w:pPr>
        <w:jc w:val="both"/>
        <w:ind w:left="1280" w:hanging="701"/>
        <w:spacing w:after="0" w:line="279" w:lineRule="auto"/>
        <w:tabs>
          <w:tab w:leader="none" w:pos="126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Fulgent, Shenzhen Fujin, Xilong Scientific and Fuzhou Jinqiang agree to establish ESOP by Fulgent upon completion of the VIE structure construction described in Article 1.2 hereof. Relevant incentive recipient shall actually contribute to the Employee Shareholding Platform and receive options of the Cayman Company in accordance with the specific requirements of ESOP. The first batch of options shall be exercised at the time of grant, upon confirmation of achievement of the performance indicators of 2021 at the end of 2021, upon confirmation of achievement of the performance indicators of 2022 at the end of 2022 and upon confirmation of</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achievement of the performance indicators of 2023 at the end of 2023, respectively. At such time, relevant persons</w:t>
      </w:r>
    </w:p>
    <w:p>
      <w:pPr>
        <w:spacing w:after="0" w:line="56" w:lineRule="exact"/>
        <w:rPr>
          <w:sz w:val="20"/>
          <w:szCs w:val="20"/>
          <w:color w:val="auto"/>
        </w:rPr>
      </w:pPr>
    </w:p>
    <w:p>
      <w:pPr>
        <w:jc w:val="both"/>
        <w:ind w:left="1280"/>
        <w:spacing w:after="0" w:line="246" w:lineRule="auto"/>
        <w:rPr>
          <w:sz w:val="20"/>
          <w:szCs w:val="20"/>
          <w:color w:val="auto"/>
        </w:rPr>
      </w:pPr>
      <w:r>
        <w:rPr>
          <w:rFonts w:ascii="Arial" w:cs="Arial" w:eastAsia="Arial" w:hAnsi="Arial"/>
          <w:sz w:val="21"/>
          <w:szCs w:val="21"/>
          <w:color w:val="auto"/>
        </w:rPr>
        <w:t>shall pay to the Employee Shareholding Platform the exercise price in accordance with ESOP, which shall be calculated in accordance with the valuation of Fujian Fulgent at the time of execution of this Agreement in the amount of CNY 200 million. Fulgent shall decide on whom to distribute and how many to distribute in accordance with the ESOP. Fulgent and Hanlin GAO agree to cause the Employee Shareholding Platform to use all the capital contributions received from the partners for the actual capital contribution to Fujian Fulgent, and the part beyond the registered capital of Fujian Fulgent subscribed by the Employee Shareholding Platform to be included in Fujian Fulgent's capital reserve fund.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0" w:name="page81"/>
    <w:bookmarkEnd w:id="80"/>
    <w:p>
      <w:pPr>
        <w:jc w:val="both"/>
        <w:ind w:left="1280" w:hanging="701"/>
        <w:spacing w:after="0" w:line="236" w:lineRule="auto"/>
        <w:tabs>
          <w:tab w:leader="none" w:pos="1260" w:val="left"/>
        </w:tabs>
        <w:rPr>
          <w:sz w:val="20"/>
          <w:szCs w:val="20"/>
          <w:color w:val="auto"/>
        </w:rPr>
      </w:pPr>
      <w:r>
        <w:rPr>
          <w:rFonts w:ascii="Arial" w:cs="Arial" w:eastAsia="Arial" w:hAnsi="Arial"/>
          <w:sz w:val="22"/>
          <w:szCs w:val="22"/>
          <w:color w:val="auto"/>
        </w:rPr>
        <w:t>1.3.2</w:t>
        <w:tab/>
        <w:t>Xilong Scientific further agrees that the total voting rights of Fulgent (or its designated entity, as applicable) in the Cayman Company shall be increased by a certain amount in addition to the voting rights represented by the 129,000,000 ordinary shares of the Cayman Company that it actually holds. The number of such voting rights shall be equal to the number of voting rights of the ordinary shares (i.e., 21,000,000 ordinary shares) corresponding to Cayman Company’s reserved 10.5% Option Pool.</w:t>
      </w:r>
    </w:p>
    <w:p>
      <w:pPr>
        <w:spacing w:after="0" w:line="21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Commitment with respect to the Transitional Period</w:t>
      </w:r>
    </w:p>
    <w:p>
      <w:pPr>
        <w:spacing w:after="0" w:line="227" w:lineRule="exact"/>
        <w:rPr>
          <w:sz w:val="20"/>
          <w:szCs w:val="20"/>
          <w:color w:val="auto"/>
        </w:rPr>
      </w:pPr>
    </w:p>
    <w:p>
      <w:pPr>
        <w:jc w:val="both"/>
        <w:ind w:left="1280" w:hanging="701"/>
        <w:spacing w:after="0" w:line="249" w:lineRule="auto"/>
        <w:tabs>
          <w:tab w:leader="none" w:pos="126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From the Date of Signing to the date of completion of the Restructuring (the “</w:t>
      </w:r>
      <w:r>
        <w:rPr>
          <w:rFonts w:ascii="Arial" w:cs="Arial" w:eastAsia="Arial" w:hAnsi="Arial"/>
          <w:sz w:val="21"/>
          <w:szCs w:val="21"/>
          <w:b w:val="1"/>
          <w:bCs w:val="1"/>
          <w:color w:val="auto"/>
        </w:rPr>
        <w:t>Transitional Period</w:t>
      </w:r>
      <w:r>
        <w:rPr>
          <w:rFonts w:ascii="Arial" w:cs="Arial" w:eastAsia="Arial" w:hAnsi="Arial"/>
          <w:sz w:val="21"/>
          <w:szCs w:val="21"/>
          <w:color w:val="auto"/>
        </w:rPr>
        <w:t>”), Fujian Fulgent shall, and Xilong Scientific and Fujian Fulgent shall cause all subsidiaries of Fujian Fulgent (which, together with Fujian Fulgent, as the “</w:t>
      </w:r>
      <w:r>
        <w:rPr>
          <w:rFonts w:ascii="Arial" w:cs="Arial" w:eastAsia="Arial" w:hAnsi="Arial"/>
          <w:sz w:val="21"/>
          <w:szCs w:val="21"/>
          <w:b w:val="1"/>
          <w:bCs w:val="1"/>
          <w:color w:val="auto"/>
        </w:rPr>
        <w:t>Group Companies</w:t>
      </w:r>
      <w:r>
        <w:rPr>
          <w:rFonts w:ascii="Arial" w:cs="Arial" w:eastAsia="Arial" w:hAnsi="Arial"/>
          <w:sz w:val="21"/>
          <w:szCs w:val="21"/>
          <w:color w:val="auto"/>
        </w:rPr>
        <w:t>”) to, carry on their business in the ordinary course of business, use their best efforts to maintain the integrity of business organization, maintain relations with third parties and retain existing managers and employees, and maintain the status quo (other than normal wear and tear) of all assets and property owned or used by the Group Companies.</w:t>
      </w:r>
    </w:p>
    <w:p>
      <w:pPr>
        <w:spacing w:after="0" w:line="204" w:lineRule="exact"/>
        <w:rPr>
          <w:sz w:val="20"/>
          <w:szCs w:val="20"/>
          <w:color w:val="auto"/>
        </w:rPr>
      </w:pPr>
    </w:p>
    <w:p>
      <w:pPr>
        <w:jc w:val="both"/>
        <w:ind w:left="1280" w:hanging="701"/>
        <w:spacing w:after="0" w:line="245" w:lineRule="auto"/>
        <w:tabs>
          <w:tab w:leader="none" w:pos="126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During the Transitional Period and during normal working hours, Xilong Scientific and Fujian Fulgent shall provide to Fulgent and its representatives such information as they may reasonably request concerning the Group Companies, including but not limited to providing Fulgent’s appointed lawyers, accountants and other representatives with full access to all accounts, records, contracts, technical information, personnel information, management information and other documents of the Group Companies. Xilong Scientific and Fujian Fulgent agree that Fulgent shall have the right to conduct a prudent review of the Group Companies’ finances, assets and operations at any time during the Transitional Period. In addition, Xilong Scientific, Fuzhou Jinqiang or Fujian Fulgent shall immediately notify Fulgent in writing of any breach or threatened breach of this Agreement by Xilong Scientific, Fuzhou Jinqiang or Fujian Fulgent.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1" w:name="page82"/>
    <w:bookmarkEnd w:id="81"/>
    <w:p>
      <w:pPr>
        <w:jc w:val="both"/>
        <w:ind w:left="160" w:hanging="701"/>
        <w:spacing w:after="0"/>
        <w:tabs>
          <w:tab w:leader="none" w:pos="140" w:val="left"/>
        </w:tabs>
        <w:rPr>
          <w:sz w:val="20"/>
          <w:szCs w:val="20"/>
          <w:color w:val="auto"/>
        </w:rPr>
      </w:pPr>
      <w:r>
        <w:rPr>
          <w:rFonts w:ascii="Arial" w:cs="Arial" w:eastAsia="Arial" w:hAnsi="Arial"/>
          <w:sz w:val="22"/>
          <w:szCs w:val="22"/>
          <w:color w:val="auto"/>
        </w:rPr>
        <w:t>1.4.3</w:t>
        <w:tab/>
        <w:t>During the Transitional Period, Xilong Scientific and Fujian Fulgent shall promptly notify Fulgent in writing of the following matters and discuss with Fulgent the impact of such matters on the Group Companies to ensure that the Group Companies will operate stably in a reasonable manner:</w:t>
      </w:r>
    </w:p>
    <w:p>
      <w:pPr>
        <w:spacing w:after="0" w:line="213" w:lineRule="exact"/>
        <w:rPr>
          <w:sz w:val="20"/>
          <w:szCs w:val="20"/>
          <w:color w:val="auto"/>
        </w:rPr>
      </w:pPr>
    </w:p>
    <w:p>
      <w:pPr>
        <w:jc w:val="both"/>
        <w:ind w:left="1040" w:hanging="883"/>
        <w:spacing w:after="0"/>
        <w:tabs>
          <w:tab w:leader="none" w:pos="1040" w:val="left"/>
        </w:tabs>
        <w:numPr>
          <w:ilvl w:val="0"/>
          <w:numId w:val="35"/>
        </w:numPr>
        <w:rPr>
          <w:rFonts w:ascii="Arial" w:cs="Arial" w:eastAsia="Arial" w:hAnsi="Arial"/>
          <w:sz w:val="21"/>
          <w:szCs w:val="21"/>
          <w:color w:val="auto"/>
        </w:rPr>
      </w:pPr>
      <w:r>
        <w:rPr>
          <w:rFonts w:ascii="Arial" w:cs="Arial" w:eastAsia="Arial" w:hAnsi="Arial"/>
          <w:sz w:val="22"/>
          <w:szCs w:val="22"/>
          <w:color w:val="auto"/>
        </w:rPr>
        <w:t>any change in the share capital structure, financial position, assets, liabilities, business, prospects or operations of any Group Company which has or is likely to have any material adverse effect on such Group Company;</w:t>
      </w:r>
    </w:p>
    <w:p>
      <w:pPr>
        <w:spacing w:after="0" w:line="213" w:lineRule="exact"/>
        <w:rPr>
          <w:rFonts w:ascii="Arial" w:cs="Arial" w:eastAsia="Arial" w:hAnsi="Arial"/>
          <w:sz w:val="21"/>
          <w:szCs w:val="21"/>
          <w:color w:val="auto"/>
        </w:rPr>
      </w:pPr>
    </w:p>
    <w:p>
      <w:pPr>
        <w:jc w:val="both"/>
        <w:ind w:left="1040" w:hanging="883"/>
        <w:spacing w:after="0"/>
        <w:tabs>
          <w:tab w:leader="none" w:pos="1040" w:val="left"/>
        </w:tabs>
        <w:numPr>
          <w:ilvl w:val="0"/>
          <w:numId w:val="35"/>
        </w:numPr>
        <w:rPr>
          <w:rFonts w:ascii="Arial" w:cs="Arial" w:eastAsia="Arial" w:hAnsi="Arial"/>
          <w:sz w:val="21"/>
          <w:szCs w:val="21"/>
          <w:color w:val="auto"/>
        </w:rPr>
      </w:pPr>
      <w:r>
        <w:rPr>
          <w:rFonts w:ascii="Arial" w:cs="Arial" w:eastAsia="Arial" w:hAnsi="Arial"/>
          <w:sz w:val="22"/>
          <w:szCs w:val="22"/>
          <w:color w:val="auto"/>
        </w:rPr>
        <w:t>signing by any Group Company of any agreement containing abnormal terms (including but not limited to long-term and harsh terms) or outside the normal course of business and any agreement or proposal or intention relating to the foregoing; and</w:t>
      </w:r>
    </w:p>
    <w:p>
      <w:pPr>
        <w:spacing w:after="0" w:line="213" w:lineRule="exact"/>
        <w:rPr>
          <w:rFonts w:ascii="Arial" w:cs="Arial" w:eastAsia="Arial" w:hAnsi="Arial"/>
          <w:sz w:val="21"/>
          <w:szCs w:val="21"/>
          <w:color w:val="auto"/>
        </w:rPr>
      </w:pPr>
    </w:p>
    <w:p>
      <w:pPr>
        <w:ind w:left="1040" w:hanging="883"/>
        <w:spacing w:after="0"/>
        <w:tabs>
          <w:tab w:leader="none" w:pos="1040" w:val="left"/>
        </w:tabs>
        <w:numPr>
          <w:ilvl w:val="0"/>
          <w:numId w:val="35"/>
        </w:numPr>
        <w:rPr>
          <w:rFonts w:ascii="Arial" w:cs="Arial" w:eastAsia="Arial" w:hAnsi="Arial"/>
          <w:sz w:val="21"/>
          <w:szCs w:val="21"/>
          <w:color w:val="auto"/>
        </w:rPr>
      </w:pPr>
      <w:r>
        <w:rPr>
          <w:rFonts w:ascii="Arial" w:cs="Arial" w:eastAsia="Arial" w:hAnsi="Arial"/>
          <w:sz w:val="22"/>
          <w:szCs w:val="22"/>
          <w:color w:val="auto"/>
        </w:rPr>
        <w:t>progress of approval/registration by government departments (as applicable).</w:t>
      </w:r>
    </w:p>
    <w:p>
      <w:pPr>
        <w:spacing w:after="0" w:line="227" w:lineRule="exact"/>
        <w:rPr>
          <w:sz w:val="20"/>
          <w:szCs w:val="20"/>
          <w:color w:val="auto"/>
        </w:rPr>
      </w:pPr>
    </w:p>
    <w:p>
      <w:pPr>
        <w:jc w:val="both"/>
        <w:ind w:left="160" w:hanging="701"/>
        <w:spacing w:after="0" w:line="273" w:lineRule="auto"/>
        <w:tabs>
          <w:tab w:leader="none" w:pos="1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From the Date of Signing to the date of completion of the Restructuring (the “</w:t>
      </w:r>
      <w:r>
        <w:rPr>
          <w:rFonts w:ascii="Arial" w:cs="Arial" w:eastAsia="Arial" w:hAnsi="Arial"/>
          <w:sz w:val="19"/>
          <w:szCs w:val="19"/>
          <w:b w:val="1"/>
          <w:bCs w:val="1"/>
          <w:color w:val="auto"/>
        </w:rPr>
        <w:t>Exclusive Period</w:t>
      </w:r>
      <w:r>
        <w:rPr>
          <w:rFonts w:ascii="Arial" w:cs="Arial" w:eastAsia="Arial" w:hAnsi="Arial"/>
          <w:sz w:val="19"/>
          <w:szCs w:val="19"/>
          <w:color w:val="auto"/>
        </w:rPr>
        <w:t>”), unless Fulgent agrees in writing in advance, Xilong Scientific, Fuzhou Jinqiang and Fujian Fulgent shall and shall cause their affiliates and advisors and their respective directors, executives and representatives (i) to work together with Fulgent and its affiliates on an exclusive basis in connection with the Restructuring; (ii) not to enter into any other transaction similar to the Restructuring or in conflict with the transaction contemplated by this Agreement (any such transaction is a “</w:t>
      </w:r>
      <w:r>
        <w:rPr>
          <w:rFonts w:ascii="Arial" w:cs="Arial" w:eastAsia="Arial" w:hAnsi="Arial"/>
          <w:sz w:val="19"/>
          <w:szCs w:val="19"/>
          <w:b w:val="1"/>
          <w:bCs w:val="1"/>
          <w:color w:val="auto"/>
        </w:rPr>
        <w:t>Third-party Transaction</w:t>
      </w:r>
      <w:r>
        <w:rPr>
          <w:rFonts w:ascii="Arial" w:cs="Arial" w:eastAsia="Arial" w:hAnsi="Arial"/>
          <w:sz w:val="19"/>
          <w:szCs w:val="19"/>
          <w:color w:val="auto"/>
        </w:rPr>
        <w:t>”); (iii) to immediately terminate any discussion or negotiation with any person with respect to a Third-party Transaction, and thereafter refrain from conducting or undertaking any discussion or negotiation with any person with respect to a Third-party Transaction, and refrain from providing any information to any person with respect to a Third-party Transaction; and (iv) not to encourage or do any other act to facilitate any inquiries or recommendations with respect to a possible Third-party Transaction. If Xilong Scientific, Fuzhou Jinqiang or Fujian Fulgent receives any inquiries from any other Party in connection with a possible Third-party Transaction, Fulgent shall be promptly notified.</w:t>
      </w:r>
    </w:p>
    <w:p>
      <w:pPr>
        <w:spacing w:after="0" w:line="3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37" w:right="339" w:bottom="1440" w:gutter="0" w:footer="0" w:header="0"/>
        </w:sectPr>
      </w:pPr>
    </w:p>
    <w:bookmarkStart w:id="82" w:name="page83"/>
    <w:bookmarkEnd w:id="82"/>
    <w:p>
      <w:pPr>
        <w:jc w:val="both"/>
        <w:ind w:left="160" w:hanging="701"/>
        <w:spacing w:after="0"/>
        <w:tabs>
          <w:tab w:leader="none" w:pos="140" w:val="left"/>
        </w:tabs>
        <w:rPr>
          <w:sz w:val="20"/>
          <w:szCs w:val="20"/>
          <w:color w:val="auto"/>
        </w:rPr>
      </w:pPr>
      <w:r>
        <w:rPr>
          <w:rFonts w:ascii="Arial" w:cs="Arial" w:eastAsia="Arial" w:hAnsi="Arial"/>
          <w:sz w:val="22"/>
          <w:szCs w:val="22"/>
          <w:color w:val="auto"/>
        </w:rPr>
        <w:t>1.4.5</w:t>
        <w:tab/>
        <w:t>Unless otherwise agreed by Fulgent in writing, Fujian Fulgent shall not, and Xilong Scientific and Fujian Fulgent shall cause the Group Companies not to, do any of the following during the Transitional Period (except for those related to the Restructuring):</w:t>
      </w:r>
    </w:p>
    <w:p>
      <w:pPr>
        <w:spacing w:after="0" w:line="213" w:lineRule="exact"/>
        <w:rPr>
          <w:sz w:val="20"/>
          <w:szCs w:val="20"/>
          <w:color w:val="auto"/>
        </w:rPr>
      </w:pPr>
    </w:p>
    <w:p>
      <w:pPr>
        <w:ind w:left="1040" w:hanging="883"/>
        <w:spacing w:after="0" w:line="272" w:lineRule="auto"/>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increase, decrease, distribute, issue, acquire, repay, transfer, pledge or redeem any registered capital or equity;</w:t>
      </w:r>
    </w:p>
    <w:p>
      <w:pPr>
        <w:spacing w:after="0" w:line="189" w:lineRule="exact"/>
        <w:rPr>
          <w:rFonts w:ascii="Arial" w:cs="Arial" w:eastAsia="Arial" w:hAnsi="Arial"/>
          <w:sz w:val="21"/>
          <w:szCs w:val="21"/>
          <w:color w:val="auto"/>
        </w:rPr>
      </w:pPr>
    </w:p>
    <w:p>
      <w:pPr>
        <w:jc w:val="both"/>
        <w:ind w:left="1040" w:hanging="883"/>
        <w:spacing w:after="0" w:line="252" w:lineRule="auto"/>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take any action that may result in dilution of Fulgent’s interest in the Cayman Company or Fujian Fulgent after the completion of the Restructuring by amending its articles of association or by reorganization, merger, sale of share capital, merger, disposal of assets or otherwise;</w:t>
      </w:r>
    </w:p>
    <w:p>
      <w:pPr>
        <w:spacing w:after="0" w:line="203" w:lineRule="exact"/>
        <w:rPr>
          <w:rFonts w:ascii="Arial" w:cs="Arial" w:eastAsia="Arial" w:hAnsi="Arial"/>
          <w:sz w:val="21"/>
          <w:szCs w:val="21"/>
          <w:color w:val="auto"/>
        </w:rPr>
      </w:pPr>
    </w:p>
    <w:p>
      <w:pPr>
        <w:ind w:left="1040" w:right="20" w:hanging="883"/>
        <w:spacing w:after="0" w:line="272" w:lineRule="auto"/>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sell, lease, transfer, license or assign any assets, except in the ordinary course of business in a manner consistent with past operations;</w:t>
      </w:r>
    </w:p>
    <w:p>
      <w:pPr>
        <w:spacing w:after="0" w:line="189" w:lineRule="exact"/>
        <w:rPr>
          <w:rFonts w:ascii="Arial" w:cs="Arial" w:eastAsia="Arial" w:hAnsi="Arial"/>
          <w:sz w:val="21"/>
          <w:szCs w:val="21"/>
          <w:color w:val="auto"/>
        </w:rPr>
      </w:pPr>
    </w:p>
    <w:p>
      <w:pPr>
        <w:ind w:left="1040" w:hanging="883"/>
        <w:spacing w:after="0" w:line="264" w:lineRule="auto"/>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assume or incur debts, liabilities, obligations or expenses in excess of CNY 200,000 (or its equivalent in another currency), other than those arising in the ordinary course of business;</w:t>
      </w:r>
    </w:p>
    <w:p>
      <w:pPr>
        <w:spacing w:after="0" w:line="197" w:lineRule="exact"/>
        <w:rPr>
          <w:rFonts w:ascii="Arial" w:cs="Arial" w:eastAsia="Arial" w:hAnsi="Arial"/>
          <w:sz w:val="21"/>
          <w:szCs w:val="21"/>
          <w:color w:val="auto"/>
        </w:rPr>
      </w:pPr>
    </w:p>
    <w:p>
      <w:pPr>
        <w:ind w:left="1040" w:hanging="883"/>
        <w:spacing w:after="0" w:line="264" w:lineRule="auto"/>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make any capital expenditure in excess of CNY 200,000 (or its equivalent in another currency), except for those made in the ordinary course of business;</w:t>
      </w:r>
    </w:p>
    <w:p>
      <w:pPr>
        <w:spacing w:after="0" w:line="189" w:lineRule="exact"/>
        <w:rPr>
          <w:rFonts w:ascii="Arial" w:cs="Arial" w:eastAsia="Arial" w:hAnsi="Arial"/>
          <w:sz w:val="21"/>
          <w:szCs w:val="21"/>
          <w:color w:val="auto"/>
        </w:rPr>
      </w:pPr>
    </w:p>
    <w:p>
      <w:pPr>
        <w:ind w:left="1040" w:hanging="883"/>
        <w:spacing w:after="0"/>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create any security interest or encumbrance in any asset;</w:t>
      </w:r>
    </w:p>
    <w:p>
      <w:pPr>
        <w:spacing w:after="0" w:line="244" w:lineRule="exact"/>
        <w:rPr>
          <w:rFonts w:ascii="Arial" w:cs="Arial" w:eastAsia="Arial" w:hAnsi="Arial"/>
          <w:sz w:val="21"/>
          <w:szCs w:val="21"/>
          <w:color w:val="auto"/>
        </w:rPr>
      </w:pPr>
    </w:p>
    <w:p>
      <w:pPr>
        <w:ind w:left="1040" w:hanging="883"/>
        <w:spacing w:after="0"/>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declare, pay and undertake the distribution of any dividend;</w:t>
      </w:r>
    </w:p>
    <w:p>
      <w:pPr>
        <w:spacing w:after="0" w:line="244" w:lineRule="exact"/>
        <w:rPr>
          <w:rFonts w:ascii="Arial" w:cs="Arial" w:eastAsia="Arial" w:hAnsi="Arial"/>
          <w:sz w:val="21"/>
          <w:szCs w:val="21"/>
          <w:color w:val="auto"/>
        </w:rPr>
      </w:pPr>
    </w:p>
    <w:p>
      <w:pPr>
        <w:ind w:left="1040" w:hanging="883"/>
        <w:spacing w:after="0"/>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enter into any transaction with affiliates;</w:t>
      </w:r>
    </w:p>
    <w:p>
      <w:pPr>
        <w:spacing w:after="0" w:line="252" w:lineRule="exact"/>
        <w:rPr>
          <w:rFonts w:ascii="Arial" w:cs="Arial" w:eastAsia="Arial" w:hAnsi="Arial"/>
          <w:sz w:val="21"/>
          <w:szCs w:val="21"/>
          <w:color w:val="auto"/>
        </w:rPr>
      </w:pPr>
    </w:p>
    <w:p>
      <w:pPr>
        <w:ind w:left="1040" w:hanging="883"/>
        <w:spacing w:after="0"/>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make or be a party to any acquisition;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64" w:right="339" w:bottom="1440" w:gutter="0" w:footer="0" w:header="0"/>
        </w:sectPr>
      </w:pPr>
    </w:p>
    <w:bookmarkStart w:id="83" w:name="page84"/>
    <w:bookmarkEnd w:id="83"/>
    <w:p>
      <w:pPr>
        <w:ind w:left="2160" w:hanging="883"/>
        <w:spacing w:after="0"/>
        <w:tabs>
          <w:tab w:leader="none" w:pos="21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to establish any subsidiary or acquire any equity or other interest in any other entity;</w:t>
      </w:r>
    </w:p>
    <w:p>
      <w:pPr>
        <w:spacing w:after="0" w:line="244" w:lineRule="exact"/>
        <w:rPr>
          <w:rFonts w:ascii="Arial" w:cs="Arial" w:eastAsia="Arial" w:hAnsi="Arial"/>
          <w:sz w:val="21"/>
          <w:szCs w:val="21"/>
          <w:color w:val="auto"/>
        </w:rPr>
      </w:pPr>
    </w:p>
    <w:p>
      <w:pPr>
        <w:ind w:left="2160" w:hanging="883"/>
        <w:spacing w:after="0" w:line="272" w:lineRule="auto"/>
        <w:tabs>
          <w:tab w:leader="none" w:pos="21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except as expressly provided herein, to create or pass any employee equity incentive plan of the company, or grant or promise to grant options to employees;</w:t>
      </w:r>
    </w:p>
    <w:p>
      <w:pPr>
        <w:spacing w:after="0" w:line="189" w:lineRule="exact"/>
        <w:rPr>
          <w:rFonts w:ascii="Arial" w:cs="Arial" w:eastAsia="Arial" w:hAnsi="Arial"/>
          <w:sz w:val="21"/>
          <w:szCs w:val="21"/>
          <w:color w:val="auto"/>
        </w:rPr>
      </w:pPr>
    </w:p>
    <w:p>
      <w:pPr>
        <w:ind w:left="2160" w:hanging="883"/>
        <w:spacing w:after="0" w:line="264" w:lineRule="auto"/>
        <w:tabs>
          <w:tab w:leader="none" w:pos="21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agree or undertake to do any of the said actions, including but not limited to the execution of term sheets, commitment letters and consent letters.</w:t>
      </w:r>
    </w:p>
    <w:p>
      <w:pPr>
        <w:spacing w:after="0" w:line="190" w:lineRule="exact"/>
        <w:rPr>
          <w:sz w:val="20"/>
          <w:szCs w:val="20"/>
          <w:color w:val="auto"/>
        </w:rPr>
      </w:pPr>
    </w:p>
    <w:p>
      <w:pPr>
        <w:jc w:val="both"/>
        <w:ind w:left="1560" w:hanging="984"/>
        <w:spacing w:after="0" w:line="252" w:lineRule="auto"/>
        <w:tabs>
          <w:tab w:leader="none" w:pos="15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1"/>
          <w:szCs w:val="21"/>
          <w:color w:val="auto"/>
        </w:rPr>
        <w:t>The Parties other than the Fulgent Entities undertake that, without prior written consent of Fulgent, they will not license or authorize (whether paid or free) to any third party Fulgent's trade secrets, know-how and patents obtained by them for any reason, or use such trade secrets, know-how and patents in any form of cooperation with any third party (whether paid or free) during the Transitional Period.</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8"/>
          <w:szCs w:val="18"/>
          <w:color w:val="auto"/>
        </w:rPr>
        <w:t>Taxes and fees</w:t>
      </w:r>
    </w:p>
    <w:p>
      <w:pPr>
        <w:spacing w:after="0" w:line="233" w:lineRule="exact"/>
        <w:rPr>
          <w:sz w:val="20"/>
          <w:szCs w:val="20"/>
          <w:color w:val="auto"/>
        </w:rPr>
      </w:pPr>
    </w:p>
    <w:p>
      <w:pPr>
        <w:jc w:val="both"/>
        <w:ind w:left="580"/>
        <w:spacing w:after="0" w:line="244" w:lineRule="auto"/>
        <w:rPr>
          <w:sz w:val="20"/>
          <w:szCs w:val="20"/>
          <w:color w:val="auto"/>
        </w:rPr>
      </w:pPr>
      <w:r>
        <w:rPr>
          <w:rFonts w:ascii="Arial" w:cs="Arial" w:eastAsia="Arial" w:hAnsi="Arial"/>
          <w:sz w:val="21"/>
          <w:szCs w:val="21"/>
          <w:color w:val="auto"/>
        </w:rPr>
        <w:t>Each Party shall bear their respective taxes and fees incurred in connection with the Restructuring. Among them, Xilong Scientific shall, within 7 days upon receipt of the full amount of Cayman Share Transfer Price, declare and pay the taxes ("Taxes under Document No.7") to the competent tax authority, and provide the tax payment voucher to Fulgent within 3 business days after the relevant tax payment is settled. If Xilong Scientific fails to pay the Taxes under Document No.7 on schedule and in full and causes losses to the Fulgent entities, Xilong Scientific promises to compensate the relevant Fulgent entities for all losses. Notwithstanding the foregoing, if the transaction is not fully completed due to no fault of the Fulgent Entities, Xilong Scientific shall bear 50% of all taxes and fees incurred by Fulgent in connection with the transaction. Such taxes and fees include professional service fees incurred by Fulgent Entities and its advisers (including but not limited to legal counsel, financial adviser and other advisory bodies) in drafting this Agreement, other relevant agreements referred to herein and other documents related to the Restructuring, participation in negotiations, and establishment of the VIE structure.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4" w:name="page85"/>
    <w:bookmarkEnd w:id="84"/>
    <w:p>
      <w:pPr>
        <w:ind w:left="3460"/>
        <w:spacing w:after="0"/>
        <w:tabs>
          <w:tab w:leader="none" w:pos="478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color w:val="auto"/>
        </w:rPr>
        <w:t>Representations and Warranties</w:t>
      </w:r>
    </w:p>
    <w:p>
      <w:pPr>
        <w:spacing w:after="0" w:line="23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Each Party hereby make the representations and warranties as follows:</w:t>
      </w:r>
    </w:p>
    <w:p>
      <w:pPr>
        <w:spacing w:after="0" w:line="233" w:lineRule="exact"/>
        <w:rPr>
          <w:sz w:val="20"/>
          <w:szCs w:val="20"/>
          <w:color w:val="auto"/>
        </w:rPr>
      </w:pPr>
    </w:p>
    <w:p>
      <w:pPr>
        <w:jc w:val="both"/>
        <w:ind w:left="1280" w:hanging="701"/>
        <w:spacing w:after="0" w:line="236" w:lineRule="auto"/>
        <w:tabs>
          <w:tab w:leader="none" w:pos="1260" w:val="left"/>
        </w:tabs>
        <w:rPr>
          <w:sz w:val="20"/>
          <w:szCs w:val="20"/>
          <w:color w:val="auto"/>
        </w:rPr>
      </w:pPr>
      <w:r>
        <w:rPr>
          <w:rFonts w:ascii="Arial" w:cs="Arial" w:eastAsia="Arial" w:hAnsi="Arial"/>
          <w:sz w:val="22"/>
          <w:szCs w:val="22"/>
          <w:color w:val="auto"/>
        </w:rPr>
        <w:t>2.1.1</w:t>
        <w:tab/>
        <w:t>in case it is a natural person, it has full capacity for civil conduct to sign and perform this Agreement and to assume legal obligations hereunder; in case it is an entity, it is an entity legally registered and validly existing under the laws of the place where it is registered.</w:t>
      </w:r>
    </w:p>
    <w:p>
      <w:pPr>
        <w:spacing w:after="0" w:line="1" w:lineRule="exact"/>
        <w:rPr>
          <w:sz w:val="20"/>
          <w:szCs w:val="20"/>
          <w:color w:val="auto"/>
        </w:rPr>
      </w:pPr>
    </w:p>
    <w:p>
      <w:pPr>
        <w:jc w:val="both"/>
        <w:ind w:left="1280" w:hanging="701"/>
        <w:spacing w:after="0" w:line="266" w:lineRule="auto"/>
        <w:tabs>
          <w:tab w:leader="none" w:pos="12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in case it is a natural person, it has the right to enter into and perform this Agreement without any approval or authorization; in case it is an entity, it performs this Agreement within its power and scope of business, and it has obtained the necessary internal authorization and the consent and approval of any third party and government department, and does not violate any legal or contractual restrictions that are binding or have an impact on it.</w:t>
      </w:r>
    </w:p>
    <w:p>
      <w:pPr>
        <w:spacing w:after="0" w:line="3" w:lineRule="exact"/>
        <w:rPr>
          <w:sz w:val="20"/>
          <w:szCs w:val="20"/>
          <w:color w:val="auto"/>
        </w:rPr>
      </w:pPr>
    </w:p>
    <w:p>
      <w:pPr>
        <w:jc w:val="both"/>
        <w:ind w:left="1280" w:hanging="701"/>
        <w:spacing w:after="0" w:line="236" w:lineRule="auto"/>
        <w:tabs>
          <w:tab w:leader="none" w:pos="1260" w:val="left"/>
        </w:tabs>
        <w:rPr>
          <w:sz w:val="20"/>
          <w:szCs w:val="20"/>
          <w:color w:val="auto"/>
        </w:rPr>
      </w:pPr>
      <w:r>
        <w:rPr>
          <w:rFonts w:ascii="Arial" w:cs="Arial" w:eastAsia="Arial" w:hAnsi="Arial"/>
          <w:sz w:val="22"/>
          <w:szCs w:val="22"/>
          <w:color w:val="auto"/>
        </w:rPr>
        <w:t>2.1.3</w:t>
        <w:tab/>
        <w:t>This Agreement, once executed, shall constitute a legal and valid legal document binding upon it and enforceable against it.</w:t>
      </w:r>
    </w:p>
    <w:p>
      <w:pPr>
        <w:spacing w:after="0" w:line="208" w:lineRule="exact"/>
        <w:rPr>
          <w:sz w:val="20"/>
          <w:szCs w:val="20"/>
          <w:color w:val="auto"/>
        </w:rPr>
      </w:pPr>
    </w:p>
    <w:p>
      <w:pPr>
        <w:ind w:left="1680"/>
        <w:spacing w:after="0"/>
        <w:tabs>
          <w:tab w:leader="none" w:pos="300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9"/>
          <w:szCs w:val="19"/>
          <w:b w:val="1"/>
          <w:bCs w:val="1"/>
          <w:color w:val="auto"/>
        </w:rPr>
        <w:t>Effectiveness, Supplement, Modification, Amendment and Termination</w:t>
      </w:r>
    </w:p>
    <w:p>
      <w:pPr>
        <w:spacing w:after="0" w:line="239" w:lineRule="exact"/>
        <w:rPr>
          <w:sz w:val="20"/>
          <w:szCs w:val="20"/>
          <w:color w:val="auto"/>
        </w:rPr>
      </w:pPr>
    </w:p>
    <w:p>
      <w:pPr>
        <w:ind w:left="580" w:hanging="566"/>
        <w:spacing w:after="0" w:line="250" w:lineRule="auto"/>
        <w:tabs>
          <w:tab w:leader="none" w:pos="560" w:val="left"/>
        </w:tabs>
        <w:rPr>
          <w:sz w:val="20"/>
          <w:szCs w:val="20"/>
          <w:color w:val="auto"/>
        </w:rPr>
      </w:pPr>
      <w:r>
        <w:rPr>
          <w:rFonts w:ascii="Arial" w:cs="Arial" w:eastAsia="Arial" w:hAnsi="Arial"/>
          <w:sz w:val="22"/>
          <w:szCs w:val="22"/>
          <w:color w:val="auto"/>
        </w:rPr>
        <w:t>3.1</w:t>
        <w:tab/>
        <w:t>The annexes hereto shall form an integral part of this Agreement and shall be supplementary to and have the same legal effect as the body text of this Agreement.</w:t>
      </w:r>
    </w:p>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This Agreement shall come into force upon being signed by all Parties hereto.</w:t>
      </w:r>
    </w:p>
    <w:p>
      <w:pPr>
        <w:spacing w:after="0" w:line="233" w:lineRule="exact"/>
        <w:rPr>
          <w:sz w:val="20"/>
          <w:szCs w:val="20"/>
          <w:color w:val="auto"/>
        </w:rPr>
      </w:pPr>
    </w:p>
    <w:p>
      <w:pPr>
        <w:ind w:left="580" w:hanging="566"/>
        <w:spacing w:after="0" w:line="328" w:lineRule="auto"/>
        <w:tabs>
          <w:tab w:leader="none" w:pos="5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This Agreement may be modified or altered upon consensus of the Parties hereto through consultation. Any modification or alternation shall be made in writing and shall become effective after being signed by all Parties hereto.</w:t>
      </w:r>
    </w:p>
    <w:p>
      <w:pPr>
        <w:spacing w:after="0" w:line="13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This Agreement may be terminated if the Parties hereto agree to do so in writing.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5" w:name="page86"/>
    <w:bookmarkEnd w:id="85"/>
    <w:p>
      <w:pPr>
        <w:spacing w:after="0"/>
        <w:tabs>
          <w:tab w:leader="none" w:pos="56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Effect of Termination</w:t>
      </w:r>
    </w:p>
    <w:p>
      <w:pPr>
        <w:spacing w:after="0" w:line="233" w:lineRule="exact"/>
        <w:rPr>
          <w:sz w:val="20"/>
          <w:szCs w:val="20"/>
          <w:color w:val="auto"/>
        </w:rPr>
      </w:pPr>
    </w:p>
    <w:p>
      <w:pPr>
        <w:jc w:val="both"/>
        <w:ind w:left="1280" w:hanging="701"/>
        <w:spacing w:after="0" w:line="238" w:lineRule="auto"/>
        <w:tabs>
          <w:tab w:leader="none" w:pos="1260" w:val="left"/>
        </w:tabs>
        <w:rPr>
          <w:sz w:val="20"/>
          <w:szCs w:val="20"/>
          <w:color w:val="auto"/>
        </w:rPr>
      </w:pPr>
      <w:r>
        <w:rPr>
          <w:rFonts w:ascii="Arial" w:cs="Arial" w:eastAsia="Arial" w:hAnsi="Arial"/>
          <w:sz w:val="22"/>
          <w:szCs w:val="22"/>
          <w:color w:val="auto"/>
        </w:rPr>
        <w:t>3.5.1</w:t>
        <w:tab/>
        <w:t>After the termination of this Agreement in accordance with Article 3.4, unless otherwise agreed by the Parties, the Parties hereto shall cooperate to restore to the state at the time of signing this Agreement or other state confirmed by the Parties through negotiation. Any tax and cost incurred in the process of restoring the status shall be borne by the Parties concerned.</w:t>
      </w:r>
    </w:p>
    <w:p>
      <w:pPr>
        <w:spacing w:after="0" w:line="212" w:lineRule="exact"/>
        <w:rPr>
          <w:sz w:val="20"/>
          <w:szCs w:val="20"/>
          <w:color w:val="auto"/>
        </w:rPr>
      </w:pPr>
    </w:p>
    <w:p>
      <w:pPr>
        <w:jc w:val="both"/>
        <w:ind w:left="1280" w:hanging="701"/>
        <w:spacing w:after="0"/>
        <w:tabs>
          <w:tab w:leader="none" w:pos="1260" w:val="left"/>
        </w:tabs>
        <w:rPr>
          <w:sz w:val="20"/>
          <w:szCs w:val="20"/>
          <w:color w:val="auto"/>
        </w:rPr>
      </w:pPr>
      <w:r>
        <w:rPr>
          <w:rFonts w:ascii="Arial" w:cs="Arial" w:eastAsia="Arial" w:hAnsi="Arial"/>
          <w:sz w:val="22"/>
          <w:szCs w:val="22"/>
          <w:color w:val="auto"/>
        </w:rPr>
        <w:t>3.5.2</w:t>
        <w:tab/>
        <w:t>Upon termination of this Agreement, all rights and obligations of the Parties hereunder shall come to an end. Any party shall not have any other claim against other party under or for the termination of this Agreement, except for the liability under Article 4 hereof.</w:t>
      </w:r>
    </w:p>
    <w:p>
      <w:pPr>
        <w:spacing w:after="0" w:line="207" w:lineRule="exact"/>
        <w:rPr>
          <w:sz w:val="20"/>
          <w:szCs w:val="20"/>
          <w:color w:val="auto"/>
        </w:rPr>
      </w:pPr>
    </w:p>
    <w:p>
      <w:pPr>
        <w:ind w:left="3980"/>
        <w:spacing w:after="0"/>
        <w:tabs>
          <w:tab w:leader="none" w:pos="530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color w:val="auto"/>
        </w:rPr>
        <w:t>Liabilities for Breach</w:t>
      </w:r>
    </w:p>
    <w:p>
      <w:pPr>
        <w:spacing w:after="0" w:line="239" w:lineRule="exact"/>
        <w:rPr>
          <w:sz w:val="20"/>
          <w:szCs w:val="20"/>
          <w:color w:val="auto"/>
        </w:rPr>
      </w:pPr>
    </w:p>
    <w:p>
      <w:pPr>
        <w:jc w:val="both"/>
        <w:ind w:left="580" w:hanging="566"/>
        <w:spacing w:after="0" w:line="238" w:lineRule="auto"/>
        <w:tabs>
          <w:tab w:leader="none" w:pos="560" w:val="left"/>
        </w:tabs>
        <w:rPr>
          <w:sz w:val="20"/>
          <w:szCs w:val="20"/>
          <w:color w:val="auto"/>
        </w:rPr>
      </w:pPr>
      <w:r>
        <w:rPr>
          <w:rFonts w:ascii="Arial" w:cs="Arial" w:eastAsia="Arial" w:hAnsi="Arial"/>
          <w:sz w:val="22"/>
          <w:szCs w:val="22"/>
          <w:color w:val="auto"/>
        </w:rPr>
        <w:t>4.1</w:t>
        <w:tab/>
        <w:t>If any Party breaches the provisions hereof and fails to perform the Agreement in whole or in part, it shall be liable for breach of contract and indemnify the other Party for losses resulting therefrom (including legal costs and attorney's fees arising therefrom). In case of breach by more than one Party, each Party shall bear the corresponding liability based on the actual situation.</w:t>
      </w:r>
    </w:p>
    <w:p>
      <w:pPr>
        <w:spacing w:after="0" w:line="206" w:lineRule="exact"/>
        <w:rPr>
          <w:sz w:val="20"/>
          <w:szCs w:val="20"/>
          <w:color w:val="auto"/>
        </w:rPr>
      </w:pPr>
    </w:p>
    <w:p>
      <w:pPr>
        <w:ind w:left="4280"/>
        <w:spacing w:after="0"/>
        <w:tabs>
          <w:tab w:leader="none" w:pos="560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color w:val="auto"/>
        </w:rPr>
        <w:t>Force Majeure</w:t>
      </w:r>
    </w:p>
    <w:p>
      <w:pPr>
        <w:spacing w:after="0" w:line="239" w:lineRule="exact"/>
        <w:rPr>
          <w:sz w:val="20"/>
          <w:szCs w:val="20"/>
          <w:color w:val="auto"/>
        </w:rPr>
      </w:pPr>
    </w:p>
    <w:p>
      <w:pPr>
        <w:jc w:val="both"/>
        <w:ind w:left="580" w:hanging="566"/>
        <w:spacing w:after="0" w:line="248" w:lineRule="auto"/>
        <w:tabs>
          <w:tab w:leader="none" w:pos="5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In the event of an earthquake, typhoon, flood, fire, military action, strike, riot, war, or other unforeseeable events of force majeure beyond the reasonable control of any Party hereto (each “</w:t>
      </w:r>
      <w:r>
        <w:rPr>
          <w:rFonts w:ascii="Arial" w:cs="Arial" w:eastAsia="Arial" w:hAnsi="Arial"/>
          <w:sz w:val="21"/>
          <w:szCs w:val="21"/>
          <w:b w:val="1"/>
          <w:bCs w:val="1"/>
          <w:color w:val="auto"/>
        </w:rPr>
        <w:t>Force Majeure Event</w:t>
      </w:r>
      <w:r>
        <w:rPr>
          <w:rFonts w:ascii="Arial" w:cs="Arial" w:eastAsia="Arial" w:hAnsi="Arial"/>
          <w:sz w:val="21"/>
          <w:szCs w:val="21"/>
          <w:color w:val="auto"/>
        </w:rPr>
        <w:t>”), which prevents the performance of this Agreement, such Party shall immediately notify the other Parties without delay and shall, within fifteen (15) days after such notice is given, provide detailed information and supporting documents of such event, explaining the reason for the failure or delay in performing all or part of its obligations hereunder. The Parties shall, through consultation, seek to find and implement a solution acceptable to all Parties.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6" w:name="page87"/>
    <w:bookmarkEnd w:id="86"/>
    <w:p>
      <w:pPr>
        <w:jc w:val="both"/>
        <w:ind w:left="580" w:hanging="566"/>
        <w:spacing w:after="0" w:line="282" w:lineRule="auto"/>
        <w:tabs>
          <w:tab w:leader="none" w:pos="5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In case of any Force Majeure Event, the Party affected shall not be liable for any damage, cost increase or loss suffered by any other Party as a result of failure or delay in performance of its obligations hereunder due to the Force Majeure Event, and such failure or delay in performance hereof shall not be deemed to be a breach of this Agreement. The Party claiming a Force Majeure Event shall take appropriate measures to reduce or eliminate the impact of the Force Majeure Event and attempt to resume performance of the obligations delayed or hindered by the Force Majeure Event as soon as possible.</w:t>
      </w:r>
    </w:p>
    <w:p>
      <w:pPr>
        <w:spacing w:after="0" w:line="174" w:lineRule="exact"/>
        <w:rPr>
          <w:sz w:val="20"/>
          <w:szCs w:val="20"/>
          <w:color w:val="auto"/>
        </w:rPr>
      </w:pPr>
    </w:p>
    <w:p>
      <w:pPr>
        <w:jc w:val="both"/>
        <w:ind w:left="580" w:hanging="566"/>
        <w:spacing w:after="0" w:line="257" w:lineRule="auto"/>
        <w:tabs>
          <w:tab w:leader="none" w:pos="5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color w:val="auto"/>
        </w:rPr>
        <w:t>If a Force Majeure Event or its effect prevents one or both Parties from performing all or part of their obligations hereunder for a period of more than one (1) month, the Parties not affected by the force majeure shall have the right to terminate this Agreement and release part of their obligations hereunder or delay the performance hereof.</w:t>
      </w:r>
    </w:p>
    <w:p>
      <w:pPr>
        <w:spacing w:after="0" w:line="190" w:lineRule="exact"/>
        <w:rPr>
          <w:sz w:val="20"/>
          <w:szCs w:val="20"/>
          <w:color w:val="auto"/>
        </w:rPr>
      </w:pPr>
    </w:p>
    <w:p>
      <w:pPr>
        <w:jc w:val="center"/>
        <w:ind w:right="-19"/>
        <w:spacing w:after="0"/>
        <w:tabs>
          <w:tab w:leader="none" w:pos="34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color w:val="auto"/>
        </w:rPr>
        <w:t>Information Disclosure</w:t>
      </w:r>
    </w:p>
    <w:p>
      <w:pPr>
        <w:spacing w:after="0" w:line="239" w:lineRule="exact"/>
        <w:rPr>
          <w:sz w:val="20"/>
          <w:szCs w:val="20"/>
          <w:color w:val="auto"/>
        </w:rPr>
      </w:pPr>
    </w:p>
    <w:p>
      <w:pPr>
        <w:jc w:val="both"/>
        <w:ind w:left="580" w:hanging="566"/>
        <w:spacing w:after="0" w:line="252" w:lineRule="auto"/>
        <w:tabs>
          <w:tab w:leader="none" w:pos="5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The terms and rules relating to this Agreement and its annexes (including all terms and the existence of this Agreement and any related documents) are confidential information. Except as otherwise stipulated, the Parties hereto shall not disclose such confidential information to any third party, provided, however, that Xilong Scientific, as an listed company in the A-share market, may disclose relevant information about this Transaction.</w:t>
      </w:r>
    </w:p>
    <w:p>
      <w:pPr>
        <w:spacing w:after="0" w:line="201"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Each Party shall keep confidential all proprietary or confidential data and information related to the Group Companies or their business, or belonging to other Parties, or disclosed by any Party at any time for the negotiation of this Agreement, or for establishing or operating the Group Company, or relevant contents of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and shall not disclose such information to any third party or person other than the Parties hereto, the Group Company, the professional consultants and the relevant government departments.</w:t>
      </w:r>
    </w:p>
    <w:p>
      <w:pPr>
        <w:spacing w:after="0" w:line="147" w:lineRule="exact"/>
        <w:rPr>
          <w:sz w:val="20"/>
          <w:szCs w:val="20"/>
          <w:color w:val="auto"/>
        </w:rPr>
      </w:pPr>
    </w:p>
    <w:p>
      <w:pPr>
        <w:jc w:val="both"/>
        <w:ind w:left="580" w:hanging="566"/>
        <w:spacing w:after="0"/>
        <w:tabs>
          <w:tab w:leader="none" w:pos="560" w:val="left"/>
        </w:tabs>
        <w:rPr>
          <w:sz w:val="20"/>
          <w:szCs w:val="20"/>
          <w:color w:val="auto"/>
        </w:rPr>
      </w:pPr>
      <w:r>
        <w:rPr>
          <w:rFonts w:ascii="Arial" w:cs="Arial" w:eastAsia="Arial" w:hAnsi="Arial"/>
          <w:sz w:val="22"/>
          <w:szCs w:val="22"/>
          <w:color w:val="auto"/>
        </w:rPr>
        <w:t>6.3</w:t>
        <w:tab/>
        <w:t>Each Party agrees and undertakes to procure its appointed directors not to use any Confidential Information for the purpose of exercising their functions as directors or for any purpose other than the purpose of carrying out the business of the Group Companies,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7" w:name="page88"/>
    <w:bookmarkEnd w:id="87"/>
    <w:p>
      <w:pPr>
        <w:ind w:left="580"/>
        <w:spacing w:after="0" w:line="250" w:lineRule="auto"/>
        <w:rPr>
          <w:sz w:val="20"/>
          <w:szCs w:val="20"/>
          <w:color w:val="auto"/>
        </w:rPr>
      </w:pPr>
      <w:r>
        <w:rPr>
          <w:rFonts w:ascii="Arial" w:cs="Arial" w:eastAsia="Arial" w:hAnsi="Arial"/>
          <w:sz w:val="22"/>
          <w:szCs w:val="22"/>
          <w:color w:val="auto"/>
        </w:rPr>
        <w:t>provided that such directors may use the same when they report to their appointing Parties, but such appointing Parties shall fulfill the confidentiality obligations hereunder.</w:t>
      </w:r>
    </w:p>
    <w:p>
      <w:pPr>
        <w:spacing w:after="0" w:line="202" w:lineRule="exact"/>
        <w:rPr>
          <w:sz w:val="20"/>
          <w:szCs w:val="20"/>
          <w:color w:val="auto"/>
        </w:rPr>
      </w:pPr>
    </w:p>
    <w:p>
      <w:pPr>
        <w:jc w:val="both"/>
        <w:ind w:left="580" w:hanging="566"/>
        <w:spacing w:after="0" w:line="238" w:lineRule="auto"/>
        <w:tabs>
          <w:tab w:leader="none" w:pos="560" w:val="left"/>
        </w:tabs>
        <w:rPr>
          <w:sz w:val="20"/>
          <w:szCs w:val="20"/>
          <w:color w:val="auto"/>
        </w:rPr>
      </w:pPr>
      <w:r>
        <w:rPr>
          <w:rFonts w:ascii="Arial" w:cs="Arial" w:eastAsia="Arial" w:hAnsi="Arial"/>
          <w:sz w:val="22"/>
          <w:szCs w:val="22"/>
          <w:color w:val="auto"/>
        </w:rPr>
        <w:t>6.4</w:t>
        <w:tab/>
        <w:t>Notwithstanding the foregoing, the Parties shall have the right to reveal the Restructuring to its own investors, partners, fund management companies, investment banks, accountants, legal counsel, potential investors in good faith, employees, lenders and business partners, provided that the individual or organization receiving the information has agreed to keep the information confidential.</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The restrictions set forth in Article 6 shall not apply to information disclosed in the following circumstances:</w:t>
      </w:r>
    </w:p>
    <w:p>
      <w:pPr>
        <w:spacing w:after="0" w:line="233" w:lineRule="exact"/>
        <w:rPr>
          <w:sz w:val="20"/>
          <w:szCs w:val="20"/>
          <w:color w:val="auto"/>
        </w:rPr>
      </w:pPr>
    </w:p>
    <w:p>
      <w:pPr>
        <w:ind w:left="1280" w:hanging="705"/>
        <w:spacing w:after="0"/>
        <w:tabs>
          <w:tab w:leader="none" w:pos="1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information required to be disclosed or used by the Laws or any regulatory authority of China;</w:t>
      </w:r>
    </w:p>
    <w:p>
      <w:pPr>
        <w:spacing w:after="0" w:line="233" w:lineRule="exact"/>
        <w:rPr>
          <w:rFonts w:ascii="Arial" w:cs="Arial" w:eastAsia="Arial" w:hAnsi="Arial"/>
          <w:sz w:val="22"/>
          <w:szCs w:val="22"/>
          <w:color w:val="auto"/>
        </w:rPr>
      </w:pPr>
    </w:p>
    <w:p>
      <w:pPr>
        <w:ind w:left="1280" w:hanging="705"/>
        <w:spacing w:after="0" w:line="328" w:lineRule="auto"/>
        <w:tabs>
          <w:tab w:leader="none" w:pos="12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information required to be disclosed or used in any judicial proceedings arising out of this Agreement or any other agreement entered into pursuant to this Agreement or reasonably disclosed to the tax authorities;</w:t>
      </w:r>
    </w:p>
    <w:p>
      <w:pPr>
        <w:spacing w:after="0" w:line="131" w:lineRule="exact"/>
        <w:rPr>
          <w:rFonts w:ascii="Arial" w:cs="Arial" w:eastAsia="Arial" w:hAnsi="Arial"/>
          <w:sz w:val="19"/>
          <w:szCs w:val="19"/>
          <w:color w:val="auto"/>
        </w:rPr>
      </w:pPr>
    </w:p>
    <w:p>
      <w:pPr>
        <w:jc w:val="both"/>
        <w:ind w:left="1280" w:hanging="705"/>
        <w:spacing w:after="0"/>
        <w:tabs>
          <w:tab w:leader="none" w:pos="1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information disclosed to the professional counsel of each Party, provided that each Party shall require such professional consultant to comply with the provisions of Article 6 with respect to such Confidential Information as if it were a Party hereto;</w:t>
      </w:r>
    </w:p>
    <w:p>
      <w:pPr>
        <w:spacing w:after="0" w:line="213" w:lineRule="exact"/>
        <w:rPr>
          <w:rFonts w:ascii="Arial" w:cs="Arial" w:eastAsia="Arial" w:hAnsi="Arial"/>
          <w:sz w:val="22"/>
          <w:szCs w:val="22"/>
          <w:color w:val="auto"/>
        </w:rPr>
      </w:pPr>
    </w:p>
    <w:p>
      <w:pPr>
        <w:ind w:left="1280" w:hanging="705"/>
        <w:spacing w:after="0"/>
        <w:tabs>
          <w:tab w:leader="none" w:pos="12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information that has entered the public domain for any reason not attributable to the Parties hereto; and</w:t>
      </w:r>
    </w:p>
    <w:p>
      <w:pPr>
        <w:spacing w:after="0" w:line="267" w:lineRule="exact"/>
        <w:rPr>
          <w:rFonts w:ascii="Arial" w:cs="Arial" w:eastAsia="Arial" w:hAnsi="Arial"/>
          <w:sz w:val="19"/>
          <w:szCs w:val="19"/>
          <w:color w:val="auto"/>
        </w:rPr>
      </w:pPr>
    </w:p>
    <w:p>
      <w:pPr>
        <w:ind w:left="1280" w:hanging="705"/>
        <w:spacing w:after="0"/>
        <w:tabs>
          <w:tab w:leader="none" w:pos="1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information disclosed or used by all other Parties with prior written approval.</w:t>
      </w:r>
    </w:p>
    <w:p>
      <w:pPr>
        <w:spacing w:after="0" w:line="233" w:lineRule="exact"/>
        <w:rPr>
          <w:sz w:val="20"/>
          <w:szCs w:val="20"/>
          <w:color w:val="auto"/>
        </w:rPr>
      </w:pPr>
    </w:p>
    <w:p>
      <w:pPr>
        <w:jc w:val="both"/>
        <w:ind w:left="720"/>
        <w:spacing w:after="0" w:line="297" w:lineRule="auto"/>
        <w:rPr>
          <w:sz w:val="20"/>
          <w:szCs w:val="20"/>
          <w:color w:val="auto"/>
        </w:rPr>
      </w:pPr>
      <w:r>
        <w:rPr>
          <w:rFonts w:ascii="Arial" w:cs="Arial" w:eastAsia="Arial" w:hAnsi="Arial"/>
          <w:sz w:val="19"/>
          <w:szCs w:val="19"/>
          <w:color w:val="auto"/>
        </w:rPr>
        <w:t>If the Confidential Information is disclosed for any of the said reasons set forth in (i) or (ii), the Party disclosing the information shall discuss the disclosure and submission of the information with the other Parties at a reasonable time before the disclosure or submission of the information, and shall, as far as possible, make the receiving Party keep</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8" w:name="page89"/>
    <w:bookmarkEnd w:id="88"/>
    <w:p>
      <w:pPr>
        <w:ind w:left="720"/>
        <w:spacing w:after="0" w:line="250" w:lineRule="auto"/>
        <w:rPr>
          <w:sz w:val="20"/>
          <w:szCs w:val="20"/>
          <w:color w:val="auto"/>
        </w:rPr>
      </w:pPr>
      <w:r>
        <w:rPr>
          <w:rFonts w:ascii="Arial" w:cs="Arial" w:eastAsia="Arial" w:hAnsi="Arial"/>
          <w:sz w:val="22"/>
          <w:szCs w:val="22"/>
          <w:color w:val="auto"/>
        </w:rPr>
        <w:t>the part of the information disclosed or submitted confidential if the other Parties requires the disclosure or submission of the information.</w:t>
      </w:r>
    </w:p>
    <w:p>
      <w:pPr>
        <w:spacing w:after="0" w:line="196" w:lineRule="exact"/>
        <w:rPr>
          <w:sz w:val="20"/>
          <w:szCs w:val="20"/>
          <w:color w:val="auto"/>
        </w:rPr>
      </w:pPr>
    </w:p>
    <w:p>
      <w:pPr>
        <w:ind w:left="3080"/>
        <w:spacing w:after="0"/>
        <w:tabs>
          <w:tab w:leader="none" w:pos="440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color w:val="auto"/>
        </w:rPr>
        <w:t>Governing Law and Disputes Settlement</w:t>
      </w:r>
    </w:p>
    <w:p>
      <w:pPr>
        <w:spacing w:after="0" w:line="239" w:lineRule="exact"/>
        <w:rPr>
          <w:sz w:val="20"/>
          <w:szCs w:val="20"/>
          <w:color w:val="auto"/>
        </w:rPr>
      </w:pPr>
    </w:p>
    <w:p>
      <w:pPr>
        <w:jc w:val="both"/>
        <w:ind w:left="580" w:hanging="566"/>
        <w:spacing w:after="0" w:line="238" w:lineRule="auto"/>
        <w:tabs>
          <w:tab w:leader="none" w:pos="560" w:val="left"/>
        </w:tabs>
        <w:rPr>
          <w:sz w:val="20"/>
          <w:szCs w:val="20"/>
          <w:color w:val="auto"/>
        </w:rPr>
      </w:pPr>
      <w:r>
        <w:rPr>
          <w:rFonts w:ascii="Arial" w:cs="Arial" w:eastAsia="Arial" w:hAnsi="Arial"/>
          <w:sz w:val="22"/>
          <w:szCs w:val="22"/>
          <w:color w:val="auto"/>
        </w:rPr>
        <w:t>7.1</w:t>
        <w:tab/>
        <w:t>The execution, effectiveness, interpretation, performance and dispute resolution of this Agreement shall be governed by, and construed in accordance with, the Laws of China. However, in case any matter related to this Agreement are not provided for in the published Laws of China, general international business practices shall apply, mutatis mutandis, to the extent permitted by the Laws of China.</w:t>
      </w:r>
    </w:p>
    <w:p>
      <w:pPr>
        <w:spacing w:after="0" w:line="212" w:lineRule="exact"/>
        <w:rPr>
          <w:sz w:val="20"/>
          <w:szCs w:val="20"/>
          <w:color w:val="auto"/>
        </w:rPr>
      </w:pPr>
    </w:p>
    <w:p>
      <w:pPr>
        <w:jc w:val="both"/>
        <w:ind w:left="580" w:hanging="566"/>
        <w:spacing w:after="0" w:line="279" w:lineRule="auto"/>
        <w:tabs>
          <w:tab w:leader="none" w:pos="5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Any and all disputes arising out of or in connection with the performance of this Agreement shall be settled by the Parties through friendly negotiation. If any dispute cannot be settled through negotiation within fifteen (15) days after the occurrence of such dispute, any Party shall have the right to submit such dispute to the Shenzhen International Arbitration Court for arbitration in accordance with the arbitration rules of such court in effect at that time. The arbitration shall be conducted in accordance with the ordinary arbitration procedures. The language of arbitration shall be Chinese. The place of arbitration is Shenzhen. The arbitral award shall be final and binding upon both Parties.</w:t>
      </w:r>
    </w:p>
    <w:p>
      <w:pPr>
        <w:spacing w:after="0" w:line="177" w:lineRule="exact"/>
        <w:rPr>
          <w:sz w:val="20"/>
          <w:szCs w:val="20"/>
          <w:color w:val="auto"/>
        </w:rPr>
      </w:pPr>
    </w:p>
    <w:p>
      <w:pPr>
        <w:jc w:val="both"/>
        <w:ind w:left="580" w:right="20" w:hanging="566"/>
        <w:spacing w:after="0" w:line="250" w:lineRule="auto"/>
        <w:tabs>
          <w:tab w:leader="none" w:pos="560" w:val="left"/>
        </w:tabs>
        <w:rPr>
          <w:sz w:val="20"/>
          <w:szCs w:val="20"/>
          <w:color w:val="auto"/>
        </w:rPr>
      </w:pPr>
      <w:r>
        <w:rPr>
          <w:rFonts w:ascii="Arial" w:cs="Arial" w:eastAsia="Arial" w:hAnsi="Arial"/>
          <w:sz w:val="22"/>
          <w:szCs w:val="22"/>
          <w:color w:val="auto"/>
        </w:rPr>
        <w:t>7.3</w:t>
        <w:tab/>
        <w:t>During the settlement of the dispute, each Party shall continue to have its other rights hereunder and shall continue to perform its corresponding obligations under this Agreement.</w:t>
      </w:r>
    </w:p>
    <w:p>
      <w:pPr>
        <w:spacing w:after="0" w:line="196" w:lineRule="exact"/>
        <w:rPr>
          <w:sz w:val="20"/>
          <w:szCs w:val="20"/>
          <w:color w:val="auto"/>
        </w:rPr>
      </w:pPr>
    </w:p>
    <w:p>
      <w:pPr>
        <w:ind w:left="3740"/>
        <w:spacing w:after="0"/>
        <w:tabs>
          <w:tab w:leader="none" w:pos="506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color w:val="auto"/>
        </w:rPr>
        <w:t>Supplementary Provisions</w:t>
      </w:r>
    </w:p>
    <w:p>
      <w:pPr>
        <w:spacing w:after="0" w:line="23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Headings used herein are for reference only and shall not affect the meaning or interpretation of any provision hereof.</w:t>
      </w:r>
    </w:p>
    <w:p>
      <w:pPr>
        <w:spacing w:after="0" w:line="233" w:lineRule="exact"/>
        <w:rPr>
          <w:sz w:val="20"/>
          <w:szCs w:val="20"/>
          <w:color w:val="auto"/>
        </w:rPr>
      </w:pPr>
    </w:p>
    <w:p>
      <w:pPr>
        <w:jc w:val="both"/>
        <w:ind w:left="580" w:hanging="566"/>
        <w:spacing w:after="0"/>
        <w:tabs>
          <w:tab w:leader="none" w:pos="560" w:val="left"/>
        </w:tabs>
        <w:rPr>
          <w:sz w:val="20"/>
          <w:szCs w:val="20"/>
          <w:color w:val="auto"/>
        </w:rPr>
      </w:pPr>
      <w:r>
        <w:rPr>
          <w:rFonts w:ascii="Arial" w:cs="Arial" w:eastAsia="Arial" w:hAnsi="Arial"/>
          <w:sz w:val="22"/>
          <w:szCs w:val="22"/>
          <w:color w:val="auto"/>
        </w:rPr>
        <w:t>8.2</w:t>
        <w:tab/>
        <w:t>Except as amended, supplemented or modified in writing after execution hereof, this Agreement and its annexes constitute the entire agreement between the Parties with respect to the Restructuring and supersede any prior agreements (including but not limited to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9" w:name="page90"/>
    <w:bookmarkEnd w:id="89"/>
    <w:p>
      <w:pPr>
        <w:jc w:val="both"/>
        <w:ind w:left="580"/>
        <w:spacing w:after="0" w:line="236" w:lineRule="auto"/>
        <w:rPr>
          <w:sz w:val="20"/>
          <w:szCs w:val="20"/>
          <w:color w:val="auto"/>
        </w:rPr>
      </w:pPr>
      <w:r>
        <w:rPr>
          <w:rFonts w:ascii="Arial" w:cs="Arial" w:eastAsia="Arial" w:hAnsi="Arial"/>
          <w:sz w:val="22"/>
          <w:szCs w:val="22"/>
          <w:color w:val="auto"/>
        </w:rPr>
        <w:t>Equity Transfer Agreement of Fujian Fujun Gene Biotech Co., Ltd signed by the Parties hereto on May 6, 2021, the “</w:t>
      </w:r>
      <w:r>
        <w:rPr>
          <w:rFonts w:ascii="Arial" w:cs="Arial" w:eastAsia="Arial" w:hAnsi="Arial"/>
          <w:sz w:val="22"/>
          <w:szCs w:val="22"/>
          <w:b w:val="1"/>
          <w:bCs w:val="1"/>
          <w:color w:val="auto"/>
        </w:rPr>
        <w:t>Prior</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Agreements</w:t>
      </w:r>
      <w:r>
        <w:rPr>
          <w:rFonts w:ascii="Arial" w:cs="Arial" w:eastAsia="Arial" w:hAnsi="Arial"/>
          <w:sz w:val="22"/>
          <w:szCs w:val="22"/>
          <w:color w:val="auto"/>
        </w:rPr>
        <w:t>”), term sheets, memoranda of understanding, representations or other obligations (whether written or oral,</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any form of communication) between the Parties with respect to the Restructuring. In case of any inconsistency between such agreements (including but not limited to the Prior Agreements), term sheets, memoranda of understanding, representations or other obligations (whether written or oral, including any form of communication) and this Agreement, this Agreement shall prevail.</w:t>
      </w:r>
    </w:p>
    <w:p>
      <w:pPr>
        <w:spacing w:after="0" w:line="215" w:lineRule="exact"/>
        <w:rPr>
          <w:sz w:val="20"/>
          <w:szCs w:val="20"/>
          <w:color w:val="auto"/>
        </w:rPr>
      </w:pPr>
    </w:p>
    <w:p>
      <w:pPr>
        <w:jc w:val="both"/>
        <w:ind w:left="580" w:hanging="566"/>
        <w:spacing w:after="0" w:line="238" w:lineRule="auto"/>
        <w:tabs>
          <w:tab w:leader="none" w:pos="560" w:val="left"/>
        </w:tabs>
        <w:rPr>
          <w:sz w:val="20"/>
          <w:szCs w:val="20"/>
          <w:color w:val="auto"/>
        </w:rPr>
      </w:pPr>
      <w:r>
        <w:rPr>
          <w:rFonts w:ascii="Arial" w:cs="Arial" w:eastAsia="Arial" w:hAnsi="Arial"/>
          <w:sz w:val="22"/>
          <w:szCs w:val="22"/>
          <w:color w:val="auto"/>
        </w:rPr>
        <w:t>8.3</w:t>
        <w:tab/>
        <w:t>If any provision of this Agreement is invalid or unenforceable under any applicable Laws of China, such provision shall be deemed to be non-existent from the beginning without affecting the validity of the other provisions of this Agreement. The Parties hereto shall, to the extent permitted by law, negotiate and determine new terms to ensure that the intention of the original terms is fully realized.</w:t>
      </w:r>
    </w:p>
    <w:p>
      <w:pPr>
        <w:spacing w:after="0" w:line="212" w:lineRule="exact"/>
        <w:rPr>
          <w:sz w:val="20"/>
          <w:szCs w:val="20"/>
          <w:color w:val="auto"/>
        </w:rPr>
      </w:pPr>
    </w:p>
    <w:p>
      <w:pPr>
        <w:jc w:val="both"/>
        <w:ind w:left="580" w:hanging="566"/>
        <w:spacing w:after="0" w:line="250" w:lineRule="auto"/>
        <w:tabs>
          <w:tab w:leader="none" w:pos="560" w:val="left"/>
        </w:tabs>
        <w:rPr>
          <w:sz w:val="20"/>
          <w:szCs w:val="20"/>
          <w:color w:val="auto"/>
        </w:rPr>
      </w:pPr>
      <w:r>
        <w:rPr>
          <w:rFonts w:ascii="Arial" w:cs="Arial" w:eastAsia="Arial" w:hAnsi="Arial"/>
          <w:sz w:val="22"/>
          <w:szCs w:val="22"/>
          <w:color w:val="auto"/>
        </w:rPr>
        <w:t>8.4</w:t>
        <w:tab/>
        <w:t>This Agreement shall be binding upon the successors and assignees of each Party. The said successors and assignees shall have the rights and interests hereunder.</w:t>
      </w:r>
    </w:p>
    <w:p>
      <w:pPr>
        <w:spacing w:after="0" w:line="202" w:lineRule="exact"/>
        <w:rPr>
          <w:sz w:val="20"/>
          <w:szCs w:val="20"/>
          <w:color w:val="auto"/>
        </w:rPr>
      </w:pPr>
    </w:p>
    <w:p>
      <w:pPr>
        <w:jc w:val="both"/>
        <w:ind w:left="580" w:hanging="566"/>
        <w:spacing w:after="0"/>
        <w:tabs>
          <w:tab w:leader="none" w:pos="560" w:val="left"/>
        </w:tabs>
        <w:rPr>
          <w:sz w:val="20"/>
          <w:szCs w:val="20"/>
          <w:color w:val="auto"/>
        </w:rPr>
      </w:pPr>
      <w:r>
        <w:rPr>
          <w:rFonts w:ascii="Arial" w:cs="Arial" w:eastAsia="Arial" w:hAnsi="Arial"/>
          <w:sz w:val="22"/>
          <w:szCs w:val="22"/>
          <w:color w:val="auto"/>
        </w:rPr>
        <w:t>8.5</w:t>
        <w:tab/>
        <w:t>Except as otherwise provided herein, any Party’s failure or delay in exercising any right, power or privilege hereunder shall not constitute its waiver of such right, power or privilege, nor any single or partial exercise of such right, power or privilege shall preclude the exercise of any other right, power or privilege.</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color w:val="auto"/>
        </w:rPr>
        <w:t>This Parties agree that, the Cooperation Agreement shall be terminated upon the Date of Signing of this Agreement.</w:t>
      </w:r>
    </w:p>
    <w:p>
      <w:pPr>
        <w:spacing w:after="0" w:line="206" w:lineRule="exact"/>
        <w:rPr>
          <w:sz w:val="20"/>
          <w:szCs w:val="20"/>
          <w:color w:val="auto"/>
        </w:rPr>
      </w:pPr>
    </w:p>
    <w:p>
      <w:pPr>
        <w:jc w:val="both"/>
        <w:ind w:left="580" w:hanging="566"/>
        <w:spacing w:after="0"/>
        <w:tabs>
          <w:tab w:leader="none" w:pos="560" w:val="left"/>
        </w:tabs>
        <w:rPr>
          <w:sz w:val="20"/>
          <w:szCs w:val="20"/>
          <w:color w:val="auto"/>
        </w:rPr>
      </w:pPr>
      <w:r>
        <w:rPr>
          <w:rFonts w:ascii="Arial" w:cs="Arial" w:eastAsia="Arial" w:hAnsi="Arial"/>
          <w:sz w:val="22"/>
          <w:szCs w:val="22"/>
          <w:color w:val="auto"/>
        </w:rPr>
        <w:t>8.7</w:t>
        <w:tab/>
        <w:t>This Agreement is made in eight copies, with each Party holding one of them which shall have the same legal effect. A photocopy or scanned copy of the signed page sent by the Parties by fax or e-mail shall be deemed to be a signed original and shall have the same legal effect as the original.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 of the body text]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0" w:name="page91"/>
    <w:bookmarkEnd w:id="90"/>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Fujian Fujun Gene Biotech Co., Ltd. (seal)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Shaoqun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Shaoqun HUANG</w:t>
      </w:r>
    </w:p>
    <w:p>
      <w:pPr>
        <w:spacing w:after="0"/>
        <w:rPr>
          <w:sz w:val="20"/>
          <w:szCs w:val="20"/>
          <w:color w:val="auto"/>
        </w:rPr>
      </w:pPr>
      <w:r>
        <w:rPr>
          <w:rFonts w:ascii="Arial" w:cs="Arial" w:eastAsia="Arial" w:hAnsi="Arial"/>
          <w:sz w:val="22"/>
          <w:szCs w:val="22"/>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1" w:name="page92"/>
    <w:bookmarkEnd w:id="91"/>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Fulgent Investment Development Limited (seal)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MING HSIEH</w:t>
      </w: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2" w:name="page93"/>
    <w:bookmarkEnd w:id="92"/>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Shenzhen Mingrui Consulting Co., Ltd. (seal)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Xiaoyong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Xiaoyong YANG</w:t>
      </w:r>
    </w:p>
    <w:p>
      <w:pPr>
        <w:spacing w:after="0"/>
        <w:rPr>
          <w:sz w:val="20"/>
          <w:szCs w:val="20"/>
          <w:color w:val="auto"/>
        </w:rPr>
      </w:pPr>
      <w:r>
        <w:rPr>
          <w:rFonts w:ascii="Arial" w:cs="Arial" w:eastAsia="Arial" w:hAnsi="Arial"/>
          <w:sz w:val="22"/>
          <w:szCs w:val="22"/>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3" w:name="page94"/>
    <w:bookmarkEnd w:id="93"/>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Shenzhen Fujin Gene Technology Co., Ltd. (seal)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Hanlin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Hanlin GAO</w:t>
      </w:r>
    </w:p>
    <w:p>
      <w:pPr>
        <w:spacing w:after="0"/>
        <w:rPr>
          <w:sz w:val="20"/>
          <w:szCs w:val="20"/>
          <w:color w:val="auto"/>
        </w:rPr>
      </w:pPr>
      <w:r>
        <w:rPr>
          <w:rFonts w:ascii="Arial" w:cs="Arial" w:eastAsia="Arial" w:hAnsi="Arial"/>
          <w:sz w:val="22"/>
          <w:szCs w:val="22"/>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4" w:name="page95"/>
    <w:bookmarkEnd w:id="94"/>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Xilong Scientific Co., Ltd. (seal)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Weipeng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Weipeng HUANG</w:t>
      </w:r>
    </w:p>
    <w:p>
      <w:pPr>
        <w:spacing w:after="0"/>
        <w:rPr>
          <w:sz w:val="20"/>
          <w:szCs w:val="20"/>
          <w:color w:val="auto"/>
        </w:rPr>
      </w:pPr>
      <w:r>
        <w:rPr>
          <w:rFonts w:ascii="Arial" w:cs="Arial" w:eastAsia="Arial" w:hAnsi="Arial"/>
          <w:sz w:val="22"/>
          <w:szCs w:val="22"/>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5" w:name="page96"/>
    <w:bookmarkEnd w:id="95"/>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Fuzhou Jinqiang Investment Partnership (Limited Partnership) (seal)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Shaoyi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Shaoyi CHEN</w:t>
      </w:r>
    </w:p>
    <w:p>
      <w:pPr>
        <w:spacing w:after="0"/>
        <w:rPr>
          <w:sz w:val="20"/>
          <w:szCs w:val="20"/>
          <w:color w:val="auto"/>
        </w:rPr>
      </w:pPr>
      <w:r>
        <w:rPr>
          <w:rFonts w:ascii="Arial" w:cs="Arial" w:eastAsia="Arial" w:hAnsi="Arial"/>
          <w:sz w:val="22"/>
          <w:szCs w:val="22"/>
          <w:color w:val="auto"/>
        </w:rPr>
        <w:t>Title: Executive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6" w:name="page97"/>
    <w:bookmarkEnd w:id="96"/>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Hanlin GAO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Hanlin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Signature page of the </w:t>
      </w:r>
      <w:r>
        <w:rPr>
          <w:rFonts w:ascii="Arial" w:cs="Arial" w:eastAsia="Arial" w:hAnsi="Arial"/>
          <w:sz w:val="22"/>
          <w:szCs w:val="22"/>
          <w:i w:val="1"/>
          <w:iCs w:val="1"/>
          <w:color w:val="auto"/>
        </w:rPr>
        <w:t>Restructuring Agreement of Fujian Fulgent Biotechnology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37" w:right="719" w:bottom="1440" w:gutter="0" w:footer="0" w:header="0"/>
        </w:sectPr>
      </w:pPr>
    </w:p>
    <w:bookmarkStart w:id="97" w:name="page98"/>
    <w:bookmarkEnd w:id="97"/>
    <w:p>
      <w:pPr>
        <w:ind w:left="480"/>
        <w:spacing w:after="0"/>
        <w:rPr>
          <w:sz w:val="20"/>
          <w:szCs w:val="20"/>
          <w:color w:val="auto"/>
        </w:rPr>
      </w:pPr>
      <w:r>
        <w:rPr>
          <w:rFonts w:ascii="Arial" w:cs="Arial" w:eastAsia="Arial" w:hAnsi="Arial"/>
          <w:sz w:val="19"/>
          <w:szCs w:val="19"/>
          <w:color w:val="auto"/>
        </w:rPr>
        <w:t xml:space="preserve">[No body text below. This is the signature page of the </w:t>
      </w:r>
      <w:r>
        <w:rPr>
          <w:rFonts w:ascii="Arial" w:cs="Arial" w:eastAsia="Arial" w:hAnsi="Arial"/>
          <w:sz w:val="19"/>
          <w:szCs w:val="19"/>
          <w:i w:val="1"/>
          <w:iCs w:val="1"/>
          <w:color w:val="auto"/>
        </w:rPr>
        <w:t>Restructuring Agreement of Fujian Fujun Gene Biotech Co., Ltd.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Shaoyi CHEN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Shaoyi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1108710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77" w:right="71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280"/>
        </w:trPr>
        <w:tc>
          <w:tcPr>
            <w:tcW w:w="2500" w:type="dxa"/>
            <w:vAlign w:val="bottom"/>
          </w:tcPr>
          <w:p>
            <w:pPr>
              <w:spacing w:after="0"/>
              <w:rPr>
                <w:sz w:val="24"/>
                <w:szCs w:val="24"/>
                <w:color w:val="auto"/>
              </w:rPr>
            </w:pPr>
          </w:p>
        </w:tc>
        <w:tc>
          <w:tcPr>
            <w:tcW w:w="1560" w:type="dxa"/>
            <w:vAlign w:val="bottom"/>
          </w:tcPr>
          <w:p>
            <w:pPr>
              <w:ind w:left="540"/>
              <w:spacing w:after="0"/>
              <w:rPr>
                <w:sz w:val="20"/>
                <w:szCs w:val="20"/>
                <w:color w:val="auto"/>
              </w:rPr>
            </w:pPr>
            <w:r>
              <w:rPr>
                <w:rFonts w:ascii="Arial" w:cs="Arial" w:eastAsia="Arial" w:hAnsi="Arial"/>
                <w:sz w:val="22"/>
                <w:szCs w:val="22"/>
                <w:b w:val="1"/>
                <w:bCs w:val="1"/>
                <w:color w:val="auto"/>
              </w:rPr>
              <w:t>Annex 1</w:t>
            </w:r>
          </w:p>
        </w:tc>
        <w:tc>
          <w:tcPr>
            <w:tcW w:w="4260" w:type="dxa"/>
            <w:vAlign w:val="bottom"/>
            <w:gridSpan w:val="2"/>
          </w:tcPr>
          <w:p>
            <w:pPr>
              <w:ind w:left="280"/>
              <w:spacing w:after="0"/>
              <w:rPr>
                <w:sz w:val="20"/>
                <w:szCs w:val="20"/>
                <w:color w:val="auto"/>
              </w:rPr>
            </w:pPr>
            <w:r>
              <w:rPr>
                <w:rFonts w:ascii="Arial" w:cs="Arial" w:eastAsia="Arial" w:hAnsi="Arial"/>
                <w:sz w:val="22"/>
                <w:szCs w:val="22"/>
                <w:b w:val="1"/>
                <w:bCs w:val="1"/>
                <w:color w:val="auto"/>
                <w:w w:val="92"/>
              </w:rPr>
              <w:t>Shareholding Structure of Fujian Fulgent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5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Name</w:t>
            </w:r>
          </w:p>
        </w:tc>
        <w:tc>
          <w:tcPr>
            <w:tcW w:w="2780" w:type="dxa"/>
            <w:vAlign w:val="bottom"/>
            <w:tcBorders>
              <w:right w:val="single" w:sz="8" w:color="auto"/>
            </w:tcBorders>
            <w:gridSpan w:val="2"/>
          </w:tcPr>
          <w:p>
            <w:pPr>
              <w:jc w:val="center"/>
              <w:spacing w:after="0" w:line="209" w:lineRule="exact"/>
              <w:rPr>
                <w:sz w:val="20"/>
                <w:szCs w:val="20"/>
                <w:color w:val="auto"/>
              </w:rPr>
            </w:pPr>
            <w:r>
              <w:rPr>
                <w:rFonts w:ascii="Arial" w:cs="Arial" w:eastAsia="Arial" w:hAnsi="Arial"/>
                <w:sz w:val="22"/>
                <w:szCs w:val="22"/>
                <w:b w:val="1"/>
                <w:bCs w:val="1"/>
                <w:color w:val="auto"/>
                <w:w w:val="89"/>
              </w:rPr>
              <w:t>Subscribed Capital</w:t>
            </w:r>
          </w:p>
        </w:tc>
        <w:tc>
          <w:tcPr>
            <w:tcW w:w="30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92"/>
              </w:rPr>
              <w:t>Paid-in Capital Contribution</w:t>
            </w:r>
          </w:p>
        </w:tc>
        <w:tc>
          <w:tcPr>
            <w:tcW w:w="29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89"/>
              </w:rPr>
              <w:t>Shareholding Ratio</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right w:val="single" w:sz="8" w:color="auto"/>
            </w:tcBorders>
            <w:vMerge w:val="continue"/>
          </w:tcPr>
          <w:p>
            <w:pPr>
              <w:spacing w:after="0"/>
              <w:rPr>
                <w:sz w:val="13"/>
                <w:szCs w:val="13"/>
                <w:color w:val="auto"/>
              </w:rPr>
            </w:pPr>
          </w:p>
        </w:tc>
        <w:tc>
          <w:tcPr>
            <w:tcW w:w="2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2"/>
                <w:szCs w:val="22"/>
                <w:b w:val="1"/>
                <w:bCs w:val="1"/>
                <w:color w:val="auto"/>
                <w:w w:val="93"/>
              </w:rPr>
              <w:t>Contribution (CNY)</w:t>
            </w:r>
          </w:p>
        </w:tc>
        <w:tc>
          <w:tcPr>
            <w:tcW w:w="3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(CNY)</w:t>
            </w:r>
          </w:p>
        </w:tc>
        <w:tc>
          <w:tcPr>
            <w:tcW w:w="2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00" w:type="dxa"/>
            <w:vAlign w:val="bottom"/>
            <w:tcBorders>
              <w:left w:val="single" w:sz="8" w:color="auto"/>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gridSpan w:val="2"/>
            <w:vMerge w:val="continue"/>
          </w:tcPr>
          <w:p>
            <w:pPr>
              <w:spacing w:after="0"/>
              <w:rPr>
                <w:sz w:val="9"/>
                <w:szCs w:val="9"/>
                <w:color w:val="auto"/>
              </w:rPr>
            </w:pPr>
          </w:p>
        </w:tc>
        <w:tc>
          <w:tcPr>
            <w:tcW w:w="3040" w:type="dxa"/>
            <w:vAlign w:val="bottom"/>
            <w:tcBorders>
              <w:bottom w:val="single" w:sz="8" w:color="auto"/>
              <w:right w:val="single" w:sz="8" w:color="auto"/>
            </w:tcBorders>
            <w:vMerge w:val="continue"/>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5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Shenzhen Fujin Gene</w:t>
            </w:r>
          </w:p>
        </w:tc>
        <w:tc>
          <w:tcPr>
            <w:tcW w:w="2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2"/>
                <w:szCs w:val="22"/>
                <w:color w:val="auto"/>
                <w:w w:val="88"/>
              </w:rPr>
              <w:t>30,000,000</w:t>
            </w:r>
          </w:p>
        </w:tc>
        <w:tc>
          <w:tcPr>
            <w:tcW w:w="3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30,113,690</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30%</w:t>
            </w:r>
          </w:p>
        </w:tc>
        <w:tc>
          <w:tcPr>
            <w:tcW w:w="0" w:type="dxa"/>
            <w:vAlign w:val="bottom"/>
          </w:tcPr>
          <w:p>
            <w:pPr>
              <w:spacing w:after="0"/>
              <w:rPr>
                <w:sz w:val="1"/>
                <w:szCs w:val="1"/>
                <w:color w:val="auto"/>
              </w:rPr>
            </w:pPr>
          </w:p>
        </w:tc>
      </w:tr>
      <w:tr>
        <w:trPr>
          <w:trHeight w:val="153"/>
        </w:trPr>
        <w:tc>
          <w:tcPr>
            <w:tcW w:w="2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Technology Co., Ltd.</w:t>
            </w:r>
          </w:p>
        </w:tc>
        <w:tc>
          <w:tcPr>
            <w:tcW w:w="2780" w:type="dxa"/>
            <w:vAlign w:val="bottom"/>
            <w:tcBorders>
              <w:right w:val="single" w:sz="8" w:color="auto"/>
            </w:tcBorders>
            <w:gridSpan w:val="2"/>
            <w:vMerge w:val="continue"/>
          </w:tcPr>
          <w:p>
            <w:pPr>
              <w:spacing w:after="0"/>
              <w:rPr>
                <w:sz w:val="13"/>
                <w:szCs w:val="13"/>
                <w:color w:val="auto"/>
              </w:rPr>
            </w:pPr>
          </w:p>
        </w:tc>
        <w:tc>
          <w:tcPr>
            <w:tcW w:w="3040" w:type="dxa"/>
            <w:vAlign w:val="bottom"/>
            <w:tcBorders>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5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0"/>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Xilong Scientific Co., Ltd.</w:t>
            </w:r>
          </w:p>
        </w:tc>
        <w:tc>
          <w:tcPr>
            <w:tcW w:w="278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88"/>
              </w:rPr>
              <w:t>51,000,000</w:t>
            </w: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60,500,000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51%</w:t>
            </w:r>
          </w:p>
        </w:tc>
        <w:tc>
          <w:tcPr>
            <w:tcW w:w="0" w:type="dxa"/>
            <w:vAlign w:val="bottom"/>
          </w:tcPr>
          <w:p>
            <w:pPr>
              <w:spacing w:after="0"/>
              <w:rPr>
                <w:sz w:val="1"/>
                <w:szCs w:val="1"/>
                <w:color w:val="auto"/>
              </w:rPr>
            </w:pPr>
          </w:p>
        </w:tc>
      </w:tr>
      <w:tr>
        <w:trPr>
          <w:trHeight w:val="125"/>
        </w:trPr>
        <w:tc>
          <w:tcPr>
            <w:tcW w:w="2500" w:type="dxa"/>
            <w:vAlign w:val="bottom"/>
            <w:tcBorders>
              <w:left w:val="single" w:sz="8" w:color="auto"/>
              <w:bottom w:val="single" w:sz="8" w:color="auto"/>
              <w:right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5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Fuzhou Jinqiang Investment</w:t>
            </w:r>
          </w:p>
        </w:tc>
        <w:tc>
          <w:tcPr>
            <w:tcW w:w="15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0</w:t>
            </w:r>
          </w:p>
        </w:tc>
        <w:tc>
          <w:tcPr>
            <w:tcW w:w="2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Partnership(Limited</w:t>
            </w:r>
          </w:p>
        </w:tc>
        <w:tc>
          <w:tcPr>
            <w:tcW w:w="2780" w:type="dxa"/>
            <w:vAlign w:val="bottom"/>
            <w:tcBorders>
              <w:right w:val="single" w:sz="8" w:color="auto"/>
            </w:tcBorders>
            <w:gridSpan w:val="2"/>
          </w:tcPr>
          <w:p>
            <w:pPr>
              <w:jc w:val="center"/>
              <w:spacing w:after="0" w:line="243" w:lineRule="exact"/>
              <w:rPr>
                <w:sz w:val="20"/>
                <w:szCs w:val="20"/>
                <w:color w:val="auto"/>
              </w:rPr>
            </w:pPr>
            <w:r>
              <w:rPr>
                <w:rFonts w:ascii="Arial" w:cs="Arial" w:eastAsia="Arial" w:hAnsi="Arial"/>
                <w:sz w:val="22"/>
                <w:szCs w:val="22"/>
                <w:color w:val="auto"/>
                <w:w w:val="88"/>
              </w:rPr>
              <w:t>19,000,000</w:t>
            </w:r>
          </w:p>
        </w:tc>
        <w:tc>
          <w:tcPr>
            <w:tcW w:w="3040" w:type="dxa"/>
            <w:vAlign w:val="bottom"/>
            <w:tcBorders>
              <w:right w:val="single" w:sz="8" w:color="auto"/>
            </w:tcBorders>
            <w:vMerge w:val="continue"/>
          </w:tcPr>
          <w:p>
            <w:pPr>
              <w:spacing w:after="0"/>
              <w:rPr>
                <w:sz w:val="21"/>
                <w:szCs w:val="21"/>
                <w:color w:val="auto"/>
              </w:rPr>
            </w:pPr>
          </w:p>
        </w:tc>
        <w:tc>
          <w:tcPr>
            <w:tcW w:w="29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19%</w:t>
            </w:r>
          </w:p>
        </w:tc>
        <w:tc>
          <w:tcPr>
            <w:tcW w:w="0" w:type="dxa"/>
            <w:vAlign w:val="bottom"/>
          </w:tcPr>
          <w:p>
            <w:pPr>
              <w:spacing w:after="0"/>
              <w:rPr>
                <w:sz w:val="1"/>
                <w:szCs w:val="1"/>
                <w:color w:val="auto"/>
              </w:rPr>
            </w:pPr>
          </w:p>
        </w:tc>
      </w:tr>
      <w:tr>
        <w:trPr>
          <w:trHeight w:val="264"/>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Partnership)</w:t>
            </w:r>
          </w:p>
        </w:tc>
        <w:tc>
          <w:tcPr>
            <w:tcW w:w="156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40" w:top="531" w:right="3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2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Fulgent Genetics,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2940" w:type="dxa"/>
            <w:vAlign w:val="bottom"/>
          </w:tcPr>
          <w:p>
            <w:pPr>
              <w:ind w:left="26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91"/>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Arial" w:cs="Arial" w:eastAsia="Arial" w:hAnsi="Arial"/>
                <w:sz w:val="18"/>
                <w:szCs w:val="18"/>
                <w:color w:val="auto"/>
                <w:w w:val="95"/>
              </w:rPr>
              <w:t>Ming Hsieh</w:t>
            </w:r>
          </w:p>
        </w:tc>
      </w:tr>
      <w:tr>
        <w:trPr>
          <w:trHeight w:val="220"/>
        </w:trPr>
        <w:tc>
          <w:tcPr>
            <w:tcW w:w="4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 xml:space="preserve">President, </w:t>
            </w:r>
            <w:r>
              <w:rPr>
                <w:rFonts w:ascii="Arial" w:cs="Arial" w:eastAsia="Arial" w:hAnsi="Arial"/>
                <w:sz w:val="18"/>
                <w:szCs w:val="18"/>
                <w:b w:val="1"/>
                <w:bCs w:val="1"/>
                <w:color w:val="auto"/>
                <w:w w:val="91"/>
              </w:rPr>
              <w:t>Chief Executive Officer</w:t>
            </w:r>
          </w:p>
        </w:tc>
      </w:tr>
      <w:tr>
        <w:trPr>
          <w:trHeight w:val="230"/>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Fulgent Genetics,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August 9, 2021</w:t>
            </w:r>
          </w:p>
        </w:tc>
        <w:tc>
          <w:tcPr>
            <w:tcW w:w="2940" w:type="dxa"/>
            <w:vAlign w:val="bottom"/>
          </w:tcPr>
          <w:p>
            <w:pPr>
              <w:ind w:left="26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191"/>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Arial" w:cs="Arial" w:eastAsia="Arial" w:hAnsi="Arial"/>
                <w:sz w:val="18"/>
                <w:szCs w:val="18"/>
                <w:color w:val="auto"/>
                <w:w w:val="97"/>
              </w:rPr>
              <w:t>Paul Kim</w:t>
            </w:r>
          </w:p>
        </w:tc>
      </w:tr>
      <w:tr>
        <w:trPr>
          <w:trHeight w:val="220"/>
        </w:trPr>
        <w:tc>
          <w:tcPr>
            <w:tcW w:w="4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33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for the quarterly period ended June 30, 2021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7"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9, 2021</w:t>
            </w:r>
          </w:p>
        </w:tc>
        <w:tc>
          <w:tcPr>
            <w:tcW w:w="2400" w:type="dxa"/>
            <w:vAlign w:val="bottom"/>
          </w:tcPr>
          <w:p>
            <w:pPr>
              <w:ind w:left="20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218"/>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Ming Hsieh</w:t>
            </w:r>
          </w:p>
        </w:tc>
      </w:tr>
      <w:tr>
        <w:trPr>
          <w:trHeight w:val="233"/>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 xml:space="preserve">President, </w:t>
            </w:r>
            <w:r>
              <w:rPr>
                <w:rFonts w:ascii="Arial" w:cs="Arial" w:eastAsia="Arial" w:hAnsi="Arial"/>
                <w:sz w:val="18"/>
                <w:szCs w:val="18"/>
                <w:b w:val="1"/>
                <w:bCs w:val="1"/>
                <w:color w:val="auto"/>
                <w:w w:val="91"/>
              </w:rPr>
              <w:t>Chief Executive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August 9, 2021</w:t>
            </w:r>
          </w:p>
        </w:tc>
        <w:tc>
          <w:tcPr>
            <w:tcW w:w="2400" w:type="dxa"/>
            <w:vAlign w:val="bottom"/>
          </w:tcPr>
          <w:p>
            <w:pPr>
              <w:ind w:left="20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218"/>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Paul Kim</w:t>
            </w:r>
          </w:p>
        </w:tc>
      </w:tr>
      <w:tr>
        <w:trPr>
          <w:trHeight w:val="233"/>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upperLetter"/>
      <w:start w:val="32"/>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7"/>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3"/>
      <w:numFmt w:val="bullet"/>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lowerRoman"/>
      <w:start w:val="3"/>
    </w:lvl>
  </w:abstractNum>
  <w:abstractNum w:abstractNumId="25">
    <w:nsid w:val="3006C83E"/>
    <w:multiLevelType w:val="hybridMultilevel"/>
    <w:lvl w:ilvl="0">
      <w:lvlJc w:val="left"/>
      <w:lvlText w:val="(%1)"/>
      <w:numFmt w:val="lowerRoman"/>
      <w:start w:val="1"/>
    </w:lvl>
  </w:abstractNum>
  <w:abstractNum w:abstractNumId="26">
    <w:nsid w:val="614FD4A1"/>
    <w:multiLevelType w:val="hybridMultilevel"/>
    <w:lvl w:ilvl="0">
      <w:lvlJc w:val="left"/>
      <w:lvlText w:val="(%1)"/>
      <w:numFmt w:val="lowerRoman"/>
      <w:start w:val="4"/>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1)"/>
      <w:numFmt w:val="lowerRoman"/>
      <w:start w:val="2"/>
    </w:lvl>
  </w:abstractNum>
  <w:abstractNum w:abstractNumId="30">
    <w:nsid w:val="5072367"/>
    <w:multiLevelType w:val="hybridMultilevel"/>
    <w:lvl w:ilvl="0">
      <w:lvlJc w:val="left"/>
      <w:lvlText w:val="(%1)"/>
      <w:numFmt w:val="lowerRoman"/>
      <w:start w:val="3"/>
    </w:lvl>
  </w:abstractNum>
  <w:abstractNum w:abstractNumId="31">
    <w:nsid w:val="3804823E"/>
    <w:multiLevelType w:val="hybridMultilevel"/>
    <w:lvl w:ilvl="0">
      <w:lvlJc w:val="left"/>
      <w:lvlText w:val="(%1)"/>
      <w:numFmt w:val="lowerRoman"/>
      <w:start w:val="3"/>
    </w:lvl>
  </w:abstractNum>
  <w:abstractNum w:abstractNumId="32">
    <w:nsid w:val="77465F01"/>
    <w:multiLevelType w:val="hybridMultilevel"/>
    <w:lvl w:ilvl="0">
      <w:lvlJc w:val="left"/>
      <w:lvlText w:val="(%1)"/>
      <w:numFmt w:val="lowerRoman"/>
      <w:start w:val="4"/>
    </w:lvl>
  </w:abstractNum>
  <w:abstractNum w:abstractNumId="33">
    <w:nsid w:val="7724C67E"/>
    <w:multiLevelType w:val="hybridMultilevel"/>
    <w:lvl w:ilvl="0">
      <w:lvlJc w:val="left"/>
      <w:lvlText w:val="(%1)"/>
      <w:numFmt w:val="lowerRoman"/>
      <w:start w:val="5"/>
    </w:lvl>
  </w:abstractNum>
  <w:abstractNum w:abstractNumId="34">
    <w:nsid w:val="5C482A97"/>
    <w:multiLevelType w:val="hybridMultilevel"/>
    <w:lvl w:ilvl="0">
      <w:lvlJc w:val="left"/>
      <w:lvlText w:val="(%1)"/>
      <w:numFmt w:val="lowerRoman"/>
      <w:start w:val="1"/>
    </w:lvl>
  </w:abstractNum>
  <w:abstractNum w:abstractNumId="35">
    <w:nsid w:val="2463B9EA"/>
    <w:multiLevelType w:val="hybridMultilevel"/>
    <w:lvl w:ilvl="0">
      <w:lvlJc w:val="left"/>
      <w:lvlText w:val="(%1)"/>
      <w:numFmt w:val="lowerRoman"/>
      <w:start w:val="1"/>
    </w:lvl>
  </w:abstractNum>
  <w:abstractNum w:abstractNumId="36">
    <w:nsid w:val="5E884ADC"/>
    <w:multiLevelType w:val="hybridMultilevel"/>
    <w:lvl w:ilvl="0">
      <w:lvlJc w:val="left"/>
      <w:lvlText w:val="(%1)"/>
      <w:numFmt w:val="lowerRoman"/>
      <w:start w:val="10"/>
    </w:lvl>
  </w:abstractNum>
  <w:abstractNum w:abstractNumId="37">
    <w:nsid w:val="51EAD36B"/>
    <w:multiLevelType w:val="hybridMultilevel"/>
    <w:lvl w:ilvl="0">
      <w:lvlJc w:val="left"/>
      <w:lvlText w:val="(%1)"/>
      <w:numFmt w:val="lowerRoman"/>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2021-08-10T05:30:00Z</dcterms:created>
  <dcterms:modified xsi:type="dcterms:W3CDTF">2021-08-10T05:30:00Z</dcterms:modified>
</cp:coreProperties>
</file>