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flgt-20260630.htm"/>
      <w:bookmarkStart w:id="1" w:name="ksflgt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4"/>
        </w:rPr>
      </w:pPr>
      <w:r>
        <w:rPr>
          <w:rFonts w:ascii="Times New Roman" w:hAnsi="Times New Roman"/>
          <w:b/>
          <w:color w:val="000000"/>
          <w:sz w:val="24"/>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001-37894</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FULGENT GENETICS,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81-2621304</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4399 Santa Anita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 Monte,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91731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(626) 350-0537</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620" w:type="dxa"/>
        <w:jc w:val="left"/>
        <w:tblInd w:w="0" w:type="dxa"/>
        <w:tblLayout w:type="fixed"/>
        <w:tblCellMar>
          <w:top w:w="28" w:type="dxa"/>
          <w:left w:w="28" w:type="dxa"/>
          <w:bottom w:w="28" w:type="dxa"/>
          <w:right w:w="28" w:type="dxa"/>
        </w:tblCellMar>
      </w:tblPr>
      <w:tblGrid>
        <w:gridCol w:w="3286"/>
        <w:gridCol w:w="146"/>
        <w:gridCol w:w="1561"/>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80" w:after="283"/>
              <w:jc w:val="center"/>
              <w:rPr/>
            </w:pPr>
            <w:r>
              <w:rPr/>
              <w:t> </w:t>
            </w:r>
          </w:p>
        </w:tc>
        <w:tc>
          <w:tcPr>
            <w:tcW w:w="15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283"/>
              <w:jc w:val="center"/>
              <w:rPr/>
            </w:pPr>
            <w:r>
              <w:rPr/>
              <w:t> </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FLGT</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pPr>
            <w:r>
              <w:rPr/>
              <w:t> </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 xml:space="preserve">Stock Market </w:t>
              <w:br/>
              <w:t>(Nasdaq Global Market)</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July 27, 2026, there were 27,515,293</w:t>
      </w:r>
      <w:r>
        <w:rPr>
          <w:rFonts w:ascii="Times New Roman" w:hAnsi="Times New Roman"/>
          <w:color w:val="000000"/>
          <w:sz w:val="20"/>
        </w:rPr>
        <w:t xml:space="preserve"> </w:t>
      </w:r>
      <w:r>
        <w:rPr>
          <w:rFonts w:ascii="Times New Roman" w:hAnsi="Times New Roman"/>
          <w:color w:val="000000"/>
          <w:sz w:val="18"/>
        </w:rPr>
        <w:t>outstanding shares of the registrant’s common stock.</w:t>
      </w:r>
    </w:p>
    <w:p>
      <w:pPr>
        <w:pStyle w:val="TextBody"/>
        <w:pBdr>
          <w:bottom w:val="double" w:sz="4" w:space="1" w:color="000000"/>
        </w:pBdr>
        <w:bidi w:val="0"/>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left"/>
        <w:rPr/>
      </w:pPr>
      <w:r>
        <w:rPr/>
        <w:t> </w:t>
      </w:r>
    </w:p>
    <w:tbl>
      <w:tblPr>
        <w:tblW w:w="8552" w:type="dxa"/>
        <w:jc w:val="left"/>
        <w:tblInd w:w="0" w:type="dxa"/>
        <w:tblLayout w:type="fixed"/>
        <w:tblCellMar>
          <w:top w:w="28" w:type="dxa"/>
          <w:left w:w="28" w:type="dxa"/>
          <w:bottom w:w="28" w:type="dxa"/>
          <w:right w:w="28" w:type="dxa"/>
        </w:tblCellMar>
      </w:tblPr>
      <w:tblGrid>
        <w:gridCol w:w="7981"/>
        <w:gridCol w:w="571"/>
      </w:tblGrid>
      <w:tr>
        <w:trPr/>
        <w:tc>
          <w:tcPr>
            <w:tcW w:w="79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part_ifinancial_information">
              <w:r>
                <w:rPr>
                  <w:rStyle w:val="InternetLink"/>
                  <w:rFonts w:ascii="Times New Roman" w:hAnsi="Times New Roman"/>
                  <w:b/>
                  <w:color w:val="0000FF"/>
                  <w:sz w:val="20"/>
                  <w:u w:val="single"/>
                </w:rPr>
                <w:t>PART I—FINANCIAL INFORMATION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1_financial">
              <w:r>
                <w:rPr>
                  <w:rStyle w:val="InternetLink"/>
                  <w:rFonts w:ascii="Times New Roman" w:hAnsi="Times New Roman"/>
                  <w:color w:val="0000FF"/>
                  <w:sz w:val="20"/>
                  <w:u w:val="single"/>
                </w:rPr>
                <w:t>Item 1.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consolidated_stmt_of_comp_lost">
              <w:r>
                <w:rPr>
                  <w:rStyle w:val="InternetLink"/>
                  <w:rFonts w:ascii="Times New Roman" w:hAnsi="Times New Roman"/>
                  <w:color w:val="0000FF"/>
                  <w:sz w:val="20"/>
                  <w:u w:val="single"/>
                </w:rPr>
                <w:t>Condensed Consolidated Statements of Comprehensive Loss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notes_to_the_consolidated_fs">
              <w:r>
                <w:rPr>
                  <w:rStyle w:val="InternetLink"/>
                  <w:rFonts w:ascii="Times New Roman" w:hAnsi="Times New Roman"/>
                  <w:color w:val="0000FF"/>
                  <w:sz w:val="20"/>
                  <w:u w:val="single"/>
                </w:rPr>
                <w:t>Notes to the 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7</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32</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3_market_risk">
              <w:r>
                <w:rPr>
                  <w:rStyle w:val="InternetLink"/>
                  <w:rFonts w:ascii="Times New Roman" w:hAnsi="Times New Roman"/>
                  <w:color w:val="0000FF"/>
                  <w:sz w:val="20"/>
                  <w:u w:val="single"/>
                </w:rPr>
                <w:t>Item 3. 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40</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4_controls_and_procedures">
              <w:r>
                <w:rPr>
                  <w:rStyle w:val="InternetLink"/>
                  <w:rFonts w:ascii="Times New Roman" w:hAnsi="Times New Roman"/>
                  <w:color w:val="0000FF"/>
                  <w:sz w:val="20"/>
                  <w:u w:val="single"/>
                </w:rPr>
                <w:t>Item 4. Controls and Procedures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40</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part_iior_information">
              <w:r>
                <w:rPr>
                  <w:rStyle w:val="InternetLink"/>
                  <w:rFonts w:ascii="Times New Roman" w:hAnsi="Times New Roman"/>
                  <w:b/>
                  <w:color w:val="0000FF"/>
                  <w:sz w:val="20"/>
                  <w:u w:val="single"/>
                </w:rPr>
                <w:t>PART II—OTHER INFORMATION</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1_legal_proceedings">
              <w:r>
                <w:rPr>
                  <w:rStyle w:val="InternetLink"/>
                  <w:rFonts w:ascii="Times New Roman" w:hAnsi="Times New Roman"/>
                  <w:color w:val="0000FF"/>
                  <w:sz w:val="20"/>
                  <w:u w:val="single"/>
                </w:rPr>
                <w:t>Item 1. Legal Proceedings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1a_risk_factors">
              <w:r>
                <w:rPr>
                  <w:rStyle w:val="InternetLink"/>
                  <w:rFonts w:ascii="Times New Roman" w:hAnsi="Times New Roman"/>
                  <w:color w:val="0000FF"/>
                  <w:sz w:val="20"/>
                  <w:u w:val="single"/>
                </w:rPr>
                <w:t>Item 1A. Risk Factors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5_other_information">
              <w:r>
                <w:rPr>
                  <w:rStyle w:val="InternetLink"/>
                  <w:rFonts w:ascii="Times New Roman" w:hAnsi="Times New Roman"/>
                  <w:color w:val="0000FF"/>
                  <w:sz w:val="20"/>
                  <w:u w:val="single"/>
                </w:rPr>
                <w:t>Item 5. Other Information</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item_5_exhibits">
              <w:r>
                <w:rPr>
                  <w:rStyle w:val="InternetLink"/>
                  <w:rFonts w:ascii="Times New Roman" w:hAnsi="Times New Roman"/>
                  <w:color w:val="0000FF"/>
                  <w:sz w:val="20"/>
                  <w:u w:val="single"/>
                </w:rPr>
                <w:t>Item 6. Exhibits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41</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exhibit_index">
              <w:r>
                <w:rPr>
                  <w:rStyle w:val="InternetLink"/>
                  <w:rFonts w:ascii="Times New Roman" w:hAnsi="Times New Roman"/>
                  <w:color w:val="0000FF"/>
                  <w:sz w:val="20"/>
                  <w:u w:val="single"/>
                </w:rPr>
                <w:t>Exhibit Index</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42</w:t>
            </w:r>
          </w:p>
        </w:tc>
      </w:tr>
      <w:tr>
        <w:trPr/>
        <w:tc>
          <w:tcPr>
            <w:tcW w:w="7981" w:type="dxa"/>
            <w:tcBorders/>
            <w:tcMar>
              <w:top w:w="0" w:type="dxa"/>
              <w:left w:w="0" w:type="dxa"/>
              <w:bottom w:w="0" w:type="dxa"/>
              <w:right w:w="0" w:type="dxa"/>
            </w:tcMar>
            <w:vAlign w:val="center"/>
          </w:tcPr>
          <w:p>
            <w:pPr>
              <w:pStyle w:val="TableContents"/>
              <w:bidi w:val="0"/>
              <w:spacing w:before="100" w:after="283"/>
              <w:jc w:val="left"/>
              <w:rPr/>
            </w:pPr>
            <w:hyperlink w:anchor="signatures">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par value data)</w:t>
      </w:r>
    </w:p>
    <w:tbl>
      <w:tblPr>
        <w:tblW w:w="10205" w:type="dxa"/>
        <w:jc w:val="left"/>
        <w:tblInd w:w="0" w:type="dxa"/>
        <w:tblLayout w:type="fixed"/>
        <w:tblCellMar>
          <w:top w:w="28" w:type="dxa"/>
          <w:left w:w="28" w:type="dxa"/>
          <w:bottom w:w="28" w:type="dxa"/>
          <w:right w:w="28" w:type="dxa"/>
        </w:tblCellMar>
      </w:tblPr>
      <w:tblGrid>
        <w:gridCol w:w="6958"/>
        <w:gridCol w:w="146"/>
        <w:gridCol w:w="211"/>
        <w:gridCol w:w="931"/>
        <w:gridCol w:w="166"/>
        <w:gridCol w:w="146"/>
        <w:gridCol w:w="231"/>
        <w:gridCol w:w="1023"/>
        <w:gridCol w:w="393"/>
      </w:tblGrid>
      <w:tr>
        <w:trPr/>
        <w:tc>
          <w:tcPr>
            <w:tcW w:w="6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285,884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accounts receivable, net of allowance for credit losses of $25,530 as of June 30, 2026, and $21,411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550,490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369,269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&amp;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50,000 shares authorized, 35,057 shares issued and 27,515 shares outstanding as of June 30, 2026, and 34,501 shares issued and 31,081 shares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 shares authorized, no shares issued or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574,520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529,954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Fulgent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1,111,989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1,106,715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9584" w:type="dxa"/>
        <w:jc w:val="left"/>
        <w:tblInd w:w="0" w:type="dxa"/>
        <w:tblLayout w:type="fixed"/>
        <w:tblCellMar>
          <w:top w:w="28" w:type="dxa"/>
          <w:left w:w="28" w:type="dxa"/>
          <w:bottom w:w="28" w:type="dxa"/>
          <w:right w:w="28" w:type="dxa"/>
        </w:tblCellMar>
      </w:tblPr>
      <w:tblGrid>
        <w:gridCol w:w="4156"/>
        <w:gridCol w:w="146"/>
        <w:gridCol w:w="216"/>
        <w:gridCol w:w="756"/>
        <w:gridCol w:w="170"/>
        <w:gridCol w:w="149"/>
        <w:gridCol w:w="216"/>
        <w:gridCol w:w="756"/>
        <w:gridCol w:w="166"/>
        <w:gridCol w:w="146"/>
        <w:gridCol w:w="211"/>
        <w:gridCol w:w="781"/>
        <w:gridCol w:w="166"/>
        <w:gridCol w:w="146"/>
        <w:gridCol w:w="211"/>
        <w:gridCol w:w="781"/>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consolidated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Fulgent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Fulgent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6" w:name="consolidated_stmt_of_comp_lost"/>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887"/>
        <w:gridCol w:w="146"/>
        <w:gridCol w:w="214"/>
        <w:gridCol w:w="748"/>
        <w:gridCol w:w="168"/>
        <w:gridCol w:w="147"/>
        <w:gridCol w:w="214"/>
        <w:gridCol w:w="748"/>
        <w:gridCol w:w="166"/>
        <w:gridCol w:w="146"/>
        <w:gridCol w:w="211"/>
        <w:gridCol w:w="736"/>
        <w:gridCol w:w="166"/>
        <w:gridCol w:w="146"/>
        <w:gridCol w:w="211"/>
        <w:gridCol w:w="736"/>
        <w:gridCol w:w="415"/>
      </w:tblGrid>
      <w:tr>
        <w:trPr/>
        <w:tc>
          <w:tcPr>
            <w:tcW w:w="4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from consolidated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gain on available-for-sale debt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comprehensive loss from consolidated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attributable to Fulgent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(24,121</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color w:val="000000"/>
          <w:sz w:val="20"/>
        </w:rPr>
        <w:t>The accompanying notes are an integral part of these condensed consolidated financial statements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bookmarkStart w:id="7" w:name="consolidated_statements_stockholders_equ"/>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1454" w:type="dxa"/>
        <w:jc w:val="left"/>
        <w:tblInd w:w="0" w:type="dxa"/>
        <w:tblLayout w:type="fixed"/>
        <w:tblCellMar>
          <w:top w:w="28" w:type="dxa"/>
          <w:left w:w="28" w:type="dxa"/>
          <w:bottom w:w="28" w:type="dxa"/>
          <w:right w:w="28" w:type="dxa"/>
        </w:tblCellMar>
      </w:tblPr>
      <w:tblGrid>
        <w:gridCol w:w="1186"/>
        <w:gridCol w:w="146"/>
        <w:gridCol w:w="146"/>
        <w:gridCol w:w="601"/>
        <w:gridCol w:w="166"/>
        <w:gridCol w:w="146"/>
        <w:gridCol w:w="271"/>
        <w:gridCol w:w="420"/>
        <w:gridCol w:w="146"/>
        <w:gridCol w:w="146"/>
        <w:gridCol w:w="196"/>
        <w:gridCol w:w="691"/>
        <w:gridCol w:w="166"/>
        <w:gridCol w:w="146"/>
        <w:gridCol w:w="310"/>
        <w:gridCol w:w="906"/>
        <w:gridCol w:w="166"/>
        <w:gridCol w:w="146"/>
        <w:gridCol w:w="196"/>
        <w:gridCol w:w="691"/>
        <w:gridCol w:w="166"/>
        <w:gridCol w:w="146"/>
        <w:gridCol w:w="210"/>
        <w:gridCol w:w="886"/>
        <w:gridCol w:w="166"/>
        <w:gridCol w:w="146"/>
        <w:gridCol w:w="306"/>
        <w:gridCol w:w="895"/>
        <w:gridCol w:w="166"/>
        <w:gridCol w:w="14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Fulgent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Other Comprehensive</w:t>
              <w:b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Fulgent Stockholders’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574,520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529,954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1,111,989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1,106,715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withholding for employee tax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540,141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505,128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1,044,154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withholding for employee tax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27,515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524,097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1,001,619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995,986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(1) The Company agreed to issue up to 292,682</w:t>
      </w:r>
      <w:r>
        <w:rPr>
          <w:rFonts w:ascii="Times New Roman" w:hAnsi="Times New Roman"/>
          <w:color w:val="000000"/>
          <w:sz w:val="20"/>
        </w:rPr>
        <w:t xml:space="preserve"> </w:t>
      </w:r>
      <w:r>
        <w:rPr>
          <w:rFonts w:ascii="Times New Roman" w:hAnsi="Times New Roman"/>
          <w:color w:val="000000"/>
          <w:sz w:val="18"/>
        </w:rPr>
        <w:t>shares of the Company’s common stock in the acquisition of ANP Technologies, Inc., or ANP, upon achieving certain cash receipts. $5.7</w:t>
      </w:r>
      <w:r>
        <w:rPr>
          <w:rFonts w:ascii="Times New Roman" w:hAnsi="Times New Roman"/>
          <w:color w:val="000000"/>
          <w:sz w:val="20"/>
        </w:rPr>
        <w:t xml:space="preserve"> </w:t>
      </w:r>
      <w:r>
        <w:rPr>
          <w:rFonts w:ascii="Times New Roman" w:hAnsi="Times New Roman"/>
          <w:color w:val="000000"/>
          <w:sz w:val="18"/>
        </w:rPr>
        <w:t xml:space="preserve">million represented the fair value of the shares on the ANP acquisition date (as defined below). As of June 30, 2026, no common stock has been issued as the milestones have not been met. See details in Note 15. </w:t>
      </w:r>
      <w:r>
        <w:rPr>
          <w:rFonts w:ascii="Times New Roman" w:hAnsi="Times New Roman"/>
          <w:i/>
          <w:color w:val="000000"/>
          <w:sz w:val="18"/>
        </w:rPr>
        <w:t>Business Combinations</w:t>
      </w:r>
      <w:r>
        <w:rPr>
          <w:rFonts w:ascii="Times New Roman" w:hAnsi="Times New Roman"/>
          <w:color w:val="000000"/>
          <w:sz w:val="18"/>
        </w:rPr>
        <w:t>.</w:t>
      </w:r>
    </w:p>
    <w:p>
      <w:pPr>
        <w:pStyle w:val="TextBody"/>
        <w:bidi w:val="0"/>
        <w:spacing w:before="120" w:after="283"/>
        <w:jc w:val="center"/>
        <w:rPr>
          <w:rFonts w:ascii="Times New Roman" w:hAnsi="Times New Roman"/>
          <w:sz w:val="20"/>
        </w:rPr>
      </w:pPr>
      <w:r>
        <w:rPr>
          <w:rFonts w:ascii="Times New Roman" w:hAnsi="Times New Roman"/>
          <w:color w:val="000000"/>
          <w:sz w:val="20"/>
        </w:rPr>
        <w:t>The accompanying notes are an integral part of these condensed consolidated financial statements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1454" w:type="dxa"/>
        <w:jc w:val="left"/>
        <w:tblInd w:w="0" w:type="dxa"/>
        <w:tblLayout w:type="fixed"/>
        <w:tblCellMar>
          <w:top w:w="28" w:type="dxa"/>
          <w:left w:w="28" w:type="dxa"/>
          <w:bottom w:w="28" w:type="dxa"/>
          <w:right w:w="28" w:type="dxa"/>
        </w:tblCellMar>
      </w:tblPr>
      <w:tblGrid>
        <w:gridCol w:w="1186"/>
        <w:gridCol w:w="146"/>
        <w:gridCol w:w="146"/>
        <w:gridCol w:w="601"/>
        <w:gridCol w:w="166"/>
        <w:gridCol w:w="146"/>
        <w:gridCol w:w="271"/>
        <w:gridCol w:w="420"/>
        <w:gridCol w:w="146"/>
        <w:gridCol w:w="146"/>
        <w:gridCol w:w="196"/>
        <w:gridCol w:w="691"/>
        <w:gridCol w:w="166"/>
        <w:gridCol w:w="146"/>
        <w:gridCol w:w="337"/>
        <w:gridCol w:w="879"/>
        <w:gridCol w:w="166"/>
        <w:gridCol w:w="146"/>
        <w:gridCol w:w="196"/>
        <w:gridCol w:w="691"/>
        <w:gridCol w:w="166"/>
        <w:gridCol w:w="146"/>
        <w:gridCol w:w="210"/>
        <w:gridCol w:w="886"/>
        <w:gridCol w:w="166"/>
        <w:gridCol w:w="146"/>
        <w:gridCol w:w="306"/>
        <w:gridCol w:w="895"/>
        <w:gridCol w:w="166"/>
        <w:gridCol w:w="146"/>
        <w:gridCol w:w="196"/>
        <w:gridCol w:w="82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Fulgent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w:t>
              <w:br/>
              <w:t>Other 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Fulgent Stockholders’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543,126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1,133,228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1,129,159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withholding for employee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543,903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578,937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1,127,178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1,122,770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withholding for employee tax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550,599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559,980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1,116,580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1,111,636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FULGENT GENETICS, INC.</w:t>
      </w:r>
    </w:p>
    <w:p>
      <w:pPr>
        <w:pStyle w:val="TextBody"/>
        <w:bidi w:val="0"/>
        <w:jc w:val="center"/>
        <w:rPr>
          <w:rFonts w:ascii="Times New Roman" w:hAnsi="Times New Roman"/>
          <w:b/>
          <w:color w:val="000000"/>
          <w:sz w:val="19"/>
        </w:rPr>
      </w:pPr>
      <w:bookmarkStart w:id="8" w:name="condensed_consolidated_statements_cash_f"/>
      <w:bookmarkEnd w:id="8"/>
      <w:r>
        <w:rPr>
          <w:rFonts w:ascii="Times New Roman" w:hAnsi="Times New Roman"/>
          <w:b/>
          <w:color w:val="000000"/>
          <w:sz w:val="19"/>
        </w:rPr>
        <w:t>Condensed Consolidated Statements of Cash Flows</w:t>
      </w:r>
    </w:p>
    <w:p>
      <w:pPr>
        <w:pStyle w:val="TextBody"/>
        <w:bidi w:val="0"/>
        <w:jc w:val="center"/>
        <w:rPr>
          <w:rFonts w:ascii="Times New Roman" w:hAnsi="Times New Roman"/>
          <w:b/>
          <w:color w:val="000000"/>
          <w:sz w:val="19"/>
        </w:rPr>
      </w:pPr>
      <w:r>
        <w:rPr>
          <w:rFonts w:ascii="Times New Roman" w:hAnsi="Times New Roman"/>
          <w:b/>
          <w:color w:val="000000"/>
          <w:sz w:val="19"/>
        </w:rPr>
        <w:t>(in thousands)</w:t>
      </w:r>
    </w:p>
    <w:p>
      <w:pPr>
        <w:pStyle w:val="TextBody"/>
        <w:bidi w:val="0"/>
        <w:spacing w:before="0" w:after="240"/>
        <w:jc w:val="center"/>
        <w:rPr>
          <w:rFonts w:ascii="Times New Roman" w:hAnsi="Times New Roman"/>
          <w:b/>
          <w:color w:val="000000"/>
          <w:sz w:val="19"/>
        </w:rPr>
      </w:pPr>
      <w:r>
        <w:rPr>
          <w:rFonts w:ascii="Times New Roman" w:hAnsi="Times New Roman"/>
          <w:b/>
          <w:color w:val="000000"/>
          <w:sz w:val="19"/>
        </w:rPr>
        <w:t>(unaudited)</w:t>
      </w:r>
    </w:p>
    <w:tbl>
      <w:tblPr>
        <w:tblW w:w="9132" w:type="dxa"/>
        <w:jc w:val="left"/>
        <w:tblInd w:w="0" w:type="dxa"/>
        <w:tblLayout w:type="fixed"/>
        <w:tblCellMar>
          <w:top w:w="28" w:type="dxa"/>
          <w:left w:w="28" w:type="dxa"/>
          <w:bottom w:w="28" w:type="dxa"/>
          <w:right w:w="28" w:type="dxa"/>
        </w:tblCellMar>
      </w:tblPr>
      <w:tblGrid>
        <w:gridCol w:w="6306"/>
        <w:gridCol w:w="146"/>
        <w:gridCol w:w="197"/>
        <w:gridCol w:w="696"/>
        <w:gridCol w:w="167"/>
        <w:gridCol w:w="147"/>
        <w:gridCol w:w="197"/>
        <w:gridCol w:w="665"/>
        <w:gridCol w:w="611"/>
      </w:tblGrid>
      <w:tr>
        <w:trPr/>
        <w:tc>
          <w:tcPr>
            <w:tcW w:w="6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consolidated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(gain) on disposal of fixed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premium/discount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Trade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and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103,226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businesses, net of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(55,567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61,740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(63,883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withholding for employee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paid for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(69,058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50,328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26,440</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paid,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fixed assets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business in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 reduced due to lease modification and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Excise tax payable on common stock repurchases not yet remitted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8"/>
        </w:rPr>
      </w:pPr>
      <w:r>
        <w:rPr>
          <w:rFonts w:ascii="Times New Roman" w:hAnsi="Times New Roman"/>
          <w:color w:val="000000"/>
          <w:sz w:val="18"/>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notes_to_the_consolidated_fs"/>
      <w:bookmarkEnd w:id="9"/>
      <w:r>
        <w:rPr>
          <w:rFonts w:ascii="Times New Roman" w:hAnsi="Times New Roman"/>
          <w:b/>
          <w:color w:val="000000"/>
          <w:sz w:val="20"/>
        </w:rPr>
        <w:t>FULGENT GENETICS,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Overview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accordance with accounting principles generally accepted in the United States, or U.S. GAAP, and presented in U.S. dollars, or USD, the reporting currency of the Company.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Nature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Fulgent Genetics, Inc., together with its subsidiaries and affiliated professional corporations, or PCs (collectively referred to as the Company, unless otherwise noted or the context requires otherwise), is a technology-based company with a well-established laboratory services business and a therapeutic development business. Its laboratory services business includes technical laboratory and testing services and professional interpretation of laboratory results by licensed physicians. Its therapeutic development business is focused on developing product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on the same basis as the Company’s audited consolidated financial statements as of and for the fiscal year ended December 31, 2025, which are included in the Company’s annual report on Form 10-K filed with the Securities and Exchange Commission, or SEC, on February 27, 2026, or the 2025 Annual Report, and, in the opinion of management, include all adjustments, which are normal and recurring in nature, necessary for a fair presentation of the Company’s financial position and results of operations. Operating results for interim periods are not necessarily indicative of the results that may be expected for a full fiscal year or any other period. The accompanying Condensed Consolidated Balance Sheet as of December 31, 2025,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2025 Annual Report, including the notes thereto.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to the Company’s Consolidated Financial Statements included in the 2025 Annual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the time of acquisition and on a recurring basis, and (vi) valuation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 Shown in the Condensed Consolidated Statements of Cash Flows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in the Condensed Consolidated Balance Sheets that sum to the total of the same such amounts shown in the Condensed Consolidated Statements of Cash Flows:</w:t>
      </w:r>
    </w:p>
    <w:tbl>
      <w:tblPr>
        <w:tblW w:w="6576" w:type="dxa"/>
        <w:jc w:val="left"/>
        <w:tblInd w:w="0" w:type="dxa"/>
        <w:tblLayout w:type="fixed"/>
        <w:tblCellMar>
          <w:top w:w="28" w:type="dxa"/>
          <w:left w:w="28" w:type="dxa"/>
          <w:bottom w:w="28" w:type="dxa"/>
          <w:right w:w="28" w:type="dxa"/>
        </w:tblCellMar>
      </w:tblPr>
      <w:tblGrid>
        <w:gridCol w:w="4171"/>
        <w:gridCol w:w="146"/>
        <w:gridCol w:w="211"/>
        <w:gridCol w:w="677"/>
        <w:gridCol w:w="146"/>
        <w:gridCol w:w="146"/>
        <w:gridCol w:w="211"/>
        <w:gridCol w:w="677"/>
        <w:gridCol w:w="1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Trade Accounts Receivable and Allowance for Credit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Loss-given default represents the likelihood that a receivable that has reached the point of default will not be collected in full. The Company updates its loss rate and factors quarterly to incorporate the most recent historical data and adjusts the quantitative portion of the reserve through its qualitative reserve overlay. The Company looks at qualitative factors such as current internal and external conditions as of the balance sheet date in determining expected credit losses.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roll-forward of the activity in the Company’s allowance for credit losses for the six months ended June 30, 2026, dollars in thousands, is as follows:</w:t>
      </w:r>
    </w:p>
    <w:tbl>
      <w:tblPr>
        <w:tblW w:w="5074" w:type="dxa"/>
        <w:jc w:val="left"/>
        <w:tblInd w:w="0" w:type="dxa"/>
        <w:tblLayout w:type="fixed"/>
        <w:tblCellMar>
          <w:top w:w="28" w:type="dxa"/>
          <w:left w:w="28" w:type="dxa"/>
          <w:bottom w:w="28" w:type="dxa"/>
          <w:right w:w="28" w:type="dxa"/>
        </w:tblCellMar>
      </w:tblPr>
      <w:tblGrid>
        <w:gridCol w:w="3976"/>
        <w:gridCol w:w="211"/>
        <w:gridCol w:w="676"/>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at beginning of year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Write-downs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Recoveries of amounts previously charged off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as of June 30, 2026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pStyle w:val="TextBody"/>
        <w:bidi w:val="0"/>
        <w:spacing w:before="360" w:after="283"/>
        <w:jc w:val="left"/>
        <w:rPr>
          <w:rFonts w:ascii="Times New Roman" w:hAnsi="Times New Roman"/>
          <w:sz w:val="20"/>
        </w:rPr>
      </w:pPr>
      <w:r>
        <w:rPr>
          <w:rFonts w:ascii="Times New Roman" w:hAnsi="Times New Roman"/>
          <w:b/>
          <w:i/>
          <w:color w:val="000000"/>
          <w:sz w:val="20"/>
        </w:rPr>
        <w:t>Finite-Lived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Intangible assets, unless determined to be indefinite-lived, are amortized over their estimated useful lives. The Company amortizes intangible assets with definite lives on a straight-line basis generally over periods ranging from 3 to 18 years. See Note 17. </w:t>
      </w:r>
      <w:r>
        <w:rPr>
          <w:rFonts w:ascii="Times New Roman" w:hAnsi="Times New Roman"/>
          <w:i/>
          <w:color w:val="000000"/>
          <w:sz w:val="20"/>
        </w:rPr>
        <w:t>Goodwill and Intangible Assets</w:t>
      </w:r>
      <w:r>
        <w:rPr>
          <w:rFonts w:ascii="Times New Roman" w:hAnsi="Times New Roman"/>
          <w:color w:val="000000"/>
          <w:sz w:val="20"/>
        </w:rPr>
        <w:t>, for details of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are less than the carrying amount of the asset.</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Indefinite-Lived Intangibles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pStyle w:val="TextBody"/>
        <w:bidi w:val="0"/>
        <w:spacing w:before="240" w:after="283"/>
        <w:jc w:val="left"/>
        <w:rPr>
          <w:rFonts w:ascii="Times New Roman" w:hAnsi="Times New Roman"/>
          <w:sz w:val="20"/>
        </w:rPr>
      </w:pPr>
      <w:r>
        <w:rPr>
          <w:rFonts w:ascii="Times New Roman" w:hAnsi="Times New Roman"/>
          <w:color w:val="000000"/>
          <w:sz w:val="20"/>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w:t>
      </w:r>
      <w:r>
        <w:rPr>
          <w:rFonts w:ascii="Times New Roman" w:hAnsi="Times New Roman"/>
          <w:color w:val="000000"/>
          <w:sz w:val="18"/>
        </w:rPr>
        <w:t>s</w:t>
      </w:r>
      <w:r>
        <w:rPr>
          <w:rFonts w:ascii="Times New Roman" w:hAnsi="Times New Roman"/>
          <w:color w:val="000000"/>
          <w:sz w:val="20"/>
        </w:rPr>
        <w:t xml:space="preserve"> carrying amount exceeds its fair value.</w:t>
      </w:r>
    </w:p>
    <w:p>
      <w:pPr>
        <w:pStyle w:val="TextBody"/>
        <w:bidi w:val="0"/>
        <w:spacing w:before="240" w:after="283"/>
        <w:jc w:val="left"/>
        <w:rPr>
          <w:rFonts w:ascii="Times New Roman" w:hAnsi="Times New Roman"/>
          <w:sz w:val="20"/>
        </w:rPr>
      </w:pPr>
      <w:r>
        <w:rPr>
          <w:rFonts w:ascii="Times New Roman" w:hAnsi="Times New Roman"/>
          <w:color w:val="000000"/>
          <w:sz w:val="20"/>
        </w:rPr>
        <w:t>If a quantitative assessment is deemed necessary, the quantitative assessment includes estimating the fair value of each reporting unit and comparing it to its carrying value. The Company</w:t>
      </w:r>
      <w:r>
        <w:rPr>
          <w:rFonts w:ascii="Times New Roman" w:hAnsi="Times New Roman"/>
          <w:color w:val="FFFF00"/>
          <w:sz w:val="20"/>
        </w:rPr>
        <w:t xml:space="preserve"> </w:t>
      </w:r>
      <w:r>
        <w:rPr>
          <w:rFonts w:ascii="Times New Roman" w:hAnsi="Times New Roman"/>
          <w:color w:val="000000"/>
          <w:sz w:val="20"/>
        </w:rPr>
        <w:t>estimates the fair value of reporting units using both income-based and market-based valuation methods and typically engages a third-party appraisal firm to assist with the valuation. If the estimated fair value of a reporting unit exceeds its carrying value, the goodwill is not impaired, and no further review is required.</w:t>
      </w:r>
    </w:p>
    <w:p>
      <w:pPr>
        <w:pStyle w:val="TextBody"/>
        <w:bidi w:val="0"/>
        <w:spacing w:before="240" w:after="283"/>
        <w:jc w:val="left"/>
        <w:rPr>
          <w:rFonts w:ascii="Times New Roman" w:hAnsi="Times New Roman"/>
          <w:sz w:val="20"/>
        </w:rPr>
      </w:pPr>
      <w:r>
        <w:rPr>
          <w:rFonts w:ascii="Times New Roman" w:hAnsi="Times New Roman"/>
          <w:color w:val="000000"/>
          <w:sz w:val="20"/>
        </w:rPr>
        <w:t>The income-based fair value methodology is based on a reporting unit’s forecasted future cash flows that are discounted to the present value using the reporting unit’s weighted-average cost of capital. The income-based approach incorporates management’</w:t>
      </w:r>
      <w:r>
        <w:rPr>
          <w:rFonts w:ascii="Times New Roman" w:hAnsi="Times New Roman"/>
          <w:color w:val="000000"/>
          <w:sz w:val="18"/>
        </w:rPr>
        <w:t>s</w:t>
      </w:r>
      <w:r>
        <w:rPr>
          <w:rFonts w:ascii="Times New Roman" w:hAnsi="Times New Roman"/>
          <w:color w:val="000000"/>
          <w:sz w:val="20"/>
        </w:rPr>
        <w:t xml:space="preserve"> assumptions and judgments regarding economic conditions in the markets in which a company operates and conditions in the capital markets, many of which are outside of management’</w:t>
      </w:r>
      <w:r>
        <w:rPr>
          <w:rFonts w:ascii="Times New Roman" w:hAnsi="Times New Roman"/>
          <w:color w:val="000000"/>
          <w:sz w:val="18"/>
        </w:rPr>
        <w:t>s</w:t>
      </w:r>
      <w:r>
        <w:rPr>
          <w:rFonts w:ascii="Times New Roman" w:hAnsi="Times New Roman"/>
          <w:color w:val="000000"/>
          <w:sz w:val="20"/>
        </w:rPr>
        <w:t xml:space="preserve"> control. The market-based fair value methodology includes (i) the guideline public company valuation method, which analyzes the valuation multiples of comparable public companies, and (ii) the merger and acquisition method, which compares the market values of similar businesses, to estimate the value of the reporting units. Under the market-based approach, judgment is required in evaluating market multiples and recent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financial instruments consist principally of cash and cash equivalents, marketable securities, trade accounts receivable, restricted cash, a preferred stock investment, accounts payable, and accrued liabilities. The carrying amounts of certain of these financial instruments, including cash and cash equivalents, accounts receivable, accounts payable, and accrued liabilities approximate fair value due to their short maturities. The fair value of marketable securities and the preferred stock investment is disclosed in Note 4. </w:t>
      </w:r>
      <w:r>
        <w:rPr>
          <w:rFonts w:ascii="Times New Roman" w:hAnsi="Times New Roman"/>
          <w:i/>
          <w:color w:val="000000"/>
          <w:sz w:val="20"/>
        </w:rPr>
        <w:t>Fair Value Measurements</w:t>
      </w:r>
      <w:r>
        <w:rPr>
          <w:rFonts w:ascii="Times New Roman" w:hAnsi="Times New Roman"/>
          <w:color w:val="000000"/>
          <w:sz w:val="20"/>
        </w:rPr>
        <w:t>, to the accompanying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Concentrations of Credit Risk, Customers, and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and cash equivalents, trade accounts receivable, and marketable securities. As of June 30, 2026,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periods, a small number of customers or a single laboratory customer have accounted for a significant portion of the Company’s revenue. For the laboratory services segment, when customers who, to our knowledge, are under common control or otherwise affiliated with each other are aggregated, no single customer held a significant concentration of the Company's revenue in the three months ended June 30, 2026. One of the Company's laboratory customers comprised $16.1 million, or 10%, of the Company’s revenue in the six months ended June 30, 2026. The same laboratory customer comprised $17.6 million, or 22%, of total revenue in the three months ended June 30, 2025, and $35.2 million, or 23%, of total revenue in the six months ended June 30, 2025. The same laboratory customer was not a significant concentration of total accounts receivable, net, as of June 30, 2026, but comprised 13% of total accounts receivable, net, as of December 31, 2025. For this laboratory customer, and for our customers generally, tests are typically purchased on a test-by-test basis and not pursuant to any long-term purchasing arrangements. In the therapeutic development segment, revenue is an immaterial portion of the Company’s total revenue as it does not yet have any commercialized or approved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for an acceptable replacement or temporary substitute. The Company’s development efforts could also be delayed or interrupted if it is unable to procure items needed for its therapeutic development activities. The Company believes there is currently a limited number of manufacturers that are capable of supplying and servicing some of the equipment and other materials necessary for its laboratory operations, including sequencers and various associated reagents.</w:t>
      </w:r>
    </w:p>
    <w:p>
      <w:pPr>
        <w:pStyle w:val="TextBody"/>
        <w:bidi w:val="0"/>
        <w:spacing w:before="360" w:after="283"/>
        <w:jc w:val="left"/>
        <w:rPr>
          <w:rFonts w:ascii="Times New Roman" w:hAnsi="Times New Roman"/>
          <w:sz w:val="20"/>
        </w:rPr>
      </w:pPr>
      <w:r>
        <w:rPr>
          <w:rFonts w:ascii="Times New Roman" w:hAnsi="Times New Roman"/>
          <w:b/>
          <w:i/>
          <w:color w:val="000000"/>
          <w:sz w:val="20"/>
        </w:rPr>
        <w:t>Reportable Segments and Geographic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Reportable segments are identified as components of an enterprise for which separate discrete financial information is available for evaluation by the Chief Operating Decision-Maker, or CODM, in making decisions regarding resource allocation and assessing performance. The Company’s CODM is its Chief Executive Officer. The Company has two reportable segments: a laboratory 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hAnsi="Times New Roman"/>
          <w:i/>
          <w:color w:val="000000"/>
          <w:sz w:val="20"/>
        </w:rPr>
        <w:t>Reportable Segments and Geographic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Translation and Foreign Currency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translates the assets and liabilities of its non-USD functional currency subsidiaries into USD using exchange rates in effect at the end of each period. Expenses for these subsidiaries are translated using rates that approximate those in effect during the period. These unrealized gains and losses are recognized in accumulated other comprehensive income in the equity section of the accompanying Condensed Consolidated Balance Sheets, and do not impact net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its subsidiaries that use the USD as their functional currency remeasure monetary assets and liabilities at exchange rates in effect at the end of each period. The carrying value of these monetary assets and liabilities will change with exchange rate fluctuations resulting in a foreign currency transaction gain or loss which is recognized in other income, net in the Condensed Consolidated Statements of Operations. Reagents and supplies, property, and other nonmonetary assets and liabilities are remeasured when the transaction is initially recognized using the historical rate that was in effect when the asset was acquired or liability was incurred. The carrying amounts do not change as a result of exchange rate fluctuations and no foreign currency transaction gain or loss is recognized. Gains and losses from foreign currency exchange were not significant for the three and six months ended June 30, 2026, and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(loss) income is comprised of net (loss) income and other comprehensive (loss) income. Other comprehensive (loss) income consists of net unrealized gain or loss on available-for-sale debt securities, net of tax, and foreign currency translation adjustments from the Company’s subsidiaries not using the USD as their functional currency. The tax expense of foreign currency translation income (loss) was zero for each of the three and six months ended June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Reclassifications from other comprehensive (loss) income to net loss, were zero in each of the three and six months ended June 30, 2026, and 2025. The tax effects related to net unrealized gain or loss on available-for-sale debt securities was zero in each of the three and six months ended June 30, 2026, and 2025, due to the valuation allowance in the current period that precludes the Company from recognizing the deferred tax benefit.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classifies its customers into three payor types: (i) Institutional, including hospitals, medical institutions, other laboratories, governmental bodies, and large corporations, (ii) Insurance,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six months ended June 30, 2026, and 2025:</w:t>
      </w:r>
    </w:p>
    <w:tbl>
      <w:tblPr>
        <w:tblW w:w="8222" w:type="dxa"/>
        <w:jc w:val="left"/>
        <w:tblInd w:w="0" w:type="dxa"/>
        <w:tblLayout w:type="fixed"/>
        <w:tblCellMar>
          <w:top w:w="28" w:type="dxa"/>
          <w:left w:w="28" w:type="dxa"/>
          <w:bottom w:w="28" w:type="dxa"/>
          <w:right w:w="28" w:type="dxa"/>
        </w:tblCellMar>
      </w:tblPr>
      <w:tblGrid>
        <w:gridCol w:w="1651"/>
        <w:gridCol w:w="346"/>
        <w:gridCol w:w="211"/>
        <w:gridCol w:w="676"/>
        <w:gridCol w:w="346"/>
        <w:gridCol w:w="346"/>
        <w:gridCol w:w="211"/>
        <w:gridCol w:w="676"/>
        <w:gridCol w:w="346"/>
        <w:gridCol w:w="346"/>
        <w:gridCol w:w="211"/>
        <w:gridCol w:w="781"/>
        <w:gridCol w:w="346"/>
        <w:gridCol w:w="346"/>
        <w:gridCol w:w="211"/>
        <w:gridCol w:w="781"/>
        <w:gridCol w:w="391"/>
      </w:tblGrid>
      <w:tr>
        <w:trPr/>
        <w:tc>
          <w:tcPr>
            <w:tcW w:w="1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payor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Institutional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Insurance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Patients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variable consideration using the expected value method. Any changes in variable consideration estimates that affect transactions are accounted for on a cumulative catch-up basis. Variable consideration adjustments in the three and six months ended June 30, 2026, and 2025 were not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Receivables from contracts with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Receivables from contracts with customers are included within trade accounts receivable on the Condensed Consolidated Balance Sheets. Receivables from Insurance and Institutional customers represented 45% and 55%, respectively, as of June 30, 2026, and each represented 50%, as of December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are recorded when the Company receives payment prior to completing its obligation to transfer goods or services to a customer. Contract liabilities are included in the Condensed Consolidated Balance Sheets. Revenues of $0.2 million and $0.9 million were recognized for the three and six months ended June 30, 2026, respectively, and $0.3 million and $0.2 million were recognized for the three and six months ended June 30, 2025, respectively, related to contract liabilities at the beginning of the respective periods. As of June 30, 2026, and December 31, 2025, the Company has no contract assets from contracts with customers associated with contract execution and certain costs to fulfill a contract.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Prior Period Reclassifications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amounts reported in the prior period have been reclassified to conform with the current period presentation. In the Condensed Consolidated Statement of Cash Flows, the Company has presented income taxes paid, net of refunds received, due to the prior adoption of ASU 2023-09, Income Taxes (Topic 740): </w:t>
      </w:r>
      <w:r>
        <w:rPr>
          <w:rFonts w:ascii="Times New Roman" w:hAnsi="Times New Roman"/>
          <w:i/>
          <w:color w:val="000000"/>
          <w:sz w:val="20"/>
        </w:rPr>
        <w:t>Improvement to Income Tax Disclosures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This update provides all entities with a practical expedient related to the estimation of expected credit losses for current accounts receivable and current contract assets that arise from transactions accounted for under ASC 606. Amendments in this update are effective for annual periods beginning after December 15, 2025, and interim reporting periods within those annual reporting periods. Early adoption is permitted. The Company adopted this ASU in the first quarter of 2026, and the impact is not material for the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Issued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This update requires disclosure in the notes to financial statements of specified information about certain costs and expenses. Amendments in this update are effective for annual periods beginning after December 15, 2026, and interim reporting periods beginning after December 15, 2027. Early adoption is permitted. The Company is currently evaluating the impact of this amendment on its consolidated financial statements and related disclosure.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Intangible—Goodwill and Other—Internal-Use Software (Subtopic 350-40): Targeted Improvements to the Accounting for Internal-Use Software</w:t>
      </w:r>
      <w:r>
        <w:rPr>
          <w:rFonts w:ascii="Times New Roman" w:hAnsi="Times New Roman"/>
          <w:color w:val="000000"/>
          <w:sz w:val="20"/>
        </w:rPr>
        <w:t>. This update simplifies the capitalization guidance by removing all references to software development project stages, so that the guidance is neutral to different software development methods. Amendments in this update are effective for annual periods beginning after December 15, 2027, and interim reporting periods within those annual reporting periods. Early adoption is permitted. The Company is currently evaluating the impact of this amendment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This update clarifies the applicability of interim reporting guidance, provides a comprehensive list of required interim disclosures, and establishes a disclosure principle that requires disclosure of material events that occurred after the end of the last annual reporting period. Amendments in this update are effective for interim reporting periods within annual periods beginning after December 15, 2027. Early adoption is permitted. The Company is currently evaluating the impact of this amendment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This update makes targeted amendments to various topics within the Accounting Standards Codification intended to clarify, correct errors, or make minor improvements to existing guidance. Amendments in this update are effective for annual reporting periods beginning after December 15, 2026, and interim reporting periods within those annual reporting periods. Early adoption is permitted. The Company is currently evaluating the impact of this amendment on its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expect that any other recently issued accounting guidance will have a significant effect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Equity and Debt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equity and debt securities consisted of the following:</w:t>
      </w:r>
    </w:p>
    <w:tbl>
      <w:tblPr>
        <w:tblW w:w="10205" w:type="dxa"/>
        <w:jc w:val="left"/>
        <w:tblInd w:w="0" w:type="dxa"/>
        <w:tblLayout w:type="fixed"/>
        <w:tblCellMar>
          <w:top w:w="28" w:type="dxa"/>
          <w:left w:w="28" w:type="dxa"/>
          <w:bottom w:w="28" w:type="dxa"/>
          <w:right w:w="28" w:type="dxa"/>
        </w:tblCellMar>
      </w:tblPr>
      <w:tblGrid>
        <w:gridCol w:w="4542"/>
        <w:gridCol w:w="211"/>
        <w:gridCol w:w="781"/>
        <w:gridCol w:w="166"/>
        <w:gridCol w:w="146"/>
        <w:gridCol w:w="295"/>
        <w:gridCol w:w="591"/>
        <w:gridCol w:w="146"/>
        <w:gridCol w:w="146"/>
        <w:gridCol w:w="222"/>
        <w:gridCol w:w="664"/>
        <w:gridCol w:w="166"/>
        <w:gridCol w:w="146"/>
        <w:gridCol w:w="211"/>
        <w:gridCol w:w="781"/>
        <w:gridCol w:w="991"/>
      </w:tblGrid>
      <w:tr>
        <w:trPr/>
        <w:tc>
          <w:tcPr>
            <w:tcW w:w="4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 of privately-held companies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equity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debt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156,498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Cash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debt securities due within 1 year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After 1 year through 5 years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245,411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debt securities due after 1 year through 5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294,316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available-for-sale debt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525,043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equity and debt securities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540,044</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542"/>
        <w:gridCol w:w="211"/>
        <w:gridCol w:w="781"/>
        <w:gridCol w:w="166"/>
        <w:gridCol w:w="146"/>
        <w:gridCol w:w="239"/>
        <w:gridCol w:w="647"/>
        <w:gridCol w:w="146"/>
        <w:gridCol w:w="146"/>
        <w:gridCol w:w="270"/>
        <w:gridCol w:w="616"/>
        <w:gridCol w:w="166"/>
        <w:gridCol w:w="146"/>
        <w:gridCol w:w="211"/>
        <w:gridCol w:w="781"/>
        <w:gridCol w:w="991"/>
      </w:tblGrid>
      <w:tr>
        <w:trPr/>
        <w:tc>
          <w:tcPr>
            <w:tcW w:w="4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Preferred stock of privately-held companies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equity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debt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Yankee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debt securities due within 1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285,884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After 1 year through 5 years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287,611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70,639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debt securities due after 1 year through 5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369,269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available-for-sale debt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655,153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equity and debt securities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670,154</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unrealized losses on the Company’s equity and debt securities were $2.3 million and $0.1 million as of June 30, 2026, and December 31, 2025, respectively. Proceeds from sale of available-for-sale securities were $33.1 million for each of the three and six months ended June 30, 2026. The gross realized gain was $0.1 million for each of the three and six months ended June 30, 2026. There was no sale of available-for-sale securities or realized gain or loss for each of the three and six months ended June 30, 2025. The cost of any marketable securities sold is based on the specific-identification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recognize any credit losses for its marketable available-for-sale debt securities during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tbl>
      <w:tblPr>
        <w:tblW w:w="10205" w:type="dxa"/>
        <w:jc w:val="left"/>
        <w:tblInd w:w="0" w:type="dxa"/>
        <w:tblLayout w:type="fixed"/>
        <w:tblCellMar>
          <w:top w:w="28" w:type="dxa"/>
          <w:left w:w="28" w:type="dxa"/>
          <w:bottom w:w="28" w:type="dxa"/>
          <w:right w:w="28" w:type="dxa"/>
        </w:tblCellMar>
      </w:tblPr>
      <w:tblGrid>
        <w:gridCol w:w="745"/>
        <w:gridCol w:w="9460"/>
      </w:tblGrid>
      <w:tr>
        <w:trPr/>
        <w:tc>
          <w:tcPr>
            <w:tcW w:w="745" w:type="dxa"/>
            <w:tcBorders/>
            <w:vAlign w:val="center"/>
          </w:tcPr>
          <w:p>
            <w:pPr>
              <w:pStyle w:val="TableContents"/>
              <w:bidi w:val="0"/>
              <w:spacing w:before="0" w:after="283"/>
              <w:jc w:val="left"/>
              <w:rPr>
                <w:sz w:val="4"/>
                <w:szCs w:val="4"/>
              </w:rPr>
            </w:pPr>
            <w:r>
              <w:rPr>
                <w:sz w:val="4"/>
                <w:szCs w:val="4"/>
              </w:rPr>
            </w:r>
          </w:p>
        </w:tc>
        <w:tc>
          <w:tcPr>
            <w:tcW w:w="9460" w:type="dxa"/>
            <w:tcBorders/>
            <w:vAlign w:val="center"/>
          </w:tcPr>
          <w:p>
            <w:pPr>
              <w:pStyle w:val="TableContents"/>
              <w:bidi w:val="0"/>
              <w:spacing w:before="0" w:after="283"/>
              <w:jc w:val="left"/>
              <w:rPr>
                <w:sz w:val="4"/>
                <w:szCs w:val="4"/>
              </w:rPr>
            </w:pPr>
            <w:r>
              <w:rPr>
                <w:sz w:val="4"/>
                <w:szCs w:val="4"/>
              </w:rPr>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9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quoted prices (unadjusted) in active markets for identical assets or liabilities that the reporting entity can access at the measurement date.</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9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other than quoted prices included within Level 1 that are observable for the asset or liability, either directly or indirectly.</w:t>
            </w:r>
          </w:p>
        </w:tc>
      </w:tr>
      <w:tr>
        <w:trPr/>
        <w:tc>
          <w:tcPr>
            <w:tcW w:w="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9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unobservable for the asset or liability.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tbl>
      <w:tblPr>
        <w:tblW w:w="10205" w:type="dxa"/>
        <w:jc w:val="left"/>
        <w:tblInd w:w="0" w:type="dxa"/>
        <w:tblLayout w:type="fixed"/>
        <w:tblCellMar>
          <w:top w:w="28" w:type="dxa"/>
          <w:left w:w="28" w:type="dxa"/>
          <w:bottom w:w="28" w:type="dxa"/>
          <w:right w:w="28" w:type="dxa"/>
        </w:tblCellMar>
      </w:tblPr>
      <w:tblGrid>
        <w:gridCol w:w="5085"/>
        <w:gridCol w:w="211"/>
        <w:gridCol w:w="781"/>
        <w:gridCol w:w="146"/>
        <w:gridCol w:w="146"/>
        <w:gridCol w:w="211"/>
        <w:gridCol w:w="571"/>
        <w:gridCol w:w="146"/>
        <w:gridCol w:w="146"/>
        <w:gridCol w:w="211"/>
        <w:gridCol w:w="781"/>
        <w:gridCol w:w="146"/>
        <w:gridCol w:w="146"/>
        <w:gridCol w:w="211"/>
        <w:gridCol w:w="676"/>
        <w:gridCol w:w="591"/>
      </w:tblGrid>
      <w:tr>
        <w:trPr/>
        <w:tc>
          <w:tcPr>
            <w:tcW w:w="5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 debt securities and 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of privately-held companies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bonds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 securities, debt securities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80"/>
        <w:gridCol w:w="211"/>
        <w:gridCol w:w="781"/>
        <w:gridCol w:w="146"/>
        <w:gridCol w:w="146"/>
        <w:gridCol w:w="211"/>
        <w:gridCol w:w="676"/>
        <w:gridCol w:w="146"/>
        <w:gridCol w:w="146"/>
        <w:gridCol w:w="211"/>
        <w:gridCol w:w="781"/>
        <w:gridCol w:w="146"/>
        <w:gridCol w:w="146"/>
        <w:gridCol w:w="211"/>
        <w:gridCol w:w="676"/>
        <w:gridCol w:w="591"/>
      </w:tblGrid>
      <w:tr>
        <w:trPr/>
        <w:tc>
          <w:tcPr>
            <w:tcW w:w="4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securities, debt securities and 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debt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of privately-held companies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bonds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Yankee debt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 securities, debt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Level 1 assets include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held preferred stock of two privately held companies, which were included in other long-term assets in the accompanying Condensed Consolidated Balance Sheets, that were measured using unobservable (Level 3) inputs. For the value of the investment in private equity securities, the Company elected to measure such investments at cost minus impairment, as the preferred stock of the privately held companies did not have a readily determinable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impairment of $9.9 million was recognized in 2025 related to Helio Genomics, Inc. There was no impairment loss recorded as of June 30, 2026, for the other preferred stock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transfers between fair value measurement levels during the three and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Fixed Assets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Major classes of fixed assets consisted of the following:</w:t>
      </w:r>
    </w:p>
    <w:tbl>
      <w:tblPr>
        <w:tblW w:w="9525" w:type="dxa"/>
        <w:jc w:val="left"/>
        <w:tblInd w:w="0" w:type="dxa"/>
        <w:tblLayout w:type="fixed"/>
        <w:tblCellMar>
          <w:top w:w="28" w:type="dxa"/>
          <w:left w:w="28" w:type="dxa"/>
          <w:bottom w:w="28" w:type="dxa"/>
          <w:right w:w="28" w:type="dxa"/>
        </w:tblCellMar>
      </w:tblPr>
      <w:tblGrid>
        <w:gridCol w:w="2731"/>
        <w:gridCol w:w="3646"/>
        <w:gridCol w:w="239"/>
        <w:gridCol w:w="886"/>
        <w:gridCol w:w="166"/>
        <w:gridCol w:w="146"/>
        <w:gridCol w:w="319"/>
        <w:gridCol w:w="118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lab equipment</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months to 13 Years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months to 39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to 39 Years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5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Aircraft</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10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lease term or estimated useful life</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11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improvements</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to 15 Years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Automobile</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to 7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equipment</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not yet placed in service</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on fixed assets totaled $5.0 million and $8.9 million for the three and six months ended June 30, 2026, respectively, and $3.9 million and $7.7 million for the three and six months ended June 30,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6. Other Significant Balance Sheet Accounts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current assets consisted of the following:</w:t>
      </w:r>
    </w:p>
    <w:tbl>
      <w:tblPr>
        <w:tblW w:w="6645" w:type="dxa"/>
        <w:jc w:val="left"/>
        <w:tblInd w:w="0" w:type="dxa"/>
        <w:tblLayout w:type="fixed"/>
        <w:tblCellMar>
          <w:top w:w="28" w:type="dxa"/>
          <w:left w:w="28" w:type="dxa"/>
          <w:bottom w:w="28" w:type="dxa"/>
          <w:right w:w="28" w:type="dxa"/>
        </w:tblCellMar>
      </w:tblPr>
      <w:tblGrid>
        <w:gridCol w:w="3391"/>
        <w:gridCol w:w="146"/>
        <w:gridCol w:w="267"/>
        <w:gridCol w:w="858"/>
        <w:gridCol w:w="146"/>
        <w:gridCol w:w="146"/>
        <w:gridCol w:w="357"/>
        <w:gridCol w:w="1143"/>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Reagents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Accrued liabilities consisted of the following:</w:t>
      </w:r>
    </w:p>
    <w:tbl>
      <w:tblPr>
        <w:tblW w:w="6420" w:type="dxa"/>
        <w:jc w:val="left"/>
        <w:tblInd w:w="0" w:type="dxa"/>
        <w:tblLayout w:type="fixed"/>
        <w:tblCellMar>
          <w:top w:w="28" w:type="dxa"/>
          <w:left w:w="28" w:type="dxa"/>
          <w:bottom w:w="28" w:type="dxa"/>
          <w:right w:w="28" w:type="dxa"/>
        </w:tblCellMar>
      </w:tblPr>
      <w:tblGrid>
        <w:gridCol w:w="3166"/>
        <w:gridCol w:w="146"/>
        <w:gridCol w:w="267"/>
        <w:gridCol w:w="858"/>
        <w:gridCol w:w="146"/>
        <w:gridCol w:w="146"/>
        <w:gridCol w:w="357"/>
        <w:gridCol w:w="1143"/>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Vacation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 and commission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short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other accrued liabilities also included short-term finance lease liabilities, health insurance liabilities, accrued property taxes, income tax payables, and third-party billing services.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Other long-term liabilities consisted of the following:</w:t>
      </w:r>
    </w:p>
    <w:tbl>
      <w:tblPr>
        <w:tblW w:w="6330" w:type="dxa"/>
        <w:jc w:val="left"/>
        <w:tblInd w:w="0" w:type="dxa"/>
        <w:tblLayout w:type="fixed"/>
        <w:tblCellMar>
          <w:top w:w="28" w:type="dxa"/>
          <w:left w:w="28" w:type="dxa"/>
          <w:bottom w:w="28" w:type="dxa"/>
          <w:right w:w="28" w:type="dxa"/>
        </w:tblCellMar>
      </w:tblPr>
      <w:tblGrid>
        <w:gridCol w:w="3076"/>
        <w:gridCol w:w="146"/>
        <w:gridCol w:w="303"/>
        <w:gridCol w:w="822"/>
        <w:gridCol w:w="146"/>
        <w:gridCol w:w="146"/>
        <w:gridCol w:w="403"/>
        <w:gridCol w:w="1097"/>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Reportable Segments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two distinct reportable segments. The laboratory services operating segment offers technical laboratory and testing services and professional interpretation of laboratory results by licensed physicians who specialize in pathology and oncology. The therapeutic development operating segment is a pharmaceutical research and development entity.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Company’s Chief Executive Officer serves as its CODM. The CODM oversees the Company’s operations and evaluates financial data for its two operating segments separately to make resource allocation decisions. The financial information regularly provided to the CODM includes various performance metrics by reportable segment, such as gross profit, operating income or loss, income or loss before income taxes, net income or loss from consolidated operations, and net income or loss attributable to the Company, all presented in accordance with U.S. GAAP. Although multiple financial metrics are provided, the CODM primarily relies on adjusted (non-GAAP) operating income or loss to evaluate segment performance and allocate resources. These adjusted metrics exclude the impact of equity-based compensation expenses, amortization of intangible assets, and acquisition-related costs including acquisition-related severance, if applicable as determined by management. Acquisition-related costs and acquisition-related severance are related to the acquisition of Bako (as defined below), which closed on March 17, 2026, see Note 15. </w:t>
      </w:r>
      <w:r>
        <w:rPr>
          <w:rFonts w:ascii="Times New Roman" w:hAnsi="Times New Roman"/>
          <w:i/>
          <w:color w:val="000000"/>
          <w:sz w:val="20"/>
        </w:rPr>
        <w:t>Business Combinations</w:t>
      </w:r>
      <w:r>
        <w:rPr>
          <w:rFonts w:ascii="Times New Roman" w:hAnsi="Times New Roman"/>
          <w:color w:val="000000"/>
          <w:sz w:val="20"/>
        </w:rPr>
        <w:t xml:space="preserve"> for additional details. The balance sheet is presented on a consolidated basis, as the CODM does not use asset or liability information, including fixed assets, to assess segment performance. As a result, segment asset and liability details are not disclosed.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newly acquired entity, Bako, is considered part of the laboratory services segment as this acquisition was strategically undertaken to further strengthen the Company’s laboratory services business by adding new products and services and further expanding its national client base, national sales team, and team of expert pathologists. Consequently, Bako’s operations are integrated into the laboratory services segment, with shared resources and collaborative efforts, and the CODM evaluates Bako’s operations as part of the laboratory services segment’s consolidated financial information. Therefore, Bako’s financial results are grouped within the laboratory services segment’s reporting.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There is no inter-segment allocation of interest expense and income taxes. There is no inter-segment revenue and operating income or loss. The Company did not allocate income tax by segment. Information regarding the Company’s operations and assets for its reportable segments as well as geographic information was as follows, all dollars are in thousands:</w:t>
      </w:r>
    </w:p>
    <w:tbl>
      <w:tblPr>
        <w:tblW w:w="8778" w:type="dxa"/>
        <w:jc w:val="left"/>
        <w:tblInd w:w="0" w:type="dxa"/>
        <w:tblLayout w:type="fixed"/>
        <w:tblCellMar>
          <w:top w:w="28" w:type="dxa"/>
          <w:left w:w="28" w:type="dxa"/>
          <w:bottom w:w="28" w:type="dxa"/>
          <w:right w:w="28" w:type="dxa"/>
        </w:tblCellMar>
      </w:tblPr>
      <w:tblGrid>
        <w:gridCol w:w="3261"/>
        <w:gridCol w:w="354"/>
        <w:gridCol w:w="1236"/>
        <w:gridCol w:w="166"/>
        <w:gridCol w:w="146"/>
        <w:gridCol w:w="491"/>
        <w:gridCol w:w="1474"/>
        <w:gridCol w:w="166"/>
        <w:gridCol w:w="146"/>
        <w:gridCol w:w="211"/>
        <w:gridCol w:w="736"/>
        <w:gridCol w:w="391"/>
      </w:tblGrid>
      <w:tr>
        <w:trPr/>
        <w:tc>
          <w:tcPr>
            <w:tcW w:w="326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Laboratory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 Development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cost of revenue</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research and development</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selling and marketing</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general and administrative</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operating loss</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3261"/>
        <w:gridCol w:w="338"/>
        <w:gridCol w:w="1252"/>
        <w:gridCol w:w="166"/>
        <w:gridCol w:w="146"/>
        <w:gridCol w:w="491"/>
        <w:gridCol w:w="1474"/>
        <w:gridCol w:w="166"/>
        <w:gridCol w:w="146"/>
        <w:gridCol w:w="211"/>
        <w:gridCol w:w="781"/>
        <w:gridCol w:w="391"/>
      </w:tblGrid>
      <w:tr>
        <w:trPr/>
        <w:tc>
          <w:tcPr>
            <w:tcW w:w="326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Laboratory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 Development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cost of revenue</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research and development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selling and marketing</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general and administrative</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operating loss</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3261"/>
        <w:gridCol w:w="377"/>
        <w:gridCol w:w="1213"/>
        <w:gridCol w:w="166"/>
        <w:gridCol w:w="146"/>
        <w:gridCol w:w="491"/>
        <w:gridCol w:w="1474"/>
        <w:gridCol w:w="166"/>
        <w:gridCol w:w="146"/>
        <w:gridCol w:w="211"/>
        <w:gridCol w:w="676"/>
        <w:gridCol w:w="391"/>
      </w:tblGrid>
      <w:tr>
        <w:trPr/>
        <w:tc>
          <w:tcPr>
            <w:tcW w:w="32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Laboratory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 Development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cost of revenue</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research and development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selling and marketing</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general and administrative</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operating loss</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3261"/>
        <w:gridCol w:w="338"/>
        <w:gridCol w:w="1252"/>
        <w:gridCol w:w="166"/>
        <w:gridCol w:w="146"/>
        <w:gridCol w:w="491"/>
        <w:gridCol w:w="1474"/>
        <w:gridCol w:w="166"/>
        <w:gridCol w:w="146"/>
        <w:gridCol w:w="211"/>
        <w:gridCol w:w="781"/>
        <w:gridCol w:w="391"/>
      </w:tblGrid>
      <w:tr>
        <w:trPr/>
        <w:tc>
          <w:tcPr>
            <w:tcW w:w="326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Laboratory 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 Development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cost of revenue</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research and development</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selling and marketing</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general and administrative</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operating loss</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9"/>
        <w:gridCol w:w="215"/>
        <w:gridCol w:w="753"/>
        <w:gridCol w:w="169"/>
        <w:gridCol w:w="148"/>
        <w:gridCol w:w="215"/>
        <w:gridCol w:w="753"/>
        <w:gridCol w:w="166"/>
        <w:gridCol w:w="146"/>
        <w:gridCol w:w="211"/>
        <w:gridCol w:w="736"/>
        <w:gridCol w:w="166"/>
        <w:gridCol w:w="146"/>
        <w:gridCol w:w="211"/>
        <w:gridCol w:w="736"/>
        <w:gridCol w:w="415"/>
      </w:tblGrid>
      <w:tr>
        <w:trPr/>
        <w:tc>
          <w:tcPr>
            <w:tcW w:w="50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“adjusted operating loss” to “loss before income taxes”</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loss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(add):</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costs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severance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equity securities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before income taxes</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(33,242</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Significant items by segment excluded from the adjusted operating (loss) income were as follows:</w:t>
      </w:r>
    </w:p>
    <w:tbl>
      <w:tblPr>
        <w:tblW w:w="7019" w:type="dxa"/>
        <w:jc w:val="left"/>
        <w:tblInd w:w="0" w:type="dxa"/>
        <w:tblLayout w:type="fixed"/>
        <w:tblCellMar>
          <w:top w:w="28" w:type="dxa"/>
          <w:left w:w="28" w:type="dxa"/>
          <w:bottom w:w="28" w:type="dxa"/>
          <w:right w:w="28" w:type="dxa"/>
        </w:tblCellMar>
      </w:tblPr>
      <w:tblGrid>
        <w:gridCol w:w="2206"/>
        <w:gridCol w:w="243"/>
        <w:gridCol w:w="659"/>
        <w:gridCol w:w="168"/>
        <w:gridCol w:w="168"/>
        <w:gridCol w:w="243"/>
        <w:gridCol w:w="781"/>
        <w:gridCol w:w="146"/>
        <w:gridCol w:w="146"/>
        <w:gridCol w:w="211"/>
        <w:gridCol w:w="677"/>
        <w:gridCol w:w="146"/>
        <w:gridCol w:w="146"/>
        <w:gridCol w:w="211"/>
        <w:gridCol w:w="67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Equity-based compensation</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Revenue by segment was as follows:</w:t>
      </w:r>
    </w:p>
    <w:tbl>
      <w:tblPr>
        <w:tblW w:w="8049" w:type="dxa"/>
        <w:jc w:val="left"/>
        <w:tblInd w:w="0" w:type="dxa"/>
        <w:tblLayout w:type="fixed"/>
        <w:tblCellMar>
          <w:top w:w="28" w:type="dxa"/>
          <w:left w:w="28" w:type="dxa"/>
          <w:bottom w:w="28" w:type="dxa"/>
          <w:right w:w="28" w:type="dxa"/>
        </w:tblCellMar>
      </w:tblPr>
      <w:tblGrid>
        <w:gridCol w:w="2826"/>
        <w:gridCol w:w="231"/>
        <w:gridCol w:w="741"/>
        <w:gridCol w:w="160"/>
        <w:gridCol w:w="160"/>
        <w:gridCol w:w="231"/>
        <w:gridCol w:w="741"/>
        <w:gridCol w:w="146"/>
        <w:gridCol w:w="146"/>
        <w:gridCol w:w="211"/>
        <w:gridCol w:w="781"/>
        <w:gridCol w:w="146"/>
        <w:gridCol w:w="146"/>
        <w:gridCol w:w="211"/>
        <w:gridCol w:w="781"/>
        <w:gridCol w:w="391"/>
      </w:tblGrid>
      <w:tr>
        <w:trPr/>
        <w:tc>
          <w:tcPr>
            <w:tcW w:w="28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Precision diagnostics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Anatomic pathology</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BioPharma services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laboratory services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BioPharma services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therapeutic development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Depreciation and amortization by segment were as follows:</w:t>
      </w:r>
    </w:p>
    <w:tbl>
      <w:tblPr>
        <w:tblW w:w="7021" w:type="dxa"/>
        <w:jc w:val="left"/>
        <w:tblInd w:w="0" w:type="dxa"/>
        <w:tblLayout w:type="fixed"/>
        <w:tblCellMar>
          <w:top w:w="28" w:type="dxa"/>
          <w:left w:w="28" w:type="dxa"/>
          <w:bottom w:w="28" w:type="dxa"/>
          <w:right w:w="28" w:type="dxa"/>
        </w:tblCellMar>
      </w:tblPr>
      <w:tblGrid>
        <w:gridCol w:w="2206"/>
        <w:gridCol w:w="257"/>
        <w:gridCol w:w="697"/>
        <w:gridCol w:w="178"/>
        <w:gridCol w:w="178"/>
        <w:gridCol w:w="257"/>
        <w:gridCol w:w="697"/>
        <w:gridCol w:w="146"/>
        <w:gridCol w:w="146"/>
        <w:gridCol w:w="211"/>
        <w:gridCol w:w="677"/>
        <w:gridCol w:w="146"/>
        <w:gridCol w:w="146"/>
        <w:gridCol w:w="211"/>
        <w:gridCol w:w="67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Interest income and expense by segment were as follows:</w:t>
      </w:r>
    </w:p>
    <w:tbl>
      <w:tblPr>
        <w:tblW w:w="7257" w:type="dxa"/>
        <w:jc w:val="left"/>
        <w:tblInd w:w="0" w:type="dxa"/>
        <w:tblLayout w:type="fixed"/>
        <w:tblCellMar>
          <w:top w:w="28" w:type="dxa"/>
          <w:left w:w="28" w:type="dxa"/>
          <w:bottom w:w="28" w:type="dxa"/>
          <w:right w:w="28" w:type="dxa"/>
        </w:tblCellMar>
      </w:tblPr>
      <w:tblGrid>
        <w:gridCol w:w="2206"/>
        <w:gridCol w:w="254"/>
        <w:gridCol w:w="689"/>
        <w:gridCol w:w="200"/>
        <w:gridCol w:w="176"/>
        <w:gridCol w:w="254"/>
        <w:gridCol w:w="689"/>
        <w:gridCol w:w="166"/>
        <w:gridCol w:w="146"/>
        <w:gridCol w:w="211"/>
        <w:gridCol w:w="676"/>
        <w:gridCol w:w="166"/>
        <w:gridCol w:w="146"/>
        <w:gridCol w:w="211"/>
        <w:gridCol w:w="676"/>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Total assets by segment were as follows:</w:t>
      </w:r>
    </w:p>
    <w:tbl>
      <w:tblPr>
        <w:tblW w:w="5331" w:type="dxa"/>
        <w:jc w:val="left"/>
        <w:tblInd w:w="0" w:type="dxa"/>
        <w:tblLayout w:type="fixed"/>
        <w:tblCellMar>
          <w:top w:w="28" w:type="dxa"/>
          <w:left w:w="28" w:type="dxa"/>
          <w:bottom w:w="28" w:type="dxa"/>
          <w:right w:w="28" w:type="dxa"/>
        </w:tblCellMar>
      </w:tblPr>
      <w:tblGrid>
        <w:gridCol w:w="2206"/>
        <w:gridCol w:w="211"/>
        <w:gridCol w:w="931"/>
        <w:gridCol w:w="146"/>
        <w:gridCol w:w="146"/>
        <w:gridCol w:w="277"/>
        <w:gridCol w:w="1223"/>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Geographic distribution of revenue was as follows:</w:t>
      </w:r>
    </w:p>
    <w:tbl>
      <w:tblPr>
        <w:tblW w:w="6789" w:type="dxa"/>
        <w:jc w:val="left"/>
        <w:tblInd w:w="0" w:type="dxa"/>
        <w:tblLayout w:type="fixed"/>
        <w:tblCellMar>
          <w:top w:w="28" w:type="dxa"/>
          <w:left w:w="28" w:type="dxa"/>
          <w:bottom w:w="28" w:type="dxa"/>
          <w:right w:w="28" w:type="dxa"/>
        </w:tblCellMar>
      </w:tblPr>
      <w:tblGrid>
        <w:gridCol w:w="1566"/>
        <w:gridCol w:w="231"/>
        <w:gridCol w:w="741"/>
        <w:gridCol w:w="160"/>
        <w:gridCol w:w="160"/>
        <w:gridCol w:w="231"/>
        <w:gridCol w:w="741"/>
        <w:gridCol w:w="146"/>
        <w:gridCol w:w="146"/>
        <w:gridCol w:w="211"/>
        <w:gridCol w:w="781"/>
        <w:gridCol w:w="146"/>
        <w:gridCol w:w="146"/>
        <w:gridCol w:w="211"/>
        <w:gridCol w:w="781"/>
        <w:gridCol w:w="391"/>
      </w:tblGrid>
      <w:tr>
        <w:trPr/>
        <w:tc>
          <w:tcPr>
            <w:tcW w:w="15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countries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foreign</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Geographic distribution of property, plant and equipment, net was as follows:</w:t>
      </w:r>
    </w:p>
    <w:tbl>
      <w:tblPr>
        <w:tblW w:w="4874" w:type="dxa"/>
        <w:jc w:val="left"/>
        <w:tblInd w:w="0" w:type="dxa"/>
        <w:tblLayout w:type="fixed"/>
        <w:tblCellMar>
          <w:top w:w="28" w:type="dxa"/>
          <w:left w:w="28" w:type="dxa"/>
          <w:bottom w:w="28" w:type="dxa"/>
          <w:right w:w="28" w:type="dxa"/>
        </w:tblCellMar>
      </w:tblPr>
      <w:tblGrid>
        <w:gridCol w:w="1566"/>
        <w:gridCol w:w="239"/>
        <w:gridCol w:w="886"/>
        <w:gridCol w:w="146"/>
        <w:gridCol w:w="146"/>
        <w:gridCol w:w="319"/>
        <w:gridCol w:w="1181"/>
        <w:gridCol w:w="391"/>
      </w:tblGrid>
      <w:tr>
        <w:trPr/>
        <w:tc>
          <w:tcPr>
            <w:tcW w:w="15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countries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foreign</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Debt,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payable as of June 30, 2026, consisted of $2.0 million of notes payable related to an installment sale contract the Company entered into in February 2022 for a building. The notes payable related to the installment sale are due in February 2030, and the interest rate is 1.08%. The current portion and noncurrent portion are $0.5 million and $1.5 million, respectively, and the noncurrent portion is included in other long-term liabilities in the accompanying Condensed Consolidated Balance Sheets. The interest expense for the three and six months ended June 30, 2026, and 2025, was not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and Finance 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9. </w:t>
      </w:r>
      <w:r>
        <w:rPr>
          <w:rFonts w:ascii="Times New Roman" w:hAnsi="Times New Roman"/>
          <w:i/>
          <w:color w:val="000000"/>
          <w:sz w:val="20"/>
        </w:rPr>
        <w:t>Leases</w:t>
      </w:r>
      <w:r>
        <w:rPr>
          <w:rFonts w:ascii="Times New Roman" w:hAnsi="Times New Roman"/>
          <w:color w:val="000000"/>
          <w:sz w:val="20"/>
        </w:rPr>
        <w:t>, for further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arising in the ordinary course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 Certain of the Company’s executive officers and employees have also received CIDs relating to these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to other laboratories in the industry, the Company responded to an audit inquiry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has provided HRSA’s auditors with requested information in connection with its audit in an effort to resolve any issues related to its audit, including any reimbursed amounts that may need to be returned to HRSA. As of the date of this quarterly report, the Company has not received any final audit results from HRSA for this audit. The Company has not received any further requests for information in connection with this audit from HRSA. The Company has also received a CID issued by the DOJ pursuant to the False Claims Act related to the DOJ’s investigation as to whether the Company submitted or caused to be submitted false claims to the Uninsured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typical for companies seeking reimbursement from government payors, from time to time the Company is named as a defendant in claims pursuant to the qui tam provisions of the False Claims Act and comparable state laws. Often, these proceedings remain under seal such that the Company does not have access to the specific information included in them. Seals often remain in place for extended periods of time while the U.S. government, or applicable regulatory authority, decides whether to intervene on behalf of the qui tam plaintiff. As a result, the Company may not be aware of all qui tam claims that have been filed against the Company. In or around February 2026, the U.S. District Court for the Central District of California unsealed a qui tam complaint (and certain related proceedings) filed against Fulgent Genetics, Inc. and Fulgent Therapeutics LLC by a qui tam plaintiff (known as a relator) on behalf of the United States. This complaint alleged that the Company filed false claims for reimbursement for COVID-19 tests in violation of the False Claims Act. The complaint was subsequently dismissed without prejudice as to the relator and the U.S. government following the U.S. government’s filing of a motion to dismiss, meaning the relator and the U.S. government retained the right to refile and may refile under seal.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fully cooperating with the DOJ in connection with the CIDs that it, or its employees, have received. The Company cannot currently predict when these CIDs and HRSA audit matters will be resolved, the reasonable or likely outcome of these matters, or their potential impact, which may materially and adversely affect the Company’s business, prospects, and financial condition. Discussions and investigations remain ongoing. As such, the Company cannot reasonably estimate the loss or range of loss, if any, that may result from any material government investigations, audits, claims, and reviews in which it is currently involved, given the inherent difficulty in predicting regulatory actions, fines and penalties, if any, and the various remedies and levels of judicial review available to the Company in the event of an adverse finding. As a result, the Company has not recorded any liability related to these CIDs or audit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like other laboratories in its industry, is subject to claims and allegations relating to professional liability. The Company accrued $14.5 million in connection with the settlement of a professional liability matter, which was included in accrued legal liabilities and general and administrative expense in the 2025 Annual Report. The Company maintains professional liability insurance that has provided partial coverage for this matter, subject to customary retentions, exclusions, and limits. During the second quarter of 2026, the Company paid this settlement in full, and the related accrual is no longer reflected in accrued legal liabilities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Lessee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lessee to various non-cancelable operating leases with varying terms through March 2034, primarily for laboratory and office space and equipment. The Company has options to renew some of these leases after their expiration.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operating and finance lease right-of-use asset, or ROU asset, short-term lease liabilities, and long-term lease liabilities as of June 30, 2026, and December 31, 2025, were as follows:</w:t>
      </w:r>
    </w:p>
    <w:tbl>
      <w:tblPr>
        <w:tblW w:w="6214" w:type="dxa"/>
        <w:jc w:val="left"/>
        <w:tblInd w:w="0" w:type="dxa"/>
        <w:tblLayout w:type="fixed"/>
        <w:tblCellMar>
          <w:top w:w="28" w:type="dxa"/>
          <w:left w:w="28" w:type="dxa"/>
          <w:bottom w:w="28" w:type="dxa"/>
          <w:right w:w="28" w:type="dxa"/>
        </w:tblCellMar>
      </w:tblPr>
      <w:tblGrid>
        <w:gridCol w:w="3106"/>
        <w:gridCol w:w="303"/>
        <w:gridCol w:w="822"/>
        <w:gridCol w:w="146"/>
        <w:gridCol w:w="146"/>
        <w:gridCol w:w="403"/>
        <w:gridCol w:w="1097"/>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 net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short term</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 term</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ROU asset, net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short term</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long term</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was operating and finance lease expense:</w:t>
      </w:r>
    </w:p>
    <w:tbl>
      <w:tblPr>
        <w:tblW w:w="7585" w:type="dxa"/>
        <w:jc w:val="left"/>
        <w:tblInd w:w="0" w:type="dxa"/>
        <w:tblLayout w:type="fixed"/>
        <w:tblCellMar>
          <w:top w:w="28" w:type="dxa"/>
          <w:left w:w="28" w:type="dxa"/>
          <w:bottom w:w="28" w:type="dxa"/>
          <w:right w:w="28" w:type="dxa"/>
        </w:tblCellMar>
      </w:tblPr>
      <w:tblGrid>
        <w:gridCol w:w="2571"/>
        <w:gridCol w:w="280"/>
        <w:gridCol w:w="758"/>
        <w:gridCol w:w="193"/>
        <w:gridCol w:w="193"/>
        <w:gridCol w:w="280"/>
        <w:gridCol w:w="559"/>
        <w:gridCol w:w="146"/>
        <w:gridCol w:w="146"/>
        <w:gridCol w:w="235"/>
        <w:gridCol w:w="637"/>
        <w:gridCol w:w="162"/>
        <w:gridCol w:w="162"/>
        <w:gridCol w:w="235"/>
        <w:gridCol w:w="637"/>
        <w:gridCol w:w="391"/>
      </w:tblGrid>
      <w:tr>
        <w:trPr/>
        <w:tc>
          <w:tcPr>
            <w:tcW w:w="2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ROU assets</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Supplemental information related to leases was the following:</w:t>
      </w:r>
    </w:p>
    <w:tbl>
      <w:tblPr>
        <w:tblW w:w="6167" w:type="dxa"/>
        <w:jc w:val="left"/>
        <w:tblInd w:w="0" w:type="dxa"/>
        <w:tblLayout w:type="fixed"/>
        <w:tblCellMar>
          <w:top w:w="28" w:type="dxa"/>
          <w:left w:w="28" w:type="dxa"/>
          <w:bottom w:w="28" w:type="dxa"/>
          <w:right w:w="28" w:type="dxa"/>
        </w:tblCellMar>
      </w:tblPr>
      <w:tblGrid>
        <w:gridCol w:w="4726"/>
        <w:gridCol w:w="268"/>
        <w:gridCol w:w="857"/>
        <w:gridCol w:w="316"/>
      </w:tblGrid>
      <w:tr>
        <w:trPr/>
        <w:tc>
          <w:tcPr>
            <w:tcW w:w="472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operating leases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operating leases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finance lease</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finance lease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is a maturity analysis of operating and finance lease liabilities using undiscounted cash flows on an annual basis with renewal periods included:</w:t>
      </w:r>
    </w:p>
    <w:tbl>
      <w:tblPr>
        <w:tblW w:w="5439" w:type="dxa"/>
        <w:jc w:val="left"/>
        <w:tblInd w:w="0" w:type="dxa"/>
        <w:tblLayout w:type="fixed"/>
        <w:tblCellMar>
          <w:top w:w="28" w:type="dxa"/>
          <w:left w:w="28" w:type="dxa"/>
          <w:bottom w:w="28" w:type="dxa"/>
          <w:right w:w="28" w:type="dxa"/>
        </w:tblCellMar>
      </w:tblPr>
      <w:tblGrid>
        <w:gridCol w:w="2326"/>
        <w:gridCol w:w="341"/>
        <w:gridCol w:w="1024"/>
        <w:gridCol w:w="166"/>
        <w:gridCol w:w="146"/>
        <w:gridCol w:w="374"/>
        <w:gridCol w:w="751"/>
        <w:gridCol w:w="311"/>
      </w:tblGrid>
      <w:tr>
        <w:trPr/>
        <w:tc>
          <w:tcPr>
            <w:tcW w:w="232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payments</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Equity-Based Compensation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May 14, 2026, at the Company's 2026 Annual Meeting of Stockholders, the Company's stockholders approved the Fulgent Genetics, Inc. 2026 Equity Incentive Plan (the "2026 Plan"), which replaced the Company's Amended and Restated 2016 Omnibus Incentive Plan (the "Prior Plan"), and awards made under the 2026 Plan will be made consistent with the terms of the 2026 plan. No additional awards were granted under the Prior Plan on or after May 14, 2026 (the "Effective Date"). Awards outstanding under the Prior Plan as of the Effective Date remain outstanding and continue to be governed by their existing terms.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2026 Plan authorizes the issuance of 2,000,000 new shares of the Company's common stock, plus up to an additional 1,500,000 shares of common stock to the extent awards outstanding under the Prior Plan are forfeited, expire, or are cancelled without delivery of shares on or after the Effective Date. Shares of common stock withheld or repurchased by the Company to satisfy an award's exercise price or tax withholding obligations are not added back to the shares of common stock available for future issuance. The 2026 Plan permits the grant of incentive stock options, non-qualified stock options, stock grants, and other stock-based awards (including RSUs and stock appreciation rights) to employees, directors, and consultants, and will terminate on March 31, 2036 unless terminated earlier.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has included equity-based compensation expense as part of cost of revenue and operating expenses in the accompanying Condensed Consolidated Statements of Operations as follows:</w:t>
      </w:r>
    </w:p>
    <w:tbl>
      <w:tblPr>
        <w:tblW w:w="7270" w:type="dxa"/>
        <w:jc w:val="left"/>
        <w:tblInd w:w="0" w:type="dxa"/>
        <w:tblLayout w:type="fixed"/>
        <w:tblCellMar>
          <w:top w:w="28" w:type="dxa"/>
          <w:left w:w="28" w:type="dxa"/>
          <w:bottom w:w="28" w:type="dxa"/>
          <w:right w:w="28" w:type="dxa"/>
        </w:tblCellMar>
      </w:tblPr>
      <w:tblGrid>
        <w:gridCol w:w="2311"/>
        <w:gridCol w:w="146"/>
        <w:gridCol w:w="243"/>
        <w:gridCol w:w="659"/>
        <w:gridCol w:w="168"/>
        <w:gridCol w:w="168"/>
        <w:gridCol w:w="243"/>
        <w:gridCol w:w="781"/>
        <w:gridCol w:w="146"/>
        <w:gridCol w:w="146"/>
        <w:gridCol w:w="211"/>
        <w:gridCol w:w="677"/>
        <w:gridCol w:w="146"/>
        <w:gridCol w:w="146"/>
        <w:gridCol w:w="211"/>
        <w:gridCol w:w="67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consolidated expense for (benefit from) income taxes of $0.03 million and ($0.7) million for the three and six months ended June 30, 2026, respectively, compared to ($2.3) million and ($2.1) million for the three and six months ended June 30, 2025, respectively. The Company’s effective tax rates were (0.1%) and 1% for the three and six months ended June 30, 2026, respectively, compared to 11% and 6% for the three and six months ended June 30, 2025, respectively. The change in the effective tax rate compared to prior periods was primarily driven by a one-time tax benefit resulting from an acquisition completed during the quarter, which allowed the Company to recognize a portion of the tax benefit from its net operating losses that had previously been reserved.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under examination by certain tax authorities for the 2021 to 2023 tax years. While the timing of the conclusion of the examination is uncertain, the Company believes that adequate amounts have been reserved for adjustments that may result. During 2026, the statutes of limitations will lapse on the Company’s 2022 federal tax year and certain 2021 and 2022 state tax years. The Company does not believe the federal or state statute lapses or any other event will significantly impact the balance of unrecognized tax benefits in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has not yet received the $106.1 million related to the carryback of Investment Tax Credits to the 2021 and 2022 tax years. In connection with the delayed refunds, the Company has accrued $3.2 million of estimated overpayment interest receivable from the Internal Revenue Service through the second quarter of 2026, which is recorded in interest income. The Company continues to monitor the status of its refund claim.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Loss per Share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is a reconciliation of the basic and diluted loss per share computations for the three and six months ended June 30, 2026, and 2025:</w:t>
      </w:r>
    </w:p>
    <w:tbl>
      <w:tblPr>
        <w:tblW w:w="9834" w:type="dxa"/>
        <w:jc w:val="left"/>
        <w:tblInd w:w="0" w:type="dxa"/>
        <w:tblLayout w:type="fixed"/>
        <w:tblCellMar>
          <w:top w:w="28" w:type="dxa"/>
          <w:left w:w="28" w:type="dxa"/>
          <w:bottom w:w="28" w:type="dxa"/>
          <w:right w:w="28" w:type="dxa"/>
        </w:tblCellMar>
      </w:tblPr>
      <w:tblGrid>
        <w:gridCol w:w="4696"/>
        <w:gridCol w:w="146"/>
        <w:gridCol w:w="216"/>
        <w:gridCol w:w="756"/>
        <w:gridCol w:w="170"/>
        <w:gridCol w:w="149"/>
        <w:gridCol w:w="216"/>
        <w:gridCol w:w="756"/>
        <w:gridCol w:w="166"/>
        <w:gridCol w:w="146"/>
        <w:gridCol w:w="211"/>
        <w:gridCol w:w="736"/>
        <w:gridCol w:w="166"/>
        <w:gridCol w:w="146"/>
        <w:gridCol w:w="211"/>
        <w:gridCol w:w="736"/>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Fulgent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outstanding,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securities have been excluded from the calculation of diluted loss per share because their effect would have been anti-dilutive:</w:t>
      </w:r>
    </w:p>
    <w:tbl>
      <w:tblPr>
        <w:tblW w:w="7422" w:type="dxa"/>
        <w:jc w:val="left"/>
        <w:tblInd w:w="0" w:type="dxa"/>
        <w:tblLayout w:type="fixed"/>
        <w:tblCellMar>
          <w:top w:w="28" w:type="dxa"/>
          <w:left w:w="28" w:type="dxa"/>
          <w:bottom w:w="28" w:type="dxa"/>
          <w:right w:w="28" w:type="dxa"/>
        </w:tblCellMar>
      </w:tblPr>
      <w:tblGrid>
        <w:gridCol w:w="2461"/>
        <w:gridCol w:w="146"/>
        <w:gridCol w:w="191"/>
        <w:gridCol w:w="749"/>
        <w:gridCol w:w="191"/>
        <w:gridCol w:w="191"/>
        <w:gridCol w:w="191"/>
        <w:gridCol w:w="749"/>
        <w:gridCol w:w="146"/>
        <w:gridCol w:w="146"/>
        <w:gridCol w:w="175"/>
        <w:gridCol w:w="685"/>
        <w:gridCol w:w="175"/>
        <w:gridCol w:w="175"/>
        <w:gridCol w:w="175"/>
        <w:gridCol w:w="685"/>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Contingently issuable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anti-dilutive shares described above were calculated using the treasury stock method. In the three and six months ended June 30, 2026, and 2025, the Company had outstanding stock options and restricted stock units that were excluded from the weighted-average share calculation for continuing operations due to the Company’s net loss positions.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three and six months ended June 30, 2026, the Company also had contingently issuable shares for contingent consideration to the acquisition of ANP that were excluded from the weighted-average share calculation for continuing operations due to the Company’s net loss positions. The milestones have not been satisfied as of June 30, 2026, thus, nothing was included in dilutive shares. </w:t>
      </w:r>
    </w:p>
    <w:p>
      <w:pPr>
        <w:pStyle w:val="TextBody"/>
        <w:bidi w:val="0"/>
        <w:spacing w:before="360" w:after="283"/>
        <w:jc w:val="left"/>
        <w:rPr>
          <w:rFonts w:ascii="Times New Roman" w:hAnsi="Times New Roman"/>
          <w:sz w:val="20"/>
        </w:rPr>
      </w:pPr>
      <w:r>
        <w:rPr>
          <w:rFonts w:ascii="Times New Roman" w:hAnsi="Times New Roman"/>
          <w:b/>
          <w:color w:val="000000"/>
          <w:sz w:val="20"/>
        </w:rPr>
        <w:t>Note 13. Retirement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$1.4 million and $2.8 million for the three and six months ended June 30, 2026, respectively, and $1.0 million and $2.2 million for the three and six months ended June 30,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Related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April 25, 2025, Ming Hsieh, the Chief Executive Officer and Chairperson of the board of directors, was on the board of directors and an approximately 20% owner of ANP, with which the Company entered into certain drug-related licensing and development service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President and Chief Scientific Officer of Fulgent Pharma, Ray Yin, is the Founder, President, and Chief Technology Officer of ANP. Prior to April 25, 2025, the Company incurred $0.1 million and $0.6 million related to the licensing and development services and the purchase of equipment in the three and six months ended June 30, 2025, respectively The Company also entered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employee service agreement with ANP in April 2023, an insignificant amount was recognized in revenue in the three and six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Business Combinations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Bako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2026, or the Bako acquisition date, Inform Diagnostics, Inc., a wholly owned subsidiary of the Company, completed an acquisition of substantially all of the assets and certain specified liabilities of Bako Diagnostics, a premier pathology laboratory, or Bako, and 100% of the issued and outstanding equity of StrataDx, a premier dermatopathology laboratory. Under the terms of the asset purchase agreement, as well as the purchase and sale agreement, both dated December 20, 2025, the total purchase price was approximately $55.7 million, net of cash received. These acquisitions, or collectively, the Bako Acquisition, enable the Company to further strengthen its laboratory services business by adding new products and services and further expand its national client base, national sales team, and team of expert pathologists.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financial results of the Bako Acquisition are included in the condensed consolidated financial statements from the date of acquisition. </w:t>
      </w:r>
    </w:p>
    <w:p>
      <w:pPr>
        <w:pStyle w:val="TextBody"/>
        <w:bidi w:val="0"/>
        <w:jc w:val="left"/>
        <w:rPr>
          <w:rFonts w:ascii="Times New Roman" w:hAnsi="Times New Roman"/>
          <w:sz w:val="20"/>
        </w:rPr>
      </w:pPr>
      <w:r>
        <w:rPr>
          <w:rFonts w:ascii="Times New Roman" w:hAnsi="Times New Roman"/>
          <w:color w:val="000000"/>
          <w:sz w:val="20"/>
        </w:rPr>
        <w:t xml:space="preserve">The Company accounted for the acquisitions as a business combination under Accounting Standards Codification Topic 805, </w:t>
      </w:r>
      <w:r>
        <w:rPr>
          <w:rFonts w:ascii="Times New Roman" w:hAnsi="Times New Roman"/>
          <w:i/>
          <w:color w:val="000000"/>
          <w:sz w:val="20"/>
        </w:rPr>
        <w:t>Business Combinations</w:t>
      </w:r>
      <w:r>
        <w:rPr>
          <w:rFonts w:ascii="Times New Roman" w:hAnsi="Times New Roman"/>
          <w:color w:val="000000"/>
          <w:sz w:val="20"/>
        </w:rPr>
        <w:t xml:space="preserve">, or “ASC 805.” Accordingly, the total consideration transferred has been allocated to the tangible assets and identified intangible assets acquired and liabilities assumed based on their estimated fair values as of the Bako acquisition date. The excess of the consideration transferred over the fair value of net identifiable assets acquired has been recognized as goodwill. The purchase price allocation is preliminary and remains subject to change, primarily with respect to deferred taxes. As additional information becomes available — including the filing and finalization of federal and state tax returns for periods prior to the Bako acquisition date, and the resolution of other post-closing matters — the Company may further update the preliminary purchase price allocation during the remainder of the measurement period (up to one year from the Bako acquisition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the Company finalized the post-closing purchase price adjustment for the Bako Acquisition pursuant to the terms of the purchase agreements, resulting in an excess payment of $0.1 million owed to the seller. This amount was recorded as a measurement period adjustment under ASC 805, increasing goodwill as of the Bako acquisition date. The adjustment had no impact on the Company’s consolidated statements of operations for the six months ended June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summarize the updated purchase price allocation:</w:t>
      </w:r>
    </w:p>
    <w:tbl>
      <w:tblPr>
        <w:tblW w:w="10205" w:type="dxa"/>
        <w:jc w:val="left"/>
        <w:tblInd w:w="0" w:type="dxa"/>
        <w:tblLayout w:type="fixed"/>
        <w:tblCellMar>
          <w:top w:w="28" w:type="dxa"/>
          <w:left w:w="28" w:type="dxa"/>
          <w:bottom w:w="28" w:type="dxa"/>
          <w:right w:w="28" w:type="dxa"/>
        </w:tblCellMar>
      </w:tblPr>
      <w:tblGrid>
        <w:gridCol w:w="5020"/>
        <w:gridCol w:w="334"/>
        <w:gridCol w:w="1071"/>
        <w:gridCol w:w="166"/>
        <w:gridCol w:w="146"/>
        <w:gridCol w:w="691"/>
        <w:gridCol w:w="1385"/>
        <w:gridCol w:w="146"/>
        <w:gridCol w:w="146"/>
        <w:gridCol w:w="211"/>
        <w:gridCol w:w="676"/>
        <w:gridCol w:w="213"/>
      </w:tblGrid>
      <w:tr>
        <w:trPr/>
        <w:tc>
          <w:tcPr>
            <w:tcW w:w="50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Initially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Revised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Considerations</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Considerations not paid yet (in accrued liabilities)</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considerations</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w:t>
            </w:r>
          </w:p>
        </w:tc>
        <w:tc>
          <w:tcPr>
            <w:tcW w:w="14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receivable</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 operating</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 net</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goodwill of $31.5 million arising from the acquisition is attributed to the expected synergies, assembled workforce, and other benefits that will potentially be generated from the business combination along with deferred tax. The goodwill recognized is not deductible for tax purposes.</w:t>
      </w:r>
    </w:p>
    <w:p>
      <w:pPr>
        <w:pStyle w:val="TextBody"/>
        <w:bidi w:val="0"/>
        <w:jc w:val="left"/>
        <w:rPr>
          <w:rFonts w:ascii="Times New Roman" w:hAnsi="Times New Roman"/>
          <w:color w:val="000000"/>
          <w:sz w:val="20"/>
        </w:rPr>
      </w:pPr>
      <w:r>
        <w:rPr>
          <w:rFonts w:ascii="Times New Roman" w:hAnsi="Times New Roman"/>
          <w:color w:val="000000"/>
          <w:sz w:val="20"/>
        </w:rPr>
        <w:t>The identified intangible assets acquired consisted of $22.0 million in customer relationships with an estimated amortization life of ten years and $0.7 million in trade name with an estimated amortization life of three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customer relationships was estimated using the Multiperiod Excess Earnings Method, or MPEEM, of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and trade name are amortized on a straight-line basis over their estimated useful lives.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revenue and net loss of the acquiree since the Bako acquisition date are $19.5 million and $3.4 million, respectively, which are included in the accompanying Condensed Consolidated Statements of Operations.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acquisition-related costs associated with the acquisition of Bako consisted primarily of legal, regulatory and financial advisory fees of approximately $0.3 million for the second quarter of 2026, $2.6 million for the first quarter of 2026, and $1.5 million incurred in the fourth quarter of 2025. These acquisition-related costs were expensed as incurred as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ANP Technologies, Inc.</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July 9, 2025, or the ANP acquisition date, the Company completed an acquisition of 100% of the outstanding equity of ANP, an innovation-driven company, which has developed multiple proprietary product platforms. The acquisition was structured as a combination of cash and stock, net of cash received. This acquisition enables the Company to secure ownership of the patents previously licensed from ANP, which are currently utilized in ongoing clinical studies. By securing full ownership of these intellectual property rights, the Company aims to enhance its control over the development and commercialization of related therapeutic candidates, thereby aligning with its strategic objectives to advance clinical programs.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financial results of ANP are included in the consolidated financial statements from the date of acquisition.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the Company finalized the federal and state income tax returns for ANP for periods prior to the ANP acquisition date. As a result of this finalization, the Company identified a measurement period adjustment resulting in a decrease to deferred tax liabilities of $2.7 million, with a corresponding decrease to goodwill of $2.7 million. This adjustment is reflected retrospectively as of the ANP acquisition date in accordance with ASC 805. The adjustment had no impact on the Company’s consolidated statements of operations for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updated and finalized purchase price allocation:</w:t>
      </w:r>
    </w:p>
    <w:tbl>
      <w:tblPr>
        <w:tblW w:w="10205" w:type="dxa"/>
        <w:jc w:val="left"/>
        <w:tblInd w:w="0" w:type="dxa"/>
        <w:tblLayout w:type="fixed"/>
        <w:tblCellMar>
          <w:top w:w="28" w:type="dxa"/>
          <w:left w:w="28" w:type="dxa"/>
          <w:bottom w:w="28" w:type="dxa"/>
          <w:right w:w="28" w:type="dxa"/>
        </w:tblCellMar>
      </w:tblPr>
      <w:tblGrid>
        <w:gridCol w:w="5006"/>
        <w:gridCol w:w="333"/>
        <w:gridCol w:w="1069"/>
        <w:gridCol w:w="166"/>
        <w:gridCol w:w="146"/>
        <w:gridCol w:w="517"/>
        <w:gridCol w:w="1555"/>
        <w:gridCol w:w="166"/>
        <w:gridCol w:w="146"/>
        <w:gridCol w:w="211"/>
        <w:gridCol w:w="676"/>
        <w:gridCol w:w="214"/>
      </w:tblGrid>
      <w:tr>
        <w:trPr/>
        <w:tc>
          <w:tcPr>
            <w:tcW w:w="500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Initially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Revised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Considerations</w:t>
            </w:r>
          </w:p>
        </w:tc>
        <w:tc>
          <w:tcPr>
            <w:tcW w:w="1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held back</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pre-existing accounts payable</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considerations</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receivable</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 operating</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amounts of identifiable assets acquired and liabilities assumed, net</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acquisition includes a contingent consideration arrangement that requires the Company to issue up to 292,682 shares of the Company’s common stock to the sellers of ANP upon ANP’s achievement of certain minimum levels of cash receipts over the next two years. The contingent consideration is classified as equity, and the fair value of $5.7 million was calculated based on the stock price of the Company’s common stock on the ANP acquisition date. The fair value of the contingent consideration does not need to be remeasured, as the subsequent settlement will be accounted for as equity.</w:t>
      </w:r>
    </w:p>
    <w:p>
      <w:pPr>
        <w:pStyle w:val="TextBody"/>
        <w:bidi w:val="0"/>
        <w:jc w:val="left"/>
        <w:rPr>
          <w:rFonts w:ascii="Times New Roman" w:hAnsi="Times New Roman"/>
          <w:color w:val="000000"/>
          <w:sz w:val="20"/>
        </w:rPr>
      </w:pPr>
      <w:r>
        <w:rPr>
          <w:rFonts w:ascii="Times New Roman" w:hAnsi="Times New Roman"/>
          <w:color w:val="000000"/>
          <w:sz w:val="20"/>
        </w:rPr>
        <w:t xml:space="preserve">The merger agreement, as amended, called for the Company to hold back $1.9 million to serve as collateral for indemnification of the equity holders. $1.0 million of the holdback will be released to the sellers of ANP after the initial survival date (three years after closing), and the remaining amount is to be released four years after the closing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goodwill of $0.3 million arising from the acquisition is attributed to the expected synergies, assembled workforce and other benefits that will potentially be generated from the business combination along with deferred tax. The goodwill recognized is not deductible for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identified intangible assets acquired consisted of $3.9 million IPR&amp;D which is an indefinite-lived asset and as such is not amortized, and $2.3 million customer relationships with an estimated amortization life of 18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IPR&amp;D was estimated using the cost to recreate method of the cost approach. The cost to recreate method estimates the expense to the Company if the intangible assets were to be recreated. The fair value of the customer relationships was estimated using the MPEEM under the income approach, see above for additional details.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are amortized on a straight-line basis over the estimated useful lives.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three months ended June 30, 2026, the Company recorded a full impairment of the customer relationships intangible asset. See Note 17. </w:t>
      </w:r>
      <w:r>
        <w:rPr>
          <w:rFonts w:ascii="Times New Roman" w:hAnsi="Times New Roman"/>
          <w:i/>
          <w:color w:val="000000"/>
          <w:sz w:val="20"/>
        </w:rPr>
        <w:t>Goodwill and Intangible Assets</w:t>
      </w:r>
      <w:r>
        <w:rPr>
          <w:rFonts w:ascii="Times New Roman" w:hAnsi="Times New Roman"/>
          <w:color w:val="000000"/>
          <w:sz w:val="20"/>
        </w:rPr>
        <w:t>, for further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the Company’s board of directors authorized a $250.0 million stock repurchase program. Under the stock repurchase program, the Company may repurchase shares from time to time in the open market or in privately negotiated transactions. The stock repurchase program has no expiration from the date of authorization.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repurchased 1.5 million and 4.1 million shares of its common stock, respectively, at an aggregate cost of $23.8 million and $63.9 million, respectively, under the stock repurchase program. During the three and six months ended June 30, 2025, the Company repurchased 0.2 million and 0.6 million shares of its common stock, respectively, at an aggregate cost of $3.0 million and $10.9 million, respectively under the stock repurchase program. As of June 30, 2026, a total of approximately $75.8 million remained available for future repurchases of its common stock under the stock repurchase program.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identified its laboratory services business and its therapeutic development business as its two operating segments, and the Company determined that the operating segments represented the two reporting units.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changes in the carrying amounts of goodwill for the laboratory services segment and the therapeutic development segment in the six months ended June 30, 2026 were as follows:</w:t>
      </w:r>
    </w:p>
    <w:tbl>
      <w:tblPr>
        <w:tblW w:w="6789" w:type="dxa"/>
        <w:jc w:val="left"/>
        <w:tblInd w:w="0" w:type="dxa"/>
        <w:tblLayout w:type="fixed"/>
        <w:tblCellMar>
          <w:top w:w="28" w:type="dxa"/>
          <w:left w:w="28" w:type="dxa"/>
          <w:bottom w:w="28" w:type="dxa"/>
          <w:right w:w="28" w:type="dxa"/>
        </w:tblCellMar>
      </w:tblPr>
      <w:tblGrid>
        <w:gridCol w:w="2731"/>
        <w:gridCol w:w="377"/>
        <w:gridCol w:w="1213"/>
        <w:gridCol w:w="146"/>
        <w:gridCol w:w="146"/>
        <w:gridCol w:w="467"/>
        <w:gridCol w:w="1498"/>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Laboratory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Therapeutic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period adjustment</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As of June 30, 2026, the Company identified indicators requiring an interim goodwill impairment assessment for its Therapeutic Development and Laboratory Services reporting units, including the loss of a significant customer within its ANP business and a sustained disconnect between the Company's market capitalization and its tangible net asset value. As a result, the Company engaged a third-party valuation specialist and performed an interim quantitative goodwill impairment test for both reporting units, and a corresponding quantitative recoverability test for its indefinite-lived in-process research and development ("IPR&amp;D").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Laboratory Services</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The change in goodwill for the laboratory services segment reflects goodwill arising from the Bako Acquisition, including a post-closing purchase price adjustment. The newly acquired entity, Bako, is considered part of the laboratory services segment. See Note 15. </w:t>
      </w:r>
      <w:r>
        <w:rPr>
          <w:rFonts w:ascii="Times New Roman" w:hAnsi="Times New Roman"/>
          <w:i/>
          <w:color w:val="000000"/>
          <w:sz w:val="20"/>
        </w:rPr>
        <w:t>Business Combinations</w:t>
      </w:r>
      <w:r>
        <w:rPr>
          <w:rFonts w:ascii="Times New Roman" w:hAnsi="Times New Roman"/>
          <w:color w:val="000000"/>
          <w:sz w:val="20"/>
        </w:rPr>
        <w:t>, for further details.</w:t>
      </w:r>
    </w:p>
    <w:p>
      <w:pPr>
        <w:pStyle w:val="TextBody"/>
        <w:bidi w:val="0"/>
        <w:jc w:val="left"/>
        <w:rPr>
          <w:rFonts w:ascii="Times New Roman" w:hAnsi="Times New Roman"/>
          <w:color w:val="000000"/>
          <w:sz w:val="20"/>
        </w:rPr>
      </w:pPr>
      <w:r>
        <w:rPr>
          <w:rFonts w:ascii="Times New Roman" w:hAnsi="Times New Roman"/>
          <w:color w:val="000000"/>
          <w:sz w:val="20"/>
        </w:rPr>
        <w:t>The fair values of the Company’s laboratory services reporting unit remain higher than the carrying value recorded. The fair value of this reporting unit was $1,045.0 million and exceeded the carrying value of $943.5 million by approximately 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results of the quantitative assessments the Company performed as of June 30, 2026, the Company concluded that the fair values of the laboratory services reporting unit, were greater than the carrying values and that there was no impairment. However, this remains at heightened risk of future impairment given the narrow margin between estimated fair value and carrying value. While no impairment was recorded as of June 30, 2026, future developments such as deterioration in business performance and the ability to achieve revenue growth targets as well as projected cost of revenue and operating expense targets could reduce the fair value of this reporting unit and lead to impairment in a future period.</w:t>
      </w:r>
    </w:p>
    <w:p>
      <w:pPr>
        <w:pStyle w:val="TextBody"/>
        <w:bidi w:val="0"/>
        <w:spacing w:before="360" w:after="283"/>
        <w:jc w:val="left"/>
        <w:rPr>
          <w:rFonts w:ascii="Times New Roman" w:hAnsi="Times New Roman"/>
          <w:sz w:val="20"/>
        </w:rPr>
      </w:pPr>
      <w:r>
        <w:rPr>
          <w:rFonts w:ascii="Times New Roman" w:hAnsi="Times New Roman"/>
          <w:i/>
          <w:color w:val="000000"/>
          <w:sz w:val="20"/>
        </w:rPr>
        <w:t>Therapeutic Development</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The decrease in goodwill for the therapeutic development segment reflects a measurement period adjustment related to the ANP acquisition, resulting from the finalization of deferred tax liabilities. See Note 15. </w:t>
      </w:r>
      <w:r>
        <w:rPr>
          <w:rFonts w:ascii="Times New Roman" w:hAnsi="Times New Roman"/>
          <w:i/>
          <w:color w:val="000000"/>
          <w:sz w:val="20"/>
        </w:rPr>
        <w:t>Business Combinations</w:t>
      </w:r>
      <w:r>
        <w:rPr>
          <w:rFonts w:ascii="Times New Roman" w:hAnsi="Times New Roman"/>
          <w:color w:val="000000"/>
          <w:sz w:val="20"/>
        </w:rPr>
        <w:t>, for further details.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During the year ended December 31, 2025, the Company recorded $2.3 million of customer relationships and $3.9 million of IPR&amp;D attributable to the acquisition of ANP. During the three months ended June 30, 2026, the Company identified a triggering event with respect to a finite-lived customer relationship intangible asset acquired as part of the ANP acquisition, resulting from loss of a significant customer relationship. As a result, the Company recorded an impairment charge of $2.2 million during the three months ended June 30, 2026, representing the remaining net carrying value of the intangible asset after accumulated amortization since the ANP acquisition date, effectively writing off the asset in its entirety. The impairment charge is reflected within a separate line item in the Condensed Consolidated Statements of Operations. </w:t>
      </w:r>
    </w:p>
    <w:p>
      <w:pPr>
        <w:pStyle w:val="TextBody"/>
        <w:bidi w:val="0"/>
        <w:jc w:val="left"/>
        <w:rPr>
          <w:rFonts w:ascii="Times New Roman" w:hAnsi="Times New Roman"/>
          <w:color w:val="000000"/>
          <w:sz w:val="20"/>
        </w:rPr>
      </w:pPr>
      <w:r>
        <w:rPr>
          <w:rFonts w:ascii="Times New Roman" w:hAnsi="Times New Roman"/>
          <w:color w:val="000000"/>
          <w:sz w:val="20"/>
        </w:rPr>
        <w:t>The fair value of the Company’s therapeutic development reporting unit was calculated using the income approach weighted at 100% with a WACC of 47%. The fair value of the IPR&amp;D was appraised using the income approach known as multi-period excess earnings method with a WACC of 49%.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 Company’s therapeutic development reporting unit and IPR&amp;D remain substantially higher than the carrying value recorded. The fair value of this reporting unit was $270.0 million and exceeded the carrying value of $54.6 million by approximately 395%, and the fair value of IPR&amp;D was $265.0 million and exceeded the carrying value of $68.5 million by approximately 287%.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upon the results of the quantitative assessments the Company performed as of June 30, 2026, the Company concluded that the fair values of the therapeutic development reporting unit and the IPR&amp;D asset at June 30, 2026, were greater than the carrying values and that there was no additional impairment.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product without obtaining regulatory approvals, and such approvals require completing clinical trials that demonstrate a product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Summaries of intangible assets balances as of June 30, 2026, and December 31, 2025, were as follows:</w:t>
      </w:r>
    </w:p>
    <w:tbl>
      <w:tblPr>
        <w:tblW w:w="10050" w:type="dxa"/>
        <w:jc w:val="left"/>
        <w:tblInd w:w="0" w:type="dxa"/>
        <w:tblLayout w:type="fixed"/>
        <w:tblCellMar>
          <w:top w:w="28" w:type="dxa"/>
          <w:left w:w="28" w:type="dxa"/>
          <w:bottom w:w="28" w:type="dxa"/>
          <w:right w:w="28" w:type="dxa"/>
        </w:tblCellMar>
      </w:tblPr>
      <w:tblGrid>
        <w:gridCol w:w="3706"/>
        <w:gridCol w:w="3016"/>
        <w:gridCol w:w="239"/>
        <w:gridCol w:w="886"/>
        <w:gridCol w:w="166"/>
        <w:gridCol w:w="146"/>
        <w:gridCol w:w="319"/>
        <w:gridCol w:w="1181"/>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Amortization Period</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Laboratory Services</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 net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Royalty-free technology</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Royalty-free technology, net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 net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information system platform</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information system platform, net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assets</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assets, net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patent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patent, net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Therapeutic Development</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 Years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impairment</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 net</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&amp; development</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Acquisition-related intangibles included in the above tables are generally finite-lived and are carried at cost less accumulated amortization, except for IPR&amp;D, which is related to the acquisitions of Fulgent Pharma in 2022 and ANP in 2025, and has an indefinite life until research and development efforts are completed or abandoned. All other finite-lived acquisition-related intangibles related to the business combinations are amortized on a straight-line basis over their estimated lives, which approximates the pattern in which the economic benefits of the intangible assets are expected to be realized.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six months ended June 30, 2026, the Company recorded $22.0 million of customer relationships and $0.7 million of trade name attributable to the acquisition of Bako. See more details in Note 15.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 assets was $2.6 million and $4.6 million in each of the three and six months ended June 30, 2026, respectively, and $2.0 million and $4.0 million in each of the three and six months ended June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Based on the carrying value of intangible assets recorded as of June 30, 2026, and assuming no subsequent impairment of the underlying assets, the annual amortization expense for intangible assets is expected to be as follows:</w:t>
      </w:r>
    </w:p>
    <w:tbl>
      <w:tblPr>
        <w:tblW w:w="3842" w:type="dxa"/>
        <w:jc w:val="left"/>
        <w:tblInd w:w="0" w:type="dxa"/>
        <w:tblLayout w:type="fixed"/>
        <w:tblCellMar>
          <w:top w:w="28" w:type="dxa"/>
          <w:left w:w="28" w:type="dxa"/>
          <w:bottom w:w="28" w:type="dxa"/>
          <w:right w:w="28" w:type="dxa"/>
        </w:tblCellMar>
      </w:tblPr>
      <w:tblGrid>
        <w:gridCol w:w="2326"/>
        <w:gridCol w:w="267"/>
        <w:gridCol w:w="858"/>
        <w:gridCol w:w="391"/>
      </w:tblGrid>
      <w:tr>
        <w:trPr/>
        <w:tc>
          <w:tcPr>
            <w:tcW w:w="23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2025, filed with the SEC on February 27, 2026, or the 2025 Annual Report. As used in this discussion and analysis and elsewhere in this report, unless the context otherwise requires, the terms “Fulgent,” the “Company,” “we,” “us” and “our” refer to Fulgent Genetics, Inc. and its consolidated subsidiaries.</w:t>
      </w:r>
    </w:p>
    <w:p>
      <w:pPr>
        <w:pStyle w:val="TextBody"/>
        <w:bidi w:val="0"/>
        <w:spacing w:before="360" w:after="283"/>
        <w:jc w:val="center"/>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2025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w:t>
      </w:r>
      <w:r>
        <w:rPr>
          <w:rFonts w:ascii="Times New Roman" w:hAnsi="Times New Roman"/>
          <w:color w:val="000000"/>
          <w:sz w:val="20"/>
        </w:rPr>
        <w:t xml:space="preserve"> </w:t>
      </w:r>
      <w:r>
        <w:rPr>
          <w:rFonts w:ascii="Times New Roman" w:hAnsi="Times New Roman"/>
          <w:i/>
          <w:color w:val="000000"/>
          <w:sz w:val="20"/>
        </w:rPr>
        <w:t>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technology-based company with a well-established laboratory services business and a therapeutic development business. Our laboratory services business includes technical laboratory and testing services and professional interpretation of laboratory results by licensed physicians. Our therapeutic development business is focused on developing product candidates for treating a broad range of cancers using a novel nanoencapsulation and targeted therapy platform designed to improve the therapeutic window and pharmacokinetic profile of new and existing cancer drugs.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March 17, 2026, and as further described in Note 15. </w:t>
      </w:r>
      <w:r>
        <w:rPr>
          <w:rFonts w:ascii="Times New Roman" w:hAnsi="Times New Roman"/>
          <w:i/>
          <w:color w:val="000000"/>
          <w:sz w:val="20"/>
        </w:rPr>
        <w:t>Business Combinations</w:t>
      </w:r>
      <w:r>
        <w:rPr>
          <w:rFonts w:ascii="Times New Roman" w:hAnsi="Times New Roman"/>
          <w:color w:val="000000"/>
          <w:sz w:val="20"/>
        </w:rPr>
        <w:t>, to the condensed consolidated financial statements included in this report, we completed the acquisition of certain assets of Bako Diagnostics and acquired StrataDx, or collectively, the Bako Acquisition, which together provide dermatopathology, podiatric pathology, and molecular diagnostic services and therapeutic products. As the Bako Acquisition closed late in the first quarter, the results for the six months ended June 30, 2026, include only approximately three and a half months of the acquired operations. We expect the additional impact of the Bako Acquisition on our consolidated results of operations, including revenue, cost of revenue, and operating expenses, to be reflected in future periods.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2026, we presented updated data from our ongoing Phase 2 study of FID-007 in combination with cetuximab in patients with recurrent or metastatic head and neck squamous cell carcinoma at the American Society of Clinical Oncology (ASCO) 2026 Annual Meeting. As of an April 16, 2026 data cutoff, the combination demonstrated an objective response rate of 61.9%, a median progression-free survival of 6.7 months, a median duration of response of 7.4 months, and a one-year overall survival rate of 63.4%, with a manageable safety profile. These are preliminary, interim data from an ongoing clinical study, and there can be no assurance that later-stage or larger trials will replicate these results or that we will obtain regulatory approval for FID-007.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Business Risks and Uncertainties and Other Factors Affecting Our Performance</w:t>
      </w:r>
    </w:p>
    <w:p>
      <w:pPr>
        <w:pStyle w:val="TextBody"/>
        <w:bidi w:val="0"/>
        <w:spacing w:before="120" w:after="283"/>
        <w:jc w:val="left"/>
        <w:rPr>
          <w:rFonts w:ascii="Times New Roman" w:hAnsi="Times New Roman"/>
          <w:sz w:val="20"/>
        </w:rPr>
      </w:pPr>
      <w:r>
        <w:rPr>
          <w:rFonts w:ascii="Times New Roman" w:hAnsi="Times New Roman"/>
          <w:color w:val="000000"/>
          <w:sz w:val="20"/>
        </w:rPr>
        <w:t>Our business and prospects are exposed to numerous risks and uncertainties, as described in our 2025 Annual Report. In particular, the Bako Acquisition is a transaction involving the integration of operations into our existing laboratory business. As described in greater detail in the risk factors included in our 2025 Annual Report, these acquisitions involve inherent risks, including potential difficulties in integrating operations, personnel, and technologies, and the potential for higher than anticipated acquisition-related costs or integration expenses. Ultimately, we may not realize the anticipated benefits of this transaction. For more information, see “</w:t>
      </w:r>
      <w:r>
        <w:rPr>
          <w:rFonts w:ascii="Times New Roman" w:hAnsi="Times New Roman"/>
          <w:i/>
          <w:color w:val="000000"/>
          <w:sz w:val="20"/>
        </w:rPr>
        <w:t>Item 1A. Risk Factors</w:t>
      </w:r>
      <w:r>
        <w:rPr>
          <w:rFonts w:ascii="Times New Roman" w:hAnsi="Times New Roman"/>
          <w:color w:val="000000"/>
          <w:sz w:val="20"/>
        </w:rPr>
        <w:t>” in Part I of the 2025 Annual Report. In addition, our performance in any period is affected by a number of other factors. See the description of some of the material factors affecting our performance in “</w:t>
      </w:r>
      <w:r>
        <w:rPr>
          <w:rFonts w:ascii="Times New Roman" w:hAnsi="Times New Roman"/>
          <w:i/>
          <w:color w:val="000000"/>
          <w:sz w:val="20"/>
        </w:rPr>
        <w:t>Item 7. Management’s Discussion and Analysis of Financial Condition and Results of Operations</w:t>
      </w:r>
      <w:r>
        <w:rPr>
          <w:rFonts w:ascii="Times New Roman" w:hAnsi="Times New Roman"/>
          <w:color w:val="000000"/>
          <w:sz w:val="20"/>
        </w:rPr>
        <w:t xml:space="preserve">” of the 2025 Annual Report.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40"/>
        <w:jc w:val="left"/>
        <w:rPr>
          <w:rFonts w:ascii="Times New Roman" w:hAnsi="Times New Roman"/>
          <w:sz w:val="20"/>
        </w:rPr>
      </w:pPr>
      <w:r>
        <w:rPr>
          <w:rFonts w:ascii="Times New Roman" w:hAnsi="Times New Roman"/>
          <w:color w:val="000000"/>
          <w:sz w:val="20"/>
        </w:rPr>
        <w:t>The table below summarizes the results of our continuing operations for each of the periods presented. For a financial overview relating to our results of operations, including general descriptions of the make-up of material line items of our statement of operation data, see “</w:t>
      </w:r>
      <w:r>
        <w:rPr>
          <w:rFonts w:ascii="Times New Roman" w:hAnsi="Times New Roman"/>
          <w:i/>
          <w:color w:val="000000"/>
          <w:sz w:val="20"/>
        </w:rPr>
        <w:t>Item 7. Management’s Discussion and Analysis of Financial Condition and Results of Operations</w:t>
      </w:r>
      <w:r>
        <w:rPr>
          <w:rFonts w:ascii="Times New Roman" w:hAnsi="Times New Roman"/>
          <w:color w:val="000000"/>
          <w:sz w:val="20"/>
        </w:rPr>
        <w:t>” of the 2025 Annual Report. Historical results are not indicative of the results to be expected in the current period or any future period.</w:t>
      </w:r>
    </w:p>
    <w:tbl>
      <w:tblPr>
        <w:tblW w:w="11956" w:type="dxa"/>
        <w:jc w:val="left"/>
        <w:tblInd w:w="0" w:type="dxa"/>
        <w:tblLayout w:type="fixed"/>
        <w:tblCellMar>
          <w:top w:w="28" w:type="dxa"/>
          <w:left w:w="28" w:type="dxa"/>
          <w:bottom w:w="28" w:type="dxa"/>
          <w:right w:w="28" w:type="dxa"/>
        </w:tblCellMar>
      </w:tblPr>
      <w:tblGrid>
        <w:gridCol w:w="1491"/>
        <w:gridCol w:w="146"/>
        <w:gridCol w:w="211"/>
        <w:gridCol w:w="736"/>
        <w:gridCol w:w="166"/>
        <w:gridCol w:w="146"/>
        <w:gridCol w:w="211"/>
        <w:gridCol w:w="736"/>
        <w:gridCol w:w="166"/>
        <w:gridCol w:w="146"/>
        <w:gridCol w:w="211"/>
        <w:gridCol w:w="736"/>
        <w:gridCol w:w="166"/>
        <w:gridCol w:w="146"/>
        <w:gridCol w:w="202"/>
        <w:gridCol w:w="669"/>
        <w:gridCol w:w="271"/>
        <w:gridCol w:w="146"/>
        <w:gridCol w:w="211"/>
        <w:gridCol w:w="781"/>
        <w:gridCol w:w="166"/>
        <w:gridCol w:w="146"/>
        <w:gridCol w:w="211"/>
        <w:gridCol w:w="781"/>
        <w:gridCol w:w="166"/>
        <w:gridCol w:w="146"/>
        <w:gridCol w:w="211"/>
        <w:gridCol w:w="736"/>
        <w:gridCol w:w="166"/>
        <w:gridCol w:w="146"/>
        <w:gridCol w:w="202"/>
        <w:gridCol w:w="669"/>
        <w:gridCol w:w="5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3"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consolidated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Fulgent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Revenue</w:t>
      </w:r>
    </w:p>
    <w:tbl>
      <w:tblPr>
        <w:tblW w:w="11056" w:type="dxa"/>
        <w:jc w:val="left"/>
        <w:tblInd w:w="0" w:type="dxa"/>
        <w:tblLayout w:type="fixed"/>
        <w:tblCellMar>
          <w:top w:w="28" w:type="dxa"/>
          <w:left w:w="28" w:type="dxa"/>
          <w:bottom w:w="28" w:type="dxa"/>
          <w:right w:w="28" w:type="dxa"/>
        </w:tblCellMar>
      </w:tblPr>
      <w:tblGrid>
        <w:gridCol w:w="1201"/>
        <w:gridCol w:w="146"/>
        <w:gridCol w:w="211"/>
        <w:gridCol w:w="676"/>
        <w:gridCol w:w="146"/>
        <w:gridCol w:w="146"/>
        <w:gridCol w:w="211"/>
        <w:gridCol w:w="676"/>
        <w:gridCol w:w="146"/>
        <w:gridCol w:w="146"/>
        <w:gridCol w:w="211"/>
        <w:gridCol w:w="631"/>
        <w:gridCol w:w="166"/>
        <w:gridCol w:w="146"/>
        <w:gridCol w:w="243"/>
        <w:gridCol w:w="628"/>
        <w:gridCol w:w="271"/>
        <w:gridCol w:w="146"/>
        <w:gridCol w:w="211"/>
        <w:gridCol w:w="781"/>
        <w:gridCol w:w="146"/>
        <w:gridCol w:w="146"/>
        <w:gridCol w:w="211"/>
        <w:gridCol w:w="781"/>
        <w:gridCol w:w="146"/>
        <w:gridCol w:w="146"/>
        <w:gridCol w:w="211"/>
        <w:gridCol w:w="631"/>
        <w:gridCol w:w="166"/>
        <w:gridCol w:w="146"/>
        <w:gridCol w:w="243"/>
        <w:gridCol w:w="628"/>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3"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laboratory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Precision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Anatomic pathology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BioPharma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laboratory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therapeutic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BioPharma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therapeutic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not meaningful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increased by $3.6 million, or 4%, from $81.8 million in the three months ended June 30, 2025, to $85.4 million in the three months ended June 30, 2026. The increase in revenue between periods was driven by increases of $9.4 million in anatomic pathology and $0.2 million in BioPharma services, partially offset by decreases of $6.0 million in precision diagnostics.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increased by $1.3 million, or 1%, from $155.3 million in the six months ended June 30, 2025, to $156.5 million in the six months ended June 30, 2026. The increase in revenue between periods was driven by increases of $9.2 million in anatomic pathology and $1.8 million in BioPharma services, partially offset by decreases of $9.8 million in precision diagnostics.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precision diagnostics revenue was driven by the decline in revenue from our largest customer as this customer begins to perform tests internally. As previously disclosed in our 2025 Annual Report, we expect revenues for our largest customer to continue to decline in 2026 as this customer continues to increase the performance of tests internally. The tests and testing services this customer has historically purchased were primarily precision diagnostic tests. To reduce this revenue risk, we will focus on developing existing customers and increasing the number of customers and thereby reducing the concentration and on successfully integrating our acquired businesses. The increase in anatomic pathology services was primarily due to $12.9 million in revenue resulting from assets and the business acquired in the Bako Acquisition, partially offset by decreases due to the impact of the final phase of the transition of our billing and revenue cycle management system which has resulted in significant processing backlogs and collections delays. We are actively seeking to address these transition issues, but we may be unable to resolve these issues in a timely manner or as quickly as we presently expect. The volume of our anatomic pathology testing services can fluctuate during holiday periods and can decline due to extreme adverse weather conditions leading to temporary laboratory closures as experienced during 2026. The increase in BioPharma services revenue was primarily due to the timing of service projects, though this revenue is expected to remain variable due to the long sales cycle and fluctuations in project timing.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rapid scaling of a broad, flexible testing menu, we can offer our customers more scalable and affordable testing. Going forward, we will strive to maintain this competitive advantage and emphasize this in our marketing efforts to grow our testing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customer base includes insurance, institutional, and individual payors. In some periods, our revenue is concentrated on a smaller number of customers. For the laboratory services segment, aggregating customers that are under common control, no customer represented a significant concentration of revenue in the three months ended June 30, 2026, but one customer comprised $16.1 million, or 10%, of total revenue in the six months ended June 30, 2026. The same customer contributed $17.6 million, or 22%, of our revenue in the three months ended June 30, 2025, and contributed $35.2 million, or 23%, of total revenue in the six months ended June 30, 2025. As previously disclosed, we expect revenues for this customer to continue to decline in 2026 as this customer continues to transition the performance of tests internally.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our largest laboratory customer, and for our customers generally, tests are typically purchased on a test-by-test basis and not pursuant to any long-term purchasing arrangements. Any or all of our customers, including affiliated customers or customers under common control who purchase large quantities of tests, have decided, and could again decide at any time, to decrease, delay, or discontinue their orders from us, which could adversely affect our revenue. In addition to the decline in demand from our largest customer transitioning testing services internally discussed above, we believe fluctuations in customer demand for our tests may be attributable, in part, to the nature of our business. Testing demand can often fluctuate throughout the year with lower demand during holiday periods. Our traditional laboratory and testing services customers can also experience significant volatility in their testing demand from period to period in the ordinary course of their operations. Demand fluctuations, particularly for any large customers, often have a significant impact on our period-to-period performance regardless of their cause.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the therapeutic development segment includes amounts recognized by ANP Technologies, Inc., or ANP, from technologies licensed to pharmaceutical and biotechnology companies, as well as CROs. An insignificant amount of gross-margin sharing revenue was recognized for the six months ended June 30, 2026. No further gross-margin sharing revenue is expected from this manufacturing and supply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from non-U.S. sources increased by $1.5 million, or 27%, from $5.6 million in the three months ended June 30, 2025, to $7.1 million in the three months ended June 30, 2026. The increase in the three-month period was primarily due to increases in total revenue to China of $0.7 million, Australia of $0.4 million, and United Kingdom of $0.2 million. Revenue from non-U.S. sources increased by $1.9 million, or 17%, from $11.2 million in the six months ended June 30, 2025, to $13.2 million in the six months ended June 30, 2026. The increase in the six-month period was primarily due to increases in total revenue to Australia of $0.7 million, China of $0.6 million, and United Kingdom of $0.4 million.</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Cost of Revenue</w:t>
      </w:r>
    </w:p>
    <w:tbl>
      <w:tblPr>
        <w:tblW w:w="11466" w:type="dxa"/>
        <w:jc w:val="left"/>
        <w:tblInd w:w="0" w:type="dxa"/>
        <w:tblLayout w:type="fixed"/>
        <w:tblCellMar>
          <w:top w:w="28" w:type="dxa"/>
          <w:left w:w="28" w:type="dxa"/>
          <w:bottom w:w="28" w:type="dxa"/>
          <w:right w:w="28" w:type="dxa"/>
        </w:tblCellMar>
      </w:tblPr>
      <w:tblGrid>
        <w:gridCol w:w="966"/>
        <w:gridCol w:w="146"/>
        <w:gridCol w:w="211"/>
        <w:gridCol w:w="676"/>
        <w:gridCol w:w="271"/>
        <w:gridCol w:w="146"/>
        <w:gridCol w:w="211"/>
        <w:gridCol w:w="676"/>
        <w:gridCol w:w="271"/>
        <w:gridCol w:w="146"/>
        <w:gridCol w:w="211"/>
        <w:gridCol w:w="676"/>
        <w:gridCol w:w="146"/>
        <w:gridCol w:w="146"/>
        <w:gridCol w:w="275"/>
        <w:gridCol w:w="596"/>
        <w:gridCol w:w="271"/>
        <w:gridCol w:w="146"/>
        <w:gridCol w:w="211"/>
        <w:gridCol w:w="781"/>
        <w:gridCol w:w="271"/>
        <w:gridCol w:w="146"/>
        <w:gridCol w:w="211"/>
        <w:gridCol w:w="676"/>
        <w:gridCol w:w="271"/>
        <w:gridCol w:w="146"/>
        <w:gridCol w:w="211"/>
        <w:gridCol w:w="676"/>
        <w:gridCol w:w="146"/>
        <w:gridCol w:w="146"/>
        <w:gridCol w:w="275"/>
        <w:gridCol w:w="596"/>
        <w:gridCol w:w="516"/>
      </w:tblGrid>
      <w:tr>
        <w:trPr/>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8"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as a %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cost of revenue increased by $12.3 million, or 26%, from $47.4 million in the three months ended June 30, 2025, to $59.7 million in the three months ended June 30, 2026. The increase in cost of revenue was primarily due to increases of $11.1 million in cost of revenue resulting from assets and the business acquired in the Bako Acquisition and $1.2 million in depreciation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cost of revenue increased by $16.9 million, or 18%, from $92.5 million in the six months ended June 30, 2025, to $109.4 million in the six months ended June 30, 2026. The increase in cost of revenue was primarily due to increases of $12.8 million in cost of revenue resulting from assets and the business acquired in the Bako Acquisition and increases of $1.8 million in shipping and handling expenses, $1.6 million in depreciation expenses, and $0.9 million in consulting and outside labor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consolidated cost of revenue as a percentage of revenue increased from 58% in the three months ended June 30, 2025, to 70% in the three months ended June 30, 2026. Our consolidated cost of revenues as a percentage of revenue increased from 60% in the six months ended June 30, 2025, to 70% in the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gross profit decreased by $8.8 million, or 25%, from $34.4 million in the three months ended June 30, 2025, to $25.7 million in the three months ended June 30, 2026, and decreased by $15.6 million, or 25%, from $62.8 million in the six months ended June 30, 2025, to $47.2 million in the six months ended June 30, 2026. Our gross profit as a percentage of revenue, or gross margin, decreased from 42% in the three months ended June 30, 2025, to 30% in the three months ended June 30, 2026, and 40% in the six months ended June 30, 2025, to 30% in the six months ended June 30, 2026. This was driven by the lower collection rate and higher fixed costs, reducing operating leverage primarily resulting from processing and collections delays in connection with the final phase of the implementation of our new billing and revenue cycle management system. This system is complex, and the challenges have been mostly related to implementing the customizations needed to maximize reimbursement that were not fully built into the initial launch. That customization work remains ongoing today. We have made progress implementing a number of the required customizations and remain focused on completing the remaining work as quickly as possible. As the remaining customizations are completed and integrated across our revenue cycle, we expect our collection rate, and correspondingly our gross margin, to improve, though we cannot predict the exact timing of that improvement.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Research and Development</w:t>
      </w:r>
    </w:p>
    <w:tbl>
      <w:tblPr>
        <w:tblW w:w="10734" w:type="dxa"/>
        <w:jc w:val="left"/>
        <w:tblInd w:w="0" w:type="dxa"/>
        <w:tblLayout w:type="fixed"/>
        <w:tblCellMar>
          <w:top w:w="28" w:type="dxa"/>
          <w:left w:w="28" w:type="dxa"/>
          <w:bottom w:w="28" w:type="dxa"/>
          <w:right w:w="28" w:type="dxa"/>
        </w:tblCellMar>
      </w:tblPr>
      <w:tblGrid>
        <w:gridCol w:w="1201"/>
        <w:gridCol w:w="146"/>
        <w:gridCol w:w="211"/>
        <w:gridCol w:w="676"/>
        <w:gridCol w:w="146"/>
        <w:gridCol w:w="146"/>
        <w:gridCol w:w="211"/>
        <w:gridCol w:w="676"/>
        <w:gridCol w:w="146"/>
        <w:gridCol w:w="146"/>
        <w:gridCol w:w="214"/>
        <w:gridCol w:w="582"/>
        <w:gridCol w:w="166"/>
        <w:gridCol w:w="146"/>
        <w:gridCol w:w="275"/>
        <w:gridCol w:w="596"/>
        <w:gridCol w:w="271"/>
        <w:gridCol w:w="146"/>
        <w:gridCol w:w="211"/>
        <w:gridCol w:w="676"/>
        <w:gridCol w:w="146"/>
        <w:gridCol w:w="146"/>
        <w:gridCol w:w="211"/>
        <w:gridCol w:w="676"/>
        <w:gridCol w:w="146"/>
        <w:gridCol w:w="146"/>
        <w:gridCol w:w="214"/>
        <w:gridCol w:w="582"/>
        <w:gridCol w:w="146"/>
        <w:gridCol w:w="146"/>
        <w:gridCol w:w="275"/>
        <w:gridCol w:w="59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1"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Therapeutic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Laboratory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laboratory services segment, the research and development expenses were mainly for advancing our technology and future testing and testing services. The expenses increased by $1.1 million, or 15% from $7.5 million in the three months ended June 30, 2025, to $8.5 million in the three months ended June 30, 2026. The increase was primarily attributed to increases of $1.0 million in reagents and supplies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laboratory services segment, the research and development expenses were mainly for advancing our technology and future testing and testing services. The expenses increased by $2.5 million, or 17% from $14.5 million in the six months ended June 30, 2025, to $17.0 million in the six months ended June 30, 2026. The increase was primarily attributed to increases of $1.7 million in reagents and supplies expenses and $0.9 million in personnel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Therapeutic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therapeutic development segment, the research and development expenses in the three months ended June 30, 2026, totaled $6.0 million and consisted of $2.8 million in contract research organization, or CRO, costs, and $2.7 million in personnel costs, including equity-based compensation. In the three months ended June 30, 2025, these expenses totaled $6.0 million and comprised $3.0 million in CRO costs and $2.6 million of personnel costs, including equity-based compensation. Other expense categories including facilities and depreciation are not individually significant and have remained stable.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therapeutic development segment, the research and development expenses in the six months ended June 30, 2026, totaled $11.7 million and consisted of $5.7 million in personnel costs, including equity-based compensation, and $4.8 million in CRO costs. In the six months ended June 30, 2025, these expenses totaled $11.3 million and comprised $5.5 million in CRO costs and $5.0 million of personnel expenses, including equity-based compensation. Other expense categories including facilities and depreciation are not individually significant and have remained stable.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for the therapeutic development segment remained flat for each of the three and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for our therapeutic development segment will be influenced by our ability to progress our therapeutic candidates through development with the Food and Drug Administration, or the FDA, the timing of which can be uncertain and delayed due to a variety of factors beyond our control, including staff reductions at the FDA, which may affect the FDA’s ability to provide any required approvals or review in a timely manner or in the timelines expected.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confirmed an end of Phase 2 meeting for FID-007 with the FDA which is scheduled before the end of August 2026 and, assuming favorable discussions with the FDA, we plan to commence a Phase 3 trial of FID-007 for the treatment of patients diagnosed with recurrent or metastatic head and neck squamous cell carcinoma in the first half of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Looking ahead, we expect research and development expenses to continue increasing as clinical trials progress for FID-007, FID-022, and other pre-clinical studies.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Selling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selling and marketing expenses increased by $2.9 million, or 24%, from $12.3 million in the three months ended June 30, 2025, to $15.2 million in the three months ended June 30, 2026. The increase in consolidated selling and marketing expenses was due to increase of $3.9 million resulting from assets and the business acquired in the Bako Acquisition, partially offset by decreases of $1.8 million in advertising and marketing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selling and marketing expenses increased by $6.7 million, or 32%, from $20.8 million in the six months ended June 30, 2025, to $27.4 million in the six months ended June 30, 2026. The increase in consolidated selling and marketing expenses was due to increase of $4.7 million resulting from assets and the business acquired in the Bako Acquisition, $2.2 million in personnel costs due to increased headcount, and $1.4 million in software and software licensing, partially offset by decreases of $1.9 million in advertising and marketing expenses.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general and administrative expenses increased by $0.8 million, or 3%, from $26.4 million in the three months ended June 30, 2025, to $27.2 million in the three months ended June 30, 2026. The increase in consolidated general and administrative expenses was due to increases of $3.6 million resulting from assets and the business acquired in the Bako Acquisition and $0.7 million in software and software licensing costs, partially offset by decreases of $1.9 million in legal expense and $0.7 million of bonus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consolidated general and administrative expenses increased by $3.2 million, or 6%, from $51.7 million in the six months ended June 30, 2025, to $54.9 million in the six months ended June 30, 2026. The increase in consolidated general and administrative expenses was due to increase of $4.7 million resulting from assets and the business acquired in the Bako Acquisition, partially offset by decreases of $1.0 million in bonus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we identified a triggering event with respect to a finite-lived customer relationship intangible asset acquired as part of the ANP acquisition, resulting from loss of a significant customer relationship. As a result, we recorded an impairment charge of $2.2 million during the three months ended June 30, 2026, representing the remaining net carrying value of the intangible asset after accumulated amortization since the ANP acquisition date, effectively writing off the asset in its entirety. The impairment charge is reflected within a separate line item in the Condensed Consolidated Statements of Operations. There was no such impairment charges for intangible assets in prior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Amortization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amortization of intangible assets represents amortization expenses on the intangible assets that arose from the business combinations in 2026, 2025, 2022 and 2021, and a patent purchased in 2021.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Income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income (expense) is primarily comprised of interest income, which was $6.4 million and $15.1 million in the three and six months ended June 30, 2026, respectively, and $8.1 million and $16.1 million in the three and six months ended June 30, 2025, respectively. This interest income included interest earned on marketable securities and realized gain or loss on sale of marketable securities, as well as interest accrued for outstanding federal tax refunds. The change in interest income was primarily due to the interest earned from the outstanding federal tax refunds, partially offset by lower overall marketable security balances. Other expenses primarily consisted of a one-time, non-cash impairment of a prior investment as discussed further in Note 4. </w:t>
      </w:r>
      <w:r>
        <w:rPr>
          <w:rFonts w:ascii="Times New Roman" w:hAnsi="Times New Roman"/>
          <w:i/>
          <w:color w:val="000000"/>
          <w:sz w:val="20"/>
        </w:rPr>
        <w:t>Fair Value Measurements</w:t>
      </w:r>
      <w:r>
        <w:rPr>
          <w:rFonts w:ascii="Times New Roman" w:hAnsi="Times New Roman"/>
          <w:color w:val="000000"/>
          <w:sz w:val="20"/>
        </w:rPr>
        <w:t>, of the financial statements included in this quarterly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Provision for (Benefit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(benefit from) income taxes was $0.03 million and ($0.7) million for the three and six months ended June 30, 2026, respectively, compared with ($2.3) million and ($2.1) million for the three and six months ended June 30, 2025, respectively. The Company’s effective tax rate was (0.1%) and 1% for the three and six months ended June 30, 2026, respectively, compared to 11% and 6% for the three and six months ended June 30, 2025, respectively. The change in the effective tax rate compared to prior periods was primarily driven by a one-time tax benefit resulting from the Bako Acquisition completed during the quarter, which allowed the Company to recognize a portion of the tax benefit from its net operating losses that had previously been reserved.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Attributable to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attributable to noncontrolling interest represents net loss attributable to minority stockholders from entities not wholly owned.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Sources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$551.5 million and $705.5 million in cash, cash equivalents, restricted cash, and marketable securities as of June 30, 2026, and December 31, 2025, respectively. Our marketable securities primarily consist of U.S. government and U.S. agency debt securities, corporate bonds, and municipal bonds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cash are for strategic acquisitions (the Bako Acquisition was funded from existing cash); our stock repurchase program; capital expenditures, mainly in buildings, building improvements, and equipment; repurchases of our stock; the funding of our clinical trials; and the funding of our operations as we continue to invest in and seek to grow our business. Cash used to fund operating expenses is impacted by the timing of our expense payments, as reflected in the changes in our outstanding accounts payable and accrued expenses. Future repurchases under the stock repurchase program, if any, will depend on a variety of factors, including the market price of our common stock, general market and economic conditions, our financial condition and operating results, our capital requirements and alternative uses of capital, applicable legal requirements, and other factors our board of directors may deem relevant. Our stock repurchase program does not obligate us to repurchase any specific number of shares and may be suspended, modified, or discontinued at any time without prior notice.</w:t>
      </w:r>
    </w:p>
    <w:p>
      <w:pPr>
        <w:pStyle w:val="TextBody"/>
        <w:bidi w:val="0"/>
        <w:spacing w:before="240" w:after="283"/>
        <w:jc w:val="left"/>
        <w:rPr>
          <w:rFonts w:ascii="Times New Roman" w:hAnsi="Times New Roman"/>
          <w:sz w:val="20"/>
        </w:rPr>
      </w:pPr>
      <w:r>
        <w:rPr>
          <w:rFonts w:ascii="Times New Roman" w:hAnsi="Times New Roman"/>
          <w:color w:val="000000"/>
          <w:sz w:val="20"/>
        </w:rPr>
        <w:t>We expect our existing cash, cash equivalents, restricted cash, and marketable securities to continue to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whether large customers continue ordering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w:t>
      </w:r>
      <w:r>
        <w:rPr>
          <w:rFonts w:ascii="Times New Roman" w:hAnsi="Times New Roman"/>
          <w:i/>
          <w:color w:val="000000"/>
          <w:sz w:val="20"/>
        </w:rPr>
        <w:t>Item 1A. Risk Factors</w:t>
      </w:r>
      <w:r>
        <w:rPr>
          <w:rFonts w:ascii="Times New Roman" w:hAnsi="Times New Roman"/>
          <w:color w:val="000000"/>
          <w:sz w:val="20"/>
        </w:rPr>
        <w:t>” of the 2025 Annual Report, and may not be successful. Moreover, even if our liquidity expectations are correct, we may still seek to raise additional capital through securities offerings, credit facilities or other debt financings, asset sales or collaborations or licensing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and as discussed above, we are in the process of transitioning our billing and revenue cycle management system, which has required us to rebuild and implement significant customizations. The final phase of this transition and the related customization needed for this system to work as intended remain ongoing and are not yet complete. As a result, we have encountered processing delays affecting our collections rate and some delayed amounts may not ultimately be collected at the rate we expect. As the remaining customizations are completed and integrated across our revenue cycle, we expect our collection rates to improve, though we cannot predict the exact timing of that improvement. We do not believe this matter will impact our ability to meet our anticipated cash requirements for at least the next 12 months, but continued delays in completing this transition could further affect our collections, liquidity,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raises,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cash flows from continuing operations for each of the periods presented:</w:t>
      </w:r>
    </w:p>
    <w:tbl>
      <w:tblPr>
        <w:tblW w:w="6014" w:type="dxa"/>
        <w:jc w:val="left"/>
        <w:tblInd w:w="0" w:type="dxa"/>
        <w:tblLayout w:type="fixed"/>
        <w:tblCellMar>
          <w:top w:w="28" w:type="dxa"/>
          <w:left w:w="28" w:type="dxa"/>
          <w:bottom w:w="28" w:type="dxa"/>
          <w:right w:w="28" w:type="dxa"/>
        </w:tblCellMar>
      </w:tblPr>
      <w:tblGrid>
        <w:gridCol w:w="3451"/>
        <w:gridCol w:w="146"/>
        <w:gridCol w:w="211"/>
        <w:gridCol w:w="736"/>
        <w:gridCol w:w="166"/>
        <w:gridCol w:w="146"/>
        <w:gridCol w:w="211"/>
        <w:gridCol w:w="736"/>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our operations used $16.7 million of cash, as compared to $34.6 million used in the six months ended June 30, 2025. The decrease in cash used in operating activities in the six months ended June 30, 2026, as compared with the corresponding period in 2025, was primarily due to the purchase of IRA tax credits of $33.8 million in 2025, partially offset by $13.5 million cash payment in connection with the settlement of a professional liability matter during the three months ended June 30, 2026. The remaining is related to the timing of cash receipts from customers and cash payments for operating expenses. We expect to incur more operating expenses and use more cash in operating activities in the coming quarters as a result of our planned and ongoing clinical trials for FID-007 and FID-022, and as we continue to invest resources to grow our laboratory services business.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provided by or used in investing activities is impacted by capital expenditures for operational needs and timing of payments, timing of maturities of marketable securities, and discretionary business combinations and other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in the six months ended June 30, 2026 was $61.7 million, which primarily represented $103.2 million in maturities of marketable securities, $33.1 million in proceeds from sale of marketable securities, partially offset by $55.6 million related to business acquisitions, $10.0 million from the purchase of marketable securities, and $9.1 million related to the purchase of fixed assets consisting mainly of building improvements, medical laboratory equipment, and computer hardware.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in the six months ended June 30, 2025, was $81.1 million, which primarily represented $92.7 million related to maturities of marketable securities, partially offset by $11.5 million related to the purchase of fixed assets consisting mainly of building improvement, medical laboratory equipment, and computer hardware.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in the six months ended June 30, 2026, was $69.1 million, which primarily related to $63.9 million used in the repurchase of common stock and $4.5 million used in common stock withholding for employee tax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in the six months ended June 30, 2025, was $13.8 million, which primarily related to $10.9 million for repurchase of common stock and $2.2 million used in common stock withholding for employee tax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expect to use any credit facilities due to the strong cash position as of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our board of directors authorized a $250.0 million stock repurchase program. The stock repurchase program has no expiration from the date of authorization. Under the stock repurchase program, we may repurchase shares from time to time in the open market or in privately negotiated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we repurchased 1.5 million and 4.1 million shares of our common stock, respectively, at an aggregate cost of $23.8 million and $63.9 million, respectively, under the stock repurchase program. During the three and six months ended June 30, 2025, we repurchased 0.2 million and 0.6 million shares of our common stock, respectively, at an aggregate cost of $3.0 million and $10.9 million, respectively, under the stock repurchase program. As of June 30, 2026, a total of approximately $75.8 million remained available for future repurchases of our common stock under our stock repurchase program.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sz w:val="20"/>
        </w:rPr>
      </w:pPr>
      <w:r>
        <w:rPr>
          <w:rFonts w:ascii="Times New Roman" w:hAnsi="Times New Roman"/>
          <w:color w:val="000000"/>
          <w:sz w:val="20"/>
        </w:rPr>
        <w:t>There have been no material changes to our critical accounting policies or estimates from the information provided in Part II, “</w:t>
      </w:r>
      <w:r>
        <w:rPr>
          <w:rFonts w:ascii="Times New Roman" w:hAnsi="Times New Roman"/>
          <w:i/>
          <w:color w:val="000000"/>
          <w:sz w:val="20"/>
        </w:rPr>
        <w:t>Item 7. Management’s Discussion and Analysis of Financial Condition and Results of Operations,</w:t>
      </w:r>
      <w:r>
        <w:rPr>
          <w:rFonts w:ascii="Times New Roman" w:hAnsi="Times New Roman"/>
          <w:color w:val="000000"/>
          <w:sz w:val="20"/>
        </w:rPr>
        <w:t>” included in the 2025 Annual Report.</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condensed consolidated financial statements included in this report for information about recent accounting pronouncements.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are material to investors.</w:t>
      </w:r>
    </w:p>
    <w:p>
      <w:pPr>
        <w:pStyle w:val="TextBody"/>
        <w:bidi w:val="0"/>
        <w:spacing w:before="360" w:after="283"/>
        <w:jc w:val="left"/>
        <w:rPr>
          <w:rFonts w:ascii="Times New Roman" w:hAnsi="Times New Roman"/>
          <w:b/>
          <w:color w:val="000000"/>
          <w:sz w:val="20"/>
        </w:rPr>
      </w:pPr>
      <w:bookmarkStart w:id="11" w:name="item_3_market_risk"/>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color w:val="000000"/>
          <w:sz w:val="20"/>
        </w:rPr>
        <w:t>For quantitative and qualitative disclosures about market risk, see Part II, “</w:t>
      </w:r>
      <w:r>
        <w:rPr>
          <w:rFonts w:ascii="Times New Roman" w:hAnsi="Times New Roman"/>
          <w:i/>
          <w:color w:val="000000"/>
          <w:sz w:val="20"/>
        </w:rPr>
        <w:t>Item 7A. Quantitative and Qualitative Disclosures About Market Risk,</w:t>
      </w:r>
      <w:r>
        <w:rPr>
          <w:rFonts w:ascii="Times New Roman" w:hAnsi="Times New Roman"/>
          <w:color w:val="000000"/>
          <w:sz w:val="20"/>
        </w:rPr>
        <w:t>” in the 2025 Annual Report. There were no material changes during the six months ended June 30, 2026.</w:t>
      </w:r>
    </w:p>
    <w:p>
      <w:pPr>
        <w:pStyle w:val="TextBody"/>
        <w:bidi w:val="0"/>
        <w:spacing w:before="36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principal executive officer and principal financial officer, conducted an evaluation of the effectiveness of our disclosure controls and procedures as of June 30, 2026. Based on this evaluation, our principal executive officer and principal financial officer concluded that our disclosure controls and procedures were effective as of June 30, 2026.</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not been any changes in our internal control (as required by Rule 13a-15(c) under the Exchange Act) over financial reporting during the three months ended June 30, 2026, that have materially affected or are reasonably likely to materially affect our internal control over financial reporting.</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Inherent Limitations on Disclosure Controls and Procedures and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From time to time, we may be involved in legal proceedings arising in the ordinary course of our business. As disclosed in Note 8. </w:t>
      </w:r>
      <w:r>
        <w:rPr>
          <w:rFonts w:ascii="Times New Roman" w:hAnsi="Times New Roman"/>
          <w:i/>
          <w:color w:val="000000"/>
          <w:sz w:val="20"/>
        </w:rPr>
        <w:t>Debt, Commitments, and Contingencies</w:t>
      </w:r>
      <w:r>
        <w:rPr>
          <w:rFonts w:ascii="Times New Roman" w:hAnsi="Times New Roman"/>
          <w:color w:val="000000"/>
          <w:sz w:val="20"/>
        </w:rPr>
        <w:t>, to the condensed consolidated financial statements, we are engaged in certain legal investigations and audits, and the disclosure set forth in Note 8 relating to these certain legal matters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outcome of these matters is inherently uncertain, and there can be no assurance that favorable outcomes will be obtained.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Regardless of the outcome, litigation can have an adverse impact on us due to defense and settlement costs, diversion of management resources, negative publicity, and reputational harm, among other factors.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color w:val="000000"/>
          <w:sz w:val="20"/>
        </w:rPr>
        <w:t>There have been no material changes to the risk factors set forth in Part I, “</w:t>
      </w:r>
      <w:r>
        <w:rPr>
          <w:rFonts w:ascii="Times New Roman" w:hAnsi="Times New Roman"/>
          <w:i/>
          <w:color w:val="000000"/>
          <w:sz w:val="20"/>
        </w:rPr>
        <w:t>Item 1A, Risk Factors,</w:t>
      </w:r>
      <w:r>
        <w:rPr>
          <w:rFonts w:ascii="Times New Roman" w:hAnsi="Times New Roman"/>
          <w:color w:val="000000"/>
          <w:sz w:val="20"/>
        </w:rPr>
        <w:t>” of the 2025 Annual Report.</w:t>
      </w:r>
    </w:p>
    <w:p>
      <w:pPr>
        <w:pStyle w:val="TextBody"/>
        <w:bidi w:val="0"/>
        <w:spacing w:before="3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Information on Share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 Purchases are made in the open market at prevailing market prices and were executed pursuant to trading plans we adopted pursuant to Rule 10b5-1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shares of common stock repurchased by the Company under the stock repurchase program and the average price paid per share for the three months ended June 30, 2026, are as follows:</w:t>
      </w:r>
    </w:p>
    <w:tbl>
      <w:tblPr>
        <w:tblW w:w="10205" w:type="dxa"/>
        <w:jc w:val="left"/>
        <w:tblInd w:w="0" w:type="dxa"/>
        <w:tblLayout w:type="fixed"/>
        <w:tblCellMar>
          <w:top w:w="28" w:type="dxa"/>
          <w:left w:w="28" w:type="dxa"/>
          <w:bottom w:w="28" w:type="dxa"/>
          <w:right w:w="28" w:type="dxa"/>
        </w:tblCellMar>
      </w:tblPr>
      <w:tblGrid>
        <w:gridCol w:w="1128"/>
        <w:gridCol w:w="146"/>
        <w:gridCol w:w="209"/>
        <w:gridCol w:w="1339"/>
        <w:gridCol w:w="146"/>
        <w:gridCol w:w="146"/>
        <w:gridCol w:w="338"/>
        <w:gridCol w:w="917"/>
        <w:gridCol w:w="146"/>
        <w:gridCol w:w="146"/>
        <w:gridCol w:w="326"/>
        <w:gridCol w:w="2082"/>
        <w:gridCol w:w="146"/>
        <w:gridCol w:w="146"/>
        <w:gridCol w:w="448"/>
        <w:gridCol w:w="2200"/>
        <w:gridCol w:w="196"/>
      </w:tblGrid>
      <w:tr>
        <w:trPr/>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Repurchased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 of Shares Repurchased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 Dollar Value of Shares that May Yet Be Repurchased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2026 (4/1/2026-4/30/2026)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91,830,850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2026 (5/1/2026-5/31/2026)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75,837,259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Includes commissions for the shares repurchased under the stock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 total of approximately $75.8 million remained available for future repurchases of our common stock under the stock repurchase program.</w:t>
      </w:r>
    </w:p>
    <w:p>
      <w:pPr>
        <w:pStyle w:val="TextBody"/>
        <w:bidi w:val="0"/>
        <w:spacing w:before="360" w:after="283"/>
        <w:jc w:val="left"/>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of the Exchange Act, adopted or terminated “Rule 10b5-1 trading arrangement” or “non-Rule 10b5-1 trading arrangement” as each term is defined in Item 408 of Regulation S-K.</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_5_exhibits"/>
      <w:bookmarkEnd w:id="18"/>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6 is set forth on the Exhibit Index immediately preceding the signature page of this report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exhibit_index"/>
      <w:bookmarkEnd w:id="19"/>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61"/>
        <w:gridCol w:w="6211"/>
        <w:gridCol w:w="1083"/>
        <w:gridCol w:w="511"/>
        <w:gridCol w:w="146"/>
        <w:gridCol w:w="683"/>
        <w:gridCol w:w="146"/>
        <w:gridCol w:w="664"/>
      </w:tblGrid>
      <w:tr>
        <w:trPr/>
        <w:tc>
          <w:tcPr>
            <w:tcW w:w="761"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5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with this Form 10-Q</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6"/>
                  <w:u w:val="single"/>
                </w:rPr>
                <w:t>Certificate of Incorporation of the registrant, as amended.</w:t>
              </w:r>
            </w:hyperlink>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8/14/2017</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6"/>
                  <w:u w:val="single"/>
                </w:rPr>
                <w:t>Certificate of Amendment to Certificate of Incorporation of the registrant, dated August 2, 2016.</w:t>
              </w:r>
            </w:hyperlink>
            <w:hyperlink r:id="rId4">
              <w:r>
                <w:rPr>
                  <w:rStyle w:val="InternetLink"/>
                  <w:rFonts w:ascii="Times New Roman" w:hAnsi="Times New Roman"/>
                  <w:color w:val="0000FF"/>
                  <w:sz w:val="16"/>
                </w:rPr>
                <w:t xml:space="preserve"> </w:t>
              </w:r>
            </w:hyperlink>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8/14/2017</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6"/>
                  <w:u w:val="single"/>
                </w:rPr>
                <w:t>Certificate of Amendment to Certificate of Incorporation of the registrant, dated May 17, 2017.</w:t>
              </w:r>
            </w:hyperlink>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8/14/2017</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6"/>
                  <w:u w:val="single"/>
                </w:rPr>
                <w:t>Amended and Restated Bylaws of the registrant.</w:t>
              </w:r>
            </w:hyperlink>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8/4/2023</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6"/>
                  <w:u w:val="single"/>
                </w:rPr>
                <w:t>Fulgent Genetics, Inc. 2026 Equity Incentive Plan.</w:t>
              </w:r>
            </w:hyperlink>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6"/>
                  <w:u w:val="single"/>
                </w:rPr>
                <w:t>Form of Restricted Stock Unit Award Grant Notice and Restricted Stock Unit Agreement under the Fulgent Genetics, Inc. 2026 Equity Incentive Plan.</w:t>
              </w:r>
            </w:hyperlink>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6"/>
                  <w:u w:val="single"/>
                </w:rPr>
                <w:t>Form of Stock Option Grant Notice and Stock Option Agreement under the Fulgent Genetics, Inc. 2026 Equity Incentive Plan.</w:t>
              </w:r>
            </w:hyperlink>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001-37891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w:anchor="flgt-ex31_1.htm">
              <w:r>
                <w:rPr>
                  <w:rStyle w:val="InternetLink"/>
                  <w:rFonts w:ascii="Times New Roman" w:hAnsi="Times New Roman"/>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w:anchor="flgt-ex31_2.htm">
              <w:r>
                <w:rPr>
                  <w:rStyle w:val="InternetLink"/>
                  <w:rFonts w:ascii="Times New Roman" w:hAnsi="Times New Roman"/>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6211" w:type="dxa"/>
            <w:tcBorders/>
            <w:tcMar>
              <w:top w:w="0" w:type="dxa"/>
              <w:left w:w="0" w:type="dxa"/>
              <w:bottom w:w="0" w:type="dxa"/>
              <w:right w:w="0" w:type="dxa"/>
            </w:tcMar>
            <w:vAlign w:val="center"/>
          </w:tcPr>
          <w:p>
            <w:pPr>
              <w:pStyle w:val="TableContents"/>
              <w:bidi w:val="0"/>
              <w:spacing w:before="0" w:after="283"/>
              <w:jc w:val="left"/>
              <w:rPr/>
            </w:pPr>
            <w:hyperlink w:anchor="flgt-ex32_1.htm">
              <w:r>
                <w:rPr>
                  <w:rStyle w:val="InternetLink"/>
                  <w:rFonts w:ascii="Times New Roman" w:hAnsi="Times New Roman"/>
                  <w:color w:val="0000FF"/>
                  <w:sz w:val="16"/>
                  <w:u w:val="single"/>
                </w:rPr>
                <w:t>Certification of Principal Executive Officer and Principal Financial Officer pursuant to 18 U.S.C. Section 1350, as adopted pursuant to Section 906 of the Sarbanes-Oxley Act of 2002.</w:t>
              </w:r>
            </w:hyperlink>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XBRL tags are embedded within the Inline XBRL document.</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Document.</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101.CAL</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Calculation Linkbase Document.</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101.DEF</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Definition Linkbase Document.</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101.LAB</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Label Linkbase Document.</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101.PRE</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Presentation Linkbase Document.</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Management compensation plan or arrangement.</w:t>
      </w:r>
    </w:p>
    <w:p>
      <w:pPr>
        <w:pStyle w:val="TextBody"/>
        <w:bidi w:val="0"/>
        <w:jc w:val="left"/>
        <w:rPr>
          <w:rFonts w:ascii="Times New Roman" w:hAnsi="Times New Roman"/>
          <w:color w:val="000000"/>
          <w:sz w:val="16"/>
        </w:rPr>
      </w:pPr>
      <w:r>
        <w:rPr>
          <w:rFonts w:ascii="Times New Roman" w:hAnsi="Times New Roman"/>
          <w:color w:val="000000"/>
          <w:sz w:val="16"/>
        </w:rPr>
        <w:t xml:space="preserve">^ Filed herewith. </w:t>
      </w:r>
    </w:p>
    <w:p>
      <w:pPr>
        <w:pStyle w:val="TextBody"/>
        <w:bidi w:val="0"/>
        <w:jc w:val="left"/>
        <w:rPr>
          <w:rFonts w:ascii="Times New Roman" w:hAnsi="Times New Roman"/>
          <w:sz w:val="20"/>
        </w:rPr>
      </w:pPr>
      <w:r>
        <w:rPr>
          <w:rFonts w:ascii="Times New Roman" w:hAnsi="Times New Roman"/>
          <w:color w:val="000000"/>
          <w:sz w:val="16"/>
        </w:rPr>
        <w:t>* Furnished herewith.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1711"/>
        <w:gridCol w:w="109"/>
        <w:gridCol w:w="406"/>
        <w:gridCol w:w="375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FULGENT GENETICS,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Ming Hsieh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Ming Hsieh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Paul Kim</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Kim</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1" w:name="flgt-ex31_1.htm"/>
      <w:bookmarkStart w:id="22" w:name="ksflgt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Ming Hsieh,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2026 of Fulgent Genetics,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3" w:type="dxa"/>
        <w:jc w:val="left"/>
        <w:tblInd w:w="0" w:type="dxa"/>
        <w:tblLayout w:type="fixed"/>
        <w:tblCellMar>
          <w:top w:w="28" w:type="dxa"/>
          <w:left w:w="28" w:type="dxa"/>
          <w:bottom w:w="28" w:type="dxa"/>
          <w:right w:w="28" w:type="dxa"/>
        </w:tblCellMar>
      </w:tblPr>
      <w:tblGrid>
        <w:gridCol w:w="1711"/>
        <w:gridCol w:w="406"/>
        <w:gridCol w:w="2416"/>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Ming Hsieh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Ming Hsieh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flgt-ex31_2.htm"/>
      <w:bookmarkStart w:id="24" w:name="ksflgt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Kim,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2026 of Fulgent Genetics,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63" w:type="dxa"/>
        <w:jc w:val="left"/>
        <w:tblInd w:w="0" w:type="dxa"/>
        <w:tblLayout w:type="fixed"/>
        <w:tblCellMar>
          <w:top w:w="28" w:type="dxa"/>
          <w:left w:w="28" w:type="dxa"/>
          <w:bottom w:w="28" w:type="dxa"/>
          <w:right w:w="28" w:type="dxa"/>
        </w:tblCellMar>
      </w:tblPr>
      <w:tblGrid>
        <w:gridCol w:w="1711"/>
        <w:gridCol w:w="406"/>
        <w:gridCol w:w="3646"/>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Kim</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Kim</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flgt-ex32_1.htm"/>
      <w:bookmarkStart w:id="26" w:name="ksflgt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quarterly period ended June 30, 2026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1711"/>
        <w:gridCol w:w="146"/>
        <w:gridCol w:w="406"/>
        <w:gridCol w:w="364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Ming Hsieh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Ming Hsieh</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Kim</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Kim</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4930/000119312516700733/d360404dex31.htm" TargetMode="External"/><Relationship Id="rId3" Type="http://schemas.openxmlformats.org/officeDocument/2006/relationships/hyperlink" Target="https://www.sec.gov/Archives/edgar/data/1674930/000119312516700733/d360404dex311.htm" TargetMode="External"/><Relationship Id="rId4" Type="http://schemas.openxmlformats.org/officeDocument/2006/relationships/hyperlink" Target="https://www.sec.gov/Archives/edgar/data/1674930/000119312516700733/d360404dex311.htm" TargetMode="External"/><Relationship Id="rId5" Type="http://schemas.openxmlformats.org/officeDocument/2006/relationships/hyperlink" Target="https://www.sec.gov/Archives/edgar/data/1674930/000156459017017670/flgt-ex312_342.htm" TargetMode="External"/><Relationship Id="rId6" Type="http://schemas.openxmlformats.org/officeDocument/2006/relationships/hyperlink" Target="https://www.sec.gov/Archives/edgar/data/1674930/000095017023038316/flgt-ex3_2.htm" TargetMode="External"/><Relationship Id="rId7" Type="http://schemas.openxmlformats.org/officeDocument/2006/relationships/hyperlink" Target="https://www.sec.gov/Archives/edgar/data/1674930/000119312526224147/flgt-ex10_1.htm" TargetMode="External"/><Relationship Id="rId8" Type="http://schemas.openxmlformats.org/officeDocument/2006/relationships/hyperlink" Target="https://www.sec.gov/Archives/edgar/data/1674930/000119312526224147/flgt-ex10_2.htm" TargetMode="External"/><Relationship Id="rId9" Type="http://schemas.openxmlformats.org/officeDocument/2006/relationships/hyperlink" Target="https://www.sec.gov/Archives/edgar/data/1674930/000119312526224147/flgt-ex10_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23146</Words>
  <Characters>127050</Characters>
  <CharactersWithSpaces>152366</CharactersWithSpaces>
  <Paragraphs>9352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