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127000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ind w:left="520" w:right="300" w:hanging="512"/>
        <w:spacing w:after="0" w:line="227" w:lineRule="auto"/>
        <w:tabs>
          <w:tab w:leader="none" w:pos="443"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520" w:right="300" w:hanging="512"/>
        <w:spacing w:after="0" w:line="235" w:lineRule="auto"/>
        <w:tabs>
          <w:tab w:leader="none" w:pos="443"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3" w:lineRule="exact"/>
        <w:rPr>
          <w:sz w:val="24"/>
          <w:szCs w:val="24"/>
          <w:color w:val="auto"/>
        </w:rPr>
      </w:pPr>
    </w:p>
    <w:p>
      <w:pPr>
        <w:ind w:left="30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-7620</wp:posOffset>
            </wp:positionV>
            <wp:extent cx="800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120015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FULGENT GENETICS,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4"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500" w:type="dxa"/>
            <w:vAlign w:val="bottom"/>
            <w:gridSpan w:val="2"/>
          </w:tcPr>
          <w:p>
            <w:pPr>
              <w:jc w:val="center"/>
              <w:ind w:left="105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jc w:val="right"/>
              <w:ind w:right="2301"/>
              <w:spacing w:after="0"/>
              <w:rPr>
                <w:sz w:val="20"/>
                <w:szCs w:val="20"/>
                <w:color w:val="auto"/>
              </w:rPr>
            </w:pPr>
            <w:r>
              <w:rPr>
                <w:rFonts w:ascii="Arial" w:cs="Arial" w:eastAsia="Arial" w:hAnsi="Arial"/>
                <w:sz w:val="18"/>
                <w:szCs w:val="18"/>
                <w:b w:val="1"/>
                <w:bCs w:val="1"/>
                <w:color w:val="auto"/>
              </w:rPr>
              <w:t>81-2621304</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jc w:val="center"/>
              <w:ind w:right="204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59"/>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5"/>
        </w:trPr>
        <w:tc>
          <w:tcPr>
            <w:tcW w:w="4500" w:type="dxa"/>
            <w:vAlign w:val="bottom"/>
            <w:gridSpan w:val="2"/>
          </w:tcPr>
          <w:p>
            <w:pPr>
              <w:jc w:val="center"/>
              <w:ind w:left="1059"/>
              <w:spacing w:after="0"/>
              <w:rPr>
                <w:sz w:val="20"/>
                <w:szCs w:val="20"/>
                <w:color w:val="auto"/>
              </w:rPr>
            </w:pPr>
            <w:r>
              <w:rPr>
                <w:rFonts w:ascii="Arial" w:cs="Arial" w:eastAsia="Arial" w:hAnsi="Arial"/>
                <w:sz w:val="18"/>
                <w:szCs w:val="18"/>
                <w:b w:val="1"/>
                <w:bCs w:val="1"/>
                <w:color w:val="auto"/>
                <w:w w:val="89"/>
              </w:rPr>
              <w:t>4978 Santa Anita Avenue</w:t>
            </w: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vMerge w:val="restart"/>
          </w:tcPr>
          <w:p>
            <w:pPr>
              <w:jc w:val="right"/>
              <w:ind w:right="2501"/>
              <w:spacing w:after="0"/>
              <w:rPr>
                <w:sz w:val="20"/>
                <w:szCs w:val="20"/>
                <w:color w:val="auto"/>
              </w:rPr>
            </w:pPr>
            <w:r>
              <w:rPr>
                <w:rFonts w:ascii="Arial" w:cs="Arial" w:eastAsia="Arial" w:hAnsi="Arial"/>
                <w:sz w:val="18"/>
                <w:szCs w:val="18"/>
                <w:b w:val="1"/>
                <w:bCs w:val="1"/>
                <w:color w:val="auto"/>
              </w:rPr>
              <w:t>91780</w:t>
            </w:r>
          </w:p>
        </w:tc>
        <w:tc>
          <w:tcPr>
            <w:tcW w:w="0" w:type="dxa"/>
            <w:vAlign w:val="bottom"/>
          </w:tcPr>
          <w:p>
            <w:pPr>
              <w:spacing w:after="0"/>
              <w:rPr>
                <w:sz w:val="1"/>
                <w:szCs w:val="1"/>
                <w:color w:val="auto"/>
              </w:rPr>
            </w:pPr>
          </w:p>
        </w:tc>
      </w:tr>
      <w:tr>
        <w:trPr>
          <w:trHeight w:val="207"/>
        </w:trPr>
        <w:tc>
          <w:tcPr>
            <w:tcW w:w="4500" w:type="dxa"/>
            <w:vAlign w:val="bottom"/>
            <w:gridSpan w:val="2"/>
          </w:tcPr>
          <w:p>
            <w:pPr>
              <w:jc w:val="center"/>
              <w:ind w:left="1059"/>
              <w:spacing w:after="0"/>
              <w:rPr>
                <w:sz w:val="20"/>
                <w:szCs w:val="20"/>
                <w:color w:val="auto"/>
              </w:rPr>
            </w:pPr>
            <w:r>
              <w:rPr>
                <w:rFonts w:ascii="Arial" w:cs="Arial" w:eastAsia="Arial" w:hAnsi="Arial"/>
                <w:sz w:val="18"/>
                <w:szCs w:val="18"/>
                <w:b w:val="1"/>
                <w:bCs w:val="1"/>
                <w:color w:val="auto"/>
                <w:w w:val="92"/>
              </w:rPr>
              <w:t>Temple City, CA</w:t>
            </w: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jc w:val="center"/>
              <w:ind w:right="20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77"/>
        </w:trPr>
        <w:tc>
          <w:tcPr>
            <w:tcW w:w="3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(626) 350-0537</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60" w:type="dxa"/>
            <w:vAlign w:val="bottom"/>
            <w:gridSpan w:val="5"/>
          </w:tcPr>
          <w:p>
            <w:pPr>
              <w:jc w:val="center"/>
              <w:ind w:left="3419"/>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500" w:type="dxa"/>
            <w:vAlign w:val="bottom"/>
            <w:gridSpan w:val="2"/>
            <w:vMerge w:val="restart"/>
          </w:tcPr>
          <w:p>
            <w:pPr>
              <w:ind w:left="52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224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500" w:type="dxa"/>
            <w:vAlign w:val="bottom"/>
            <w:gridSpan w:val="2"/>
            <w:vMerge w:val="continue"/>
          </w:tcPr>
          <w:p>
            <w:pPr>
              <w:spacing w:after="0"/>
              <w:rPr>
                <w:sz w:val="22"/>
                <w:szCs w:val="22"/>
                <w:color w:val="auto"/>
              </w:rPr>
            </w:pPr>
          </w:p>
        </w:tc>
        <w:tc>
          <w:tcPr>
            <w:tcW w:w="2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880" w:type="dxa"/>
            <w:vAlign w:val="bottom"/>
            <w:tcBorders>
              <w:bottom w:val="single" w:sz="8" w:color="auto"/>
            </w:tcBorders>
          </w:tcPr>
          <w:p>
            <w:pPr>
              <w:spacing w:after="0"/>
              <w:rPr>
                <w:sz w:val="23"/>
                <w:szCs w:val="23"/>
                <w:color w:val="auto"/>
              </w:rPr>
            </w:pPr>
          </w:p>
        </w:tc>
        <w:tc>
          <w:tcPr>
            <w:tcW w:w="316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16"/>
                <w:szCs w:val="16"/>
                <w:b w:val="1"/>
                <w:bCs w:val="1"/>
                <w:color w:val="auto"/>
                <w:w w:val="91"/>
              </w:rPr>
              <w:t>Trading Symbol(s)</w:t>
            </w:r>
          </w:p>
        </w:tc>
        <w:tc>
          <w:tcPr>
            <w:tcW w:w="100" w:type="dxa"/>
            <w:vAlign w:val="bottom"/>
            <w:tcBorders>
              <w:bottom w:val="single" w:sz="8" w:color="auto"/>
            </w:tcBorders>
          </w:tcPr>
          <w:p>
            <w:pPr>
              <w:spacing w:after="0"/>
              <w:rPr>
                <w:sz w:val="23"/>
                <w:szCs w:val="23"/>
                <w:color w:val="auto"/>
              </w:rPr>
            </w:pPr>
          </w:p>
        </w:tc>
        <w:tc>
          <w:tcPr>
            <w:tcW w:w="348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8"/>
              </w:rPr>
              <w:t>Name of each exchange on which registered</w:t>
            </w:r>
          </w:p>
        </w:tc>
        <w:tc>
          <w:tcPr>
            <w:tcW w:w="0" w:type="dxa"/>
            <w:vAlign w:val="bottom"/>
          </w:tcPr>
          <w:p>
            <w:pPr>
              <w:spacing w:after="0"/>
              <w:rPr>
                <w:sz w:val="1"/>
                <w:szCs w:val="1"/>
                <w:color w:val="auto"/>
              </w:rPr>
            </w:pPr>
          </w:p>
        </w:tc>
      </w:tr>
      <w:tr>
        <w:trPr>
          <w:trHeight w:val="129"/>
        </w:trPr>
        <w:tc>
          <w:tcPr>
            <w:tcW w:w="3620" w:type="dxa"/>
            <w:vAlign w:val="bottom"/>
            <w:tcBorders>
              <w:left w:val="single" w:sz="8" w:color="auto"/>
              <w:right w:val="single" w:sz="8" w:color="auto"/>
            </w:tcBorders>
          </w:tcPr>
          <w:p>
            <w:pPr>
              <w:jc w:val="center"/>
              <w:spacing w:after="0" w:line="129" w:lineRule="exact"/>
              <w:rPr>
                <w:sz w:val="20"/>
                <w:szCs w:val="20"/>
                <w:color w:val="auto"/>
              </w:rPr>
            </w:pPr>
            <w:r>
              <w:rPr>
                <w:rFonts w:ascii="Arial" w:cs="Arial" w:eastAsia="Arial" w:hAnsi="Arial"/>
                <w:sz w:val="14"/>
                <w:szCs w:val="14"/>
                <w:color w:val="auto"/>
              </w:rPr>
              <w:t>Common Stock, par value $0.0001 per share</w:t>
            </w:r>
          </w:p>
        </w:tc>
        <w:tc>
          <w:tcPr>
            <w:tcW w:w="880" w:type="dxa"/>
            <w:vAlign w:val="bottom"/>
          </w:tcPr>
          <w:p>
            <w:pPr>
              <w:spacing w:after="0"/>
              <w:rPr>
                <w:sz w:val="11"/>
                <w:szCs w:val="11"/>
                <w:color w:val="auto"/>
              </w:rPr>
            </w:pPr>
          </w:p>
        </w:tc>
        <w:tc>
          <w:tcPr>
            <w:tcW w:w="3160" w:type="dxa"/>
            <w:vAlign w:val="bottom"/>
            <w:tcBorders>
              <w:right w:val="single" w:sz="8" w:color="auto"/>
            </w:tcBorders>
            <w:gridSpan w:val="2"/>
          </w:tcPr>
          <w:p>
            <w:pPr>
              <w:jc w:val="center"/>
              <w:ind w:right="880"/>
              <w:spacing w:after="0" w:line="129" w:lineRule="exact"/>
              <w:rPr>
                <w:sz w:val="20"/>
                <w:szCs w:val="20"/>
                <w:color w:val="auto"/>
              </w:rPr>
            </w:pPr>
            <w:r>
              <w:rPr>
                <w:rFonts w:ascii="Arial" w:cs="Arial" w:eastAsia="Arial" w:hAnsi="Arial"/>
                <w:sz w:val="14"/>
                <w:szCs w:val="14"/>
                <w:color w:val="auto"/>
              </w:rPr>
              <w:t>FLGT</w:t>
            </w:r>
          </w:p>
        </w:tc>
        <w:tc>
          <w:tcPr>
            <w:tcW w:w="100" w:type="dxa"/>
            <w:vAlign w:val="bottom"/>
          </w:tcPr>
          <w:p>
            <w:pPr>
              <w:spacing w:after="0"/>
              <w:rPr>
                <w:sz w:val="11"/>
                <w:szCs w:val="11"/>
                <w:color w:val="auto"/>
              </w:rPr>
            </w:pPr>
          </w:p>
        </w:tc>
        <w:tc>
          <w:tcPr>
            <w:tcW w:w="3480" w:type="dxa"/>
            <w:vAlign w:val="bottom"/>
            <w:tcBorders>
              <w:right w:val="single" w:sz="8" w:color="auto"/>
            </w:tcBorders>
          </w:tcPr>
          <w:p>
            <w:pPr>
              <w:jc w:val="center"/>
              <w:ind w:right="81"/>
              <w:spacing w:after="0" w:line="129" w:lineRule="exact"/>
              <w:rPr>
                <w:sz w:val="20"/>
                <w:szCs w:val="20"/>
                <w:color w:val="auto"/>
              </w:rPr>
            </w:pPr>
            <w:r>
              <w:rPr>
                <w:rFonts w:ascii="Arial" w:cs="Arial" w:eastAsia="Arial" w:hAnsi="Arial"/>
                <w:sz w:val="14"/>
                <w:szCs w:val="14"/>
                <w:color w:val="auto"/>
              </w:rPr>
              <w:t>The Nasdaq Stock Market</w:t>
            </w:r>
          </w:p>
        </w:tc>
        <w:tc>
          <w:tcPr>
            <w:tcW w:w="0" w:type="dxa"/>
            <w:vAlign w:val="bottom"/>
          </w:tcPr>
          <w:p>
            <w:pPr>
              <w:spacing w:after="0"/>
              <w:rPr>
                <w:sz w:val="1"/>
                <w:szCs w:val="1"/>
                <w:color w:val="auto"/>
              </w:rPr>
            </w:pPr>
          </w:p>
        </w:tc>
      </w:tr>
      <w:tr>
        <w:trPr>
          <w:trHeight w:val="199"/>
        </w:trPr>
        <w:tc>
          <w:tcPr>
            <w:tcW w:w="3620" w:type="dxa"/>
            <w:vAlign w:val="bottom"/>
            <w:tcBorders>
              <w:left w:val="single" w:sz="8" w:color="auto"/>
              <w:bottom w:val="single" w:sz="8" w:color="auto"/>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8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6"/>
                <w:szCs w:val="16"/>
                <w:color w:val="auto"/>
                <w:w w:val="94"/>
              </w:rPr>
              <w:t>(Nasdaq Global Market)</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firstLine="509"/>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 w:lineRule="exact"/>
        <w:rPr>
          <w:sz w:val="24"/>
          <w:szCs w:val="24"/>
          <w:color w:val="auto"/>
        </w:rPr>
      </w:pPr>
    </w:p>
    <w:p>
      <w:pPr>
        <w:ind w:right="180" w:firstLine="509"/>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40" w:firstLine="509"/>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20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8" w:lineRule="exact"/>
        <w:rPr>
          <w:sz w:val="24"/>
          <w:szCs w:val="24"/>
          <w:color w:val="auto"/>
        </w:rPr>
      </w:pPr>
    </w:p>
    <w:p>
      <w:pPr>
        <w:jc w:val="both"/>
        <w:ind w:right="80"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520" w:right="216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2022, there were 30,265,754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20" w:type="dxa"/>
            <w:vAlign w:val="bottom"/>
            <w:gridSpan w:val="3"/>
          </w:tcPr>
          <w:p>
            <w:pPr>
              <w:ind w:left="220"/>
              <w:spacing w:after="0"/>
              <w:rPr>
                <w:sz w:val="20"/>
                <w:szCs w:val="20"/>
                <w:color w:val="auto"/>
              </w:rPr>
            </w:pPr>
            <w:r>
              <w:rPr>
                <w:rFonts w:ascii="Arial" w:cs="Arial" w:eastAsia="Arial" w:hAnsi="Arial"/>
                <w:sz w:val="22"/>
                <w:szCs w:val="22"/>
                <w:b w:val="1"/>
                <w:bCs w:val="1"/>
                <w:color w:val="auto"/>
              </w:rPr>
              <w:t>Table of Contents</w:t>
            </w:r>
          </w:p>
        </w:tc>
        <w:tc>
          <w:tcPr>
            <w:tcW w:w="2260" w:type="dxa"/>
            <w:vAlign w:val="bottom"/>
          </w:tcPr>
          <w:p>
            <w:pPr>
              <w:spacing w:after="0"/>
              <w:rPr>
                <w:sz w:val="24"/>
                <w:szCs w:val="24"/>
                <w:color w:val="auto"/>
              </w:rPr>
            </w:pPr>
          </w:p>
        </w:tc>
      </w:tr>
      <w:tr>
        <w:trPr>
          <w:trHeight w:val="408"/>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60" w:type="dxa"/>
            <w:vAlign w:val="bottom"/>
          </w:tcPr>
          <w:p>
            <w:pPr>
              <w:ind w:left="1900"/>
              <w:spacing w:after="0"/>
              <w:rPr>
                <w:sz w:val="20"/>
                <w:szCs w:val="20"/>
                <w:color w:val="auto"/>
              </w:rPr>
            </w:pPr>
            <w:r>
              <w:rPr>
                <w:rFonts w:ascii="Arial" w:cs="Arial" w:eastAsia="Arial" w:hAnsi="Arial"/>
                <w:sz w:val="18"/>
                <w:szCs w:val="18"/>
                <w:b w:val="1"/>
                <w:bCs w:val="1"/>
                <w:color w:val="auto"/>
                <w:w w:val="78"/>
              </w:rPr>
              <w:t>Page</w:t>
            </w:r>
          </w:p>
        </w:tc>
      </w:tr>
      <w:tr>
        <w:trPr>
          <w:trHeight w:val="257"/>
        </w:trPr>
        <w:tc>
          <w:tcPr>
            <w:tcW w:w="8900" w:type="dxa"/>
            <w:vAlign w:val="bottom"/>
            <w:gridSpan w:val="17"/>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I—FINANCIAL INFORMATION</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Income</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Equity</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the Condensed Consolidated Financial Statements</w:t>
              </w:r>
            </w:hyperlink>
          </w:p>
        </w:tc>
        <w:tc>
          <w:tcPr>
            <w:tcW w:w="2260" w:type="dxa"/>
            <w:vAlign w:val="bottom"/>
          </w:tcPr>
          <w:p>
            <w:pPr>
              <w:jc w:val="center"/>
              <w:ind w:left="1810"/>
              <w:spacing w:after="0"/>
              <w:rPr>
                <w:sz w:val="20"/>
                <w:szCs w:val="20"/>
                <w:color w:val="auto"/>
              </w:rPr>
            </w:pPr>
            <w:r>
              <w:rPr>
                <w:rFonts w:ascii="Arial" w:cs="Arial" w:eastAsia="Arial" w:hAnsi="Arial"/>
                <w:sz w:val="18"/>
                <w:szCs w:val="18"/>
                <w:color w:val="auto"/>
                <w:w w:val="79"/>
              </w:rPr>
              <w:t>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 Management’s Discussion and Analysis of Financial Condition and Results of Operations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23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3. Quantitative and Qualitative Disclosures About Market Risk</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4000" w:type="dxa"/>
            <w:vAlign w:val="bottom"/>
            <w:tcBorders>
              <w:left w:val="single" w:sz="8" w:color="0000FF"/>
            </w:tcBorders>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Item 4. Controls and Procedures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30</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PART II—OTHER INFORMATION</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8"/>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 Legal Proceedings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1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Item 1A. Risk Factors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2. Unregistered Sales of Equity Securities and Use of Proceeds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gridSpan w:val="10"/>
            <w:shd w:val="clear" w:color="auto" w:fill="0000FF"/>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5. Other Information</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020" w:type="dxa"/>
            <w:vAlign w:val="bottom"/>
            <w:gridSpan w:val="1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6. Exhibits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34</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740" w:type="dxa"/>
            <w:vAlign w:val="bottom"/>
            <w:gridSpan w:val="1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Exhibit Index</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35</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920" w:type="dxa"/>
            <w:vAlign w:val="bottom"/>
            <w:gridSpan w:val="15"/>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77"/>
        </w:trPr>
        <w:tc>
          <w:tcPr>
            <w:tcW w:w="8900" w:type="dxa"/>
            <w:vAlign w:val="bottom"/>
            <w:gridSpan w:val="1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Signatures</w:t>
              </w:r>
            </w:hyperlink>
          </w:p>
        </w:tc>
        <w:tc>
          <w:tcPr>
            <w:tcW w:w="2260" w:type="dxa"/>
            <w:vAlign w:val="bottom"/>
          </w:tcPr>
          <w:p>
            <w:pPr>
              <w:jc w:val="center"/>
              <w:ind w:left="1790"/>
              <w:spacing w:after="0"/>
              <w:rPr>
                <w:sz w:val="20"/>
                <w:szCs w:val="20"/>
                <w:color w:val="auto"/>
              </w:rPr>
            </w:pPr>
            <w:r>
              <w:rPr>
                <w:rFonts w:ascii="Arial" w:cs="Arial" w:eastAsia="Arial" w:hAnsi="Arial"/>
                <w:sz w:val="18"/>
                <w:szCs w:val="18"/>
                <w:color w:val="auto"/>
                <w:w w:val="89"/>
              </w:rPr>
              <w:t>36</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11"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par value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138,780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164,894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376,622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285,605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Trade accounts receivable, net of allowance for credit losses of $30,335 and $11,217</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133,303</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138,912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26,480</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675,185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611,960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Marketable securities, long-term</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415,621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485,047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Redeemable preferred stock investment</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11,981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21,965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Fixed assets, net</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86,049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62,287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89,695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121,354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50,897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61,777</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10,650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1,461,662</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1,278,720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37,109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27,100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payable</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2,804</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10,102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14,570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Customer deposit</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28,959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Investment margin loan</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14,999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15,137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Contingent consideration</w:t>
            </w:r>
          </w:p>
        </w:tc>
        <w:tc>
          <w:tcPr>
            <w:tcW w:w="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Notes payable, current portion</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5,793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661</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127,527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105,310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Unrecognized tax benefits</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21,672</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150,929</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112,840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8)</w:t>
            </w: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200"/>
              <w:spacing w:after="0" w:line="162" w:lineRule="exact"/>
              <w:rPr>
                <w:sz w:val="20"/>
                <w:szCs w:val="20"/>
                <w:color w:val="auto"/>
              </w:rPr>
            </w:pPr>
            <w:r>
              <w:rPr>
                <w:rFonts w:ascii="Arial" w:cs="Arial" w:eastAsia="Arial" w:hAnsi="Arial"/>
                <w:sz w:val="18"/>
                <w:szCs w:val="18"/>
                <w:color w:val="auto"/>
                <w:w w:val="94"/>
              </w:rPr>
              <w:t>Common stock, $0.0001 par value per share, 50,000 shares authorized, 30,481 shares issued and</w:t>
            </w:r>
          </w:p>
        </w:tc>
        <w:tc>
          <w:tcPr>
            <w:tcW w:w="3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200"/>
              <w:spacing w:after="0"/>
              <w:rPr>
                <w:sz w:val="20"/>
                <w:szCs w:val="20"/>
                <w:color w:val="auto"/>
              </w:rPr>
            </w:pPr>
            <w:r>
              <w:rPr>
                <w:rFonts w:ascii="Arial" w:cs="Arial" w:eastAsia="Arial" w:hAnsi="Arial"/>
                <w:sz w:val="18"/>
                <w:szCs w:val="18"/>
                <w:color w:val="auto"/>
              </w:rPr>
              <w:t>30,266 shares outstanding and 30,160 shares issued and outstanding</w:t>
            </w:r>
          </w:p>
        </w:tc>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89"/>
              </w:rPr>
              <w:t>Preferred stock, $0.0001 par value per share, 1,000 shares authorized, no shares issued or outstanding</w:t>
            </w:r>
          </w:p>
        </w:tc>
        <w:tc>
          <w:tcPr>
            <w:tcW w:w="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504,066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501,908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(22,417 )</w:t>
            </w:r>
          </w:p>
        </w:tc>
        <w:tc>
          <w:tcPr>
            <w:tcW w:w="2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(759 )</w:t>
            </w: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823,113</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657,597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Fulgent stockholders' equity</w:t>
            </w: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1,304,765</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1,158,749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0" w:type="dxa"/>
            <w:vAlign w:val="bottom"/>
          </w:tcPr>
          <w:p>
            <w:pPr>
              <w:ind w:left="200"/>
              <w:spacing w:after="0" w:line="202" w:lineRule="exact"/>
              <w:rPr>
                <w:sz w:val="20"/>
                <w:szCs w:val="20"/>
                <w:color w:val="auto"/>
              </w:rPr>
            </w:pPr>
            <w:r>
              <w:rPr>
                <w:rFonts w:ascii="Arial" w:cs="Arial" w:eastAsia="Arial" w:hAnsi="Arial"/>
                <w:sz w:val="18"/>
                <w:szCs w:val="18"/>
                <w:color w:val="auto"/>
              </w:rPr>
              <w:t>Noncontrolling interest</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5,968</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1,310,733</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1,165,880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1,461,662</w:t>
            </w:r>
          </w:p>
        </w:tc>
        <w:tc>
          <w:tcPr>
            <w:tcW w:w="3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1,278,720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-3691255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-3691255</wp:posOffset>
            </wp:positionV>
            <wp:extent cx="77470" cy="16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470" cy="1600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-2113915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-2113915</wp:posOffset>
            </wp:positionV>
            <wp:extent cx="77470" cy="133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1339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-1582420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-1582420</wp:posOffset>
            </wp:positionV>
            <wp:extent cx="77470" cy="133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1339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-159385</wp:posOffset>
            </wp:positionV>
            <wp:extent cx="77470" cy="16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6002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171"/>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125,341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153,616</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445,609</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center"/>
              <w:ind w:right="9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513,045</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60,065</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35,858</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137,790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109,933</w:t>
            </w:r>
          </w:p>
        </w:tc>
        <w:tc>
          <w:tcPr>
            <w:tcW w:w="100" w:type="dxa"/>
            <w:vAlign w:val="bottom"/>
          </w:tcPr>
          <w:p>
            <w:pPr>
              <w:spacing w:after="0"/>
              <w:rPr>
                <w:sz w:val="17"/>
                <w:szCs w:val="17"/>
                <w:color w:val="auto"/>
              </w:rPr>
            </w:pPr>
          </w:p>
        </w:tc>
      </w:tr>
      <w:tr>
        <w:trPr>
          <w:trHeight w:val="196"/>
        </w:trPr>
        <w:tc>
          <w:tcPr>
            <w:tcW w:w="54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65,276</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117,758</w:t>
            </w:r>
          </w:p>
        </w:tc>
        <w:tc>
          <w:tcPr>
            <w:tcW w:w="3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307,819</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403,112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8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6,905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5,312</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12,894</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10,734</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10,866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5,219</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18,806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10,227</w:t>
            </w:r>
          </w:p>
        </w:tc>
        <w:tc>
          <w:tcPr>
            <w:tcW w:w="100" w:type="dxa"/>
            <w:vAlign w:val="bottom"/>
          </w:tcPr>
          <w:p>
            <w:pPr>
              <w:spacing w:after="0"/>
              <w:rPr>
                <w:sz w:val="17"/>
                <w:szCs w:val="17"/>
                <w:color w:val="auto"/>
              </w:rPr>
            </w:pPr>
          </w:p>
        </w:tc>
      </w:tr>
      <w:tr>
        <w:trPr>
          <w:trHeight w:val="203"/>
        </w:trPr>
        <w:tc>
          <w:tcPr>
            <w:tcW w:w="5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30,240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8,329</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56,015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16,331</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1,575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2,481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5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Restructuring costs</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2,896</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2,896</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48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52,482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18,860</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93,092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37,292</w:t>
            </w:r>
          </w:p>
        </w:tc>
        <w:tc>
          <w:tcPr>
            <w:tcW w:w="100" w:type="dxa"/>
            <w:vAlign w:val="bottom"/>
          </w:tcPr>
          <w:p>
            <w:pPr>
              <w:spacing w:after="0"/>
              <w:rPr>
                <w:sz w:val="17"/>
                <w:szCs w:val="17"/>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12,794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98,898</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214,727</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365,820</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Interest and other income, net</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958</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604</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886</w:t>
            </w:r>
          </w:p>
        </w:tc>
        <w:tc>
          <w:tcPr>
            <w:tcW w:w="100" w:type="dxa"/>
            <w:vAlign w:val="bottom"/>
          </w:tcPr>
          <w:p>
            <w:pPr>
              <w:spacing w:after="0"/>
              <w:rPr>
                <w:sz w:val="17"/>
                <w:szCs w:val="17"/>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income taxes and gain on equity method investment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13,752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99,502</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215,730</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366,706</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2,653</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23,589</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51,074</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90,102</w:t>
            </w:r>
          </w:p>
        </w:tc>
        <w:tc>
          <w:tcPr>
            <w:tcW w:w="100" w:type="dxa"/>
            <w:vAlign w:val="bottom"/>
          </w:tcPr>
          <w:p>
            <w:pPr>
              <w:spacing w:after="0"/>
              <w:rPr>
                <w:sz w:val="17"/>
                <w:szCs w:val="17"/>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Income before gain on equity method investment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11,099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75,913</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164,656</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276,604</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Gain on equity method investment</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3,734</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3,734</w:t>
            </w:r>
          </w:p>
        </w:tc>
        <w:tc>
          <w:tcPr>
            <w:tcW w:w="100" w:type="dxa"/>
            <w:vAlign w:val="bottom"/>
          </w:tcPr>
          <w:p>
            <w:pPr>
              <w:spacing w:after="0"/>
              <w:rPr>
                <w:sz w:val="17"/>
                <w:szCs w:val="17"/>
                <w:color w:val="auto"/>
              </w:rPr>
            </w:pPr>
          </w:p>
        </w:tc>
      </w:tr>
      <w:tr>
        <w:trPr>
          <w:trHeight w:val="196"/>
        </w:trPr>
        <w:tc>
          <w:tcPr>
            <w:tcW w:w="5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from consolidated operations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11,099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79,647</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164,656</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280,338</w:t>
            </w: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
              <w:spacing w:after="0" w:line="202" w:lineRule="exact"/>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438</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r>
      <w:tr>
        <w:trPr>
          <w:trHeight w:val="236"/>
        </w:trPr>
        <w:tc>
          <w:tcPr>
            <w:tcW w:w="54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attributable to Fulgent</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11,537</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79,812</w:t>
            </w:r>
          </w:p>
        </w:tc>
        <w:tc>
          <w:tcPr>
            <w:tcW w:w="3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165,516</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center"/>
              <w:ind w:right="9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280,503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per common share attributable to Fulgent:</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0.38</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56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c>
          <w:tcPr>
            <w:tcW w:w="5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9.68</w:t>
            </w: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4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0.37</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2.59</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5.30</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center"/>
              <w:ind w:right="9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5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5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common shares: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48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30,362</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29,150</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30,298</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28,991</w:t>
            </w:r>
          </w:p>
        </w:tc>
        <w:tc>
          <w:tcPr>
            <w:tcW w:w="10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4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31,189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30,830</w:t>
            </w:r>
          </w:p>
        </w:tc>
        <w:tc>
          <w:tcPr>
            <w:tcW w:w="3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31,225</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30,809</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-3270885</wp:posOffset>
            </wp:positionV>
            <wp:extent cx="7683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-3270885</wp:posOffset>
            </wp:positionV>
            <wp:extent cx="6858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-3270885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-3270885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-2491105</wp:posOffset>
            </wp:positionV>
            <wp:extent cx="768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-2491105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-2491105</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-1156970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-1139825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-1156970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-1139825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-1156970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-1139825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-1139825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-591185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-573405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-591185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-573405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-591185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-573405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4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income from consolidated operations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11,099</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79,647</w:t>
            </w:r>
          </w:p>
        </w:tc>
        <w:tc>
          <w:tcPr>
            <w:tcW w:w="12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164,656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280,338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(loss) gain</w:t>
            </w:r>
          </w:p>
        </w:tc>
        <w:tc>
          <w:tcPr>
            <w:tcW w:w="2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(1,878 )</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(1,755 )</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Net loss on available-for-sale debt securities, net of tax</w:t>
            </w:r>
          </w:p>
        </w:tc>
        <w:tc>
          <w:tcPr>
            <w:tcW w:w="280" w:type="dxa"/>
            <w:vAlign w:val="bottom"/>
          </w:tcPr>
          <w:p>
            <w:pPr>
              <w:spacing w:after="0"/>
              <w:rPr>
                <w:sz w:val="17"/>
                <w:szCs w:val="17"/>
                <w:color w:val="auto"/>
              </w:rPr>
            </w:pPr>
          </w:p>
        </w:tc>
        <w:tc>
          <w:tcPr>
            <w:tcW w:w="12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(8,468 )</w:t>
            </w:r>
          </w:p>
        </w:tc>
        <w:tc>
          <w:tcPr>
            <w:tcW w:w="280" w:type="dxa"/>
            <w:vAlign w:val="bottom"/>
          </w:tcPr>
          <w:p>
            <w:pPr>
              <w:spacing w:after="0"/>
              <w:rPr>
                <w:sz w:val="17"/>
                <w:szCs w:val="17"/>
                <w:color w:val="auto"/>
              </w:rPr>
            </w:pP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(75 )</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(20,206 )</w:t>
            </w:r>
          </w:p>
        </w:tc>
        <w:tc>
          <w:tcPr>
            <w:tcW w:w="28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(729 )</w:t>
            </w:r>
          </w:p>
        </w:tc>
        <w:tc>
          <w:tcPr>
            <w:tcW w:w="0" w:type="dxa"/>
            <w:vAlign w:val="bottom"/>
          </w:tcPr>
          <w:p>
            <w:pPr>
              <w:spacing w:after="0"/>
              <w:rPr>
                <w:sz w:val="1"/>
                <w:szCs w:val="1"/>
                <w:color w:val="auto"/>
              </w:rPr>
            </w:pPr>
          </w:p>
        </w:tc>
      </w:tr>
      <w:tr>
        <w:trPr>
          <w:trHeight w:val="196"/>
        </w:trPr>
        <w:tc>
          <w:tcPr>
            <w:tcW w:w="5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income from consolidated operations</w:t>
            </w: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753</w:t>
            </w: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79,608</w:t>
            </w:r>
          </w:p>
        </w:tc>
        <w:tc>
          <w:tcPr>
            <w:tcW w:w="120" w:type="dxa"/>
            <w:vAlign w:val="bottom"/>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142,695</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279,645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200"/>
              <w:spacing w:after="0" w:line="202" w:lineRule="exact"/>
              <w:rPr>
                <w:sz w:val="20"/>
                <w:szCs w:val="20"/>
                <w:color w:val="auto"/>
              </w:rPr>
            </w:pPr>
            <w:r>
              <w:rPr>
                <w:rFonts w:ascii="Arial" w:cs="Arial" w:eastAsia="Arial" w:hAnsi="Arial"/>
                <w:sz w:val="18"/>
                <w:szCs w:val="18"/>
                <w:color w:val="auto"/>
              </w:rPr>
              <w:t>Net loss attributable to noncontrolling interest</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438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6"/>
              </w:rPr>
              <w:t>Foreign currency translation loss (gain) attributable to noncontrolling</w:t>
            </w:r>
          </w:p>
        </w:tc>
        <w:tc>
          <w:tcPr>
            <w:tcW w:w="280" w:type="dxa"/>
            <w:vAlign w:val="bottom"/>
            <w:shd w:val="clear" w:color="auto" w:fill="CFF0FC"/>
          </w:tcPr>
          <w:p>
            <w:pPr>
              <w:spacing w:after="0"/>
              <w:rPr>
                <w:sz w:val="14"/>
                <w:szCs w:val="14"/>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03"/>
        </w:trPr>
        <w:tc>
          <w:tcPr>
            <w:tcW w:w="5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w:t>
            </w:r>
          </w:p>
        </w:tc>
        <w:tc>
          <w:tcPr>
            <w:tcW w:w="280" w:type="dxa"/>
            <w:vAlign w:val="bottom"/>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6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Comprehensive loss attributable to noncontrolling interest</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860</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c>
          <w:tcPr>
            <w:tcW w:w="1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1,163</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Comprehensive income attributable to Fulgent</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1,613</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79,763</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143,858</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279,800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-296545</wp:posOffset>
            </wp:positionV>
            <wp:extent cx="768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-296545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-296545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r>
        <w:rPr>
          <w:rFonts w:ascii="Arial" w:cs="Arial" w:eastAsia="Arial" w:hAnsi="Arial"/>
          <w:sz w:val="21"/>
          <w:szCs w:val="2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60" w:type="dxa"/>
            <w:vAlign w:val="bottom"/>
          </w:tcPr>
          <w:p>
            <w:pPr>
              <w:spacing w:after="0"/>
              <w:rPr>
                <w:sz w:val="16"/>
                <w:szCs w:val="16"/>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Fulgent Stockholders' Equity</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1"/>
                <w:szCs w:val="11"/>
                <w:color w:val="auto"/>
              </w:rPr>
            </w:pPr>
          </w:p>
        </w:tc>
        <w:tc>
          <w:tcPr>
            <w:tcW w:w="1180" w:type="dxa"/>
            <w:vAlign w:val="bottom"/>
            <w:gridSpan w:val="2"/>
          </w:tcPr>
          <w:p>
            <w:pPr>
              <w:jc w:val="center"/>
              <w:ind w:right="27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Fulgent</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1"/>
              </w:rPr>
              <w:t>Retained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6"/>
              </w:rPr>
              <w:t>Noncontrolling</w:t>
            </w:r>
          </w:p>
        </w:tc>
        <w:tc>
          <w:tcPr>
            <w:tcW w:w="14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119"/>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1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18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72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Earnings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6"/>
                <w:szCs w:val="16"/>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2021</w:t>
            </w:r>
          </w:p>
        </w:tc>
        <w:tc>
          <w:tcPr>
            <w:tcW w:w="7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30,160</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501,908</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(759</w:t>
            </w:r>
          </w:p>
        </w:tc>
        <w:tc>
          <w:tcPr>
            <w:tcW w:w="200" w:type="dxa"/>
            <w:vAlign w:val="bottom"/>
            <w:tcBorders>
              <w:bottom w:val="single" w:sz="8" w:color="CFF0FC"/>
            </w:tcBorders>
            <w:shd w:val="clear" w:color="auto" w:fill="CFF0FC"/>
          </w:tcPr>
          <w:p>
            <w:pPr>
              <w:jc w:val="right"/>
              <w:ind w:right="59"/>
              <w:spacing w:after="0" w:line="183" w:lineRule="exact"/>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657,597</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1,158,749</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22"/>
              <w:spacing w:after="0" w:line="183" w:lineRule="exact"/>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7,131</w:t>
            </w:r>
          </w:p>
        </w:tc>
        <w:tc>
          <w:tcPr>
            <w:tcW w:w="2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5"/>
              </w:rPr>
              <w:t>1,165,880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60" w:type="dxa"/>
            <w:vAlign w:val="bottom"/>
          </w:tcPr>
          <w:p>
            <w:pPr>
              <w:ind w:left="20"/>
              <w:spacing w:after="0" w:line="183" w:lineRule="exact"/>
              <w:rPr>
                <w:sz w:val="20"/>
                <w:szCs w:val="20"/>
                <w:color w:val="auto"/>
              </w:rPr>
            </w:pPr>
            <w:r>
              <w:rPr>
                <w:rFonts w:ascii="Arial" w:cs="Arial" w:eastAsia="Arial" w:hAnsi="Arial"/>
                <w:sz w:val="16"/>
                <w:szCs w:val="16"/>
                <w:color w:val="auto"/>
              </w:rPr>
              <w:t>Equity-based compensation</w:t>
            </w:r>
          </w:p>
        </w:tc>
        <w:tc>
          <w:tcPr>
            <w:tcW w:w="9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5,616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5,616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5,616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36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Exercise of common stock</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w:t>
            </w:r>
          </w:p>
        </w:tc>
        <w:tc>
          <w:tcPr>
            <w:tcW w:w="7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6"/>
                <w:szCs w:val="16"/>
                <w:color w:val="auto"/>
              </w:rPr>
              <w:t>172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36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(8 )</w:t>
            </w:r>
          </w:p>
        </w:tc>
        <w:tc>
          <w:tcPr>
            <w:tcW w:w="1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(494 )</w:t>
            </w:r>
          </w:p>
        </w:tc>
        <w:tc>
          <w:tcPr>
            <w:tcW w:w="120" w:type="dxa"/>
            <w:vAlign w:val="bottom"/>
            <w:shd w:val="clear" w:color="auto" w:fill="CFF0FC"/>
          </w:tcPr>
          <w:p>
            <w:pPr>
              <w:spacing w:after="0"/>
              <w:rPr>
                <w:sz w:val="13"/>
                <w:szCs w:val="13"/>
                <w:color w:val="auto"/>
              </w:rPr>
            </w:pPr>
          </w:p>
        </w:tc>
        <w:tc>
          <w:tcPr>
            <w:tcW w:w="118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(494 )</w:t>
            </w:r>
          </w:p>
        </w:tc>
        <w:tc>
          <w:tcPr>
            <w:tcW w:w="20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(494 )</w:t>
            </w:r>
          </w:p>
        </w:tc>
        <w:tc>
          <w:tcPr>
            <w:tcW w:w="0" w:type="dxa"/>
            <w:vAlign w:val="bottom"/>
          </w:tcPr>
          <w:p>
            <w:pPr>
              <w:spacing w:after="0"/>
              <w:rPr>
                <w:sz w:val="1"/>
                <w:szCs w:val="1"/>
                <w:color w:val="auto"/>
              </w:rPr>
            </w:pPr>
          </w:p>
        </w:tc>
      </w:tr>
      <w:tr>
        <w:trPr>
          <w:trHeight w:val="199"/>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60" w:type="dxa"/>
            <w:vAlign w:val="bottom"/>
          </w:tcPr>
          <w:p>
            <w:pPr>
              <w:ind w:left="20"/>
              <w:spacing w:after="0" w:line="152" w:lineRule="exact"/>
              <w:rPr>
                <w:sz w:val="20"/>
                <w:szCs w:val="20"/>
                <w:color w:val="auto"/>
              </w:rPr>
            </w:pPr>
            <w:r>
              <w:rPr>
                <w:rFonts w:ascii="Arial" w:cs="Arial" w:eastAsia="Arial" w:hAnsi="Arial"/>
                <w:sz w:val="16"/>
                <w:szCs w:val="16"/>
                <w:color w:val="auto"/>
              </w:rPr>
              <w:t>Other comprehensive income</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(11,734 )</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(11,734 )</w:t>
            </w:r>
          </w:p>
        </w:tc>
        <w:tc>
          <w:tcPr>
            <w:tcW w:w="2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(11,615 )</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6"/>
                <w:szCs w:val="16"/>
                <w:color w:val="auto"/>
              </w:rPr>
              <w:t>(loss)</w:t>
            </w: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153,979</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153,979</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(422 )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Balance at March 31, 2022</w:t>
            </w:r>
          </w:p>
        </w:tc>
        <w:tc>
          <w:tcPr>
            <w:tcW w:w="7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30,327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507,046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59"/>
              <w:spacing w:after="0" w:line="169" w:lineRule="exact"/>
              <w:rPr>
                <w:sz w:val="20"/>
                <w:szCs w:val="20"/>
                <w:color w:val="auto"/>
              </w:rPr>
            </w:pPr>
            <w:r>
              <w:rPr>
                <w:rFonts w:ascii="Arial" w:cs="Arial" w:eastAsia="Arial" w:hAnsi="Arial"/>
                <w:sz w:val="16"/>
                <w:szCs w:val="16"/>
                <w:b w:val="1"/>
                <w:bCs w:val="1"/>
                <w:color w:val="auto"/>
              </w:rPr>
              <w:t>(12,493 )</w:t>
            </w:r>
          </w:p>
        </w:tc>
        <w:tc>
          <w:tcPr>
            <w:tcW w:w="100" w:type="dxa"/>
            <w:vAlign w:val="bottom"/>
          </w:tcPr>
          <w:p>
            <w:pPr>
              <w:spacing w:after="0"/>
              <w:rPr>
                <w:sz w:val="15"/>
                <w:szCs w:val="15"/>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811,576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1,306,132</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6,828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5"/>
              </w:rPr>
              <w:t>1,312,960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36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color w:val="auto"/>
              </w:rPr>
              <w:t>Equity-based compensation</w:t>
            </w:r>
          </w:p>
        </w:tc>
        <w:tc>
          <w:tcPr>
            <w:tcW w:w="74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8,030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8,030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8,030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60" w:type="dxa"/>
            <w:vAlign w:val="bottom"/>
          </w:tcPr>
          <w:p>
            <w:pPr>
              <w:ind w:left="20"/>
              <w:spacing w:after="0" w:line="152" w:lineRule="exact"/>
              <w:rPr>
                <w:sz w:val="20"/>
                <w:szCs w:val="20"/>
                <w:color w:val="auto"/>
              </w:rPr>
            </w:pPr>
            <w:r>
              <w:rPr>
                <w:rFonts w:ascii="Arial" w:cs="Arial" w:eastAsia="Arial" w:hAnsi="Arial"/>
                <w:sz w:val="16"/>
                <w:szCs w:val="16"/>
                <w:color w:val="auto"/>
              </w:rPr>
              <w:t>Exercise of common stock</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6"/>
                <w:szCs w:val="16"/>
                <w:color w:val="auto"/>
              </w:rPr>
              <w:t>options</w:t>
            </w: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360" w:type="dxa"/>
            <w:vAlign w:val="bottom"/>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(8 )</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(436 )</w:t>
            </w:r>
          </w:p>
        </w:tc>
        <w:tc>
          <w:tcPr>
            <w:tcW w:w="120" w:type="dxa"/>
            <w:vAlign w:val="bottom"/>
          </w:tcPr>
          <w:p>
            <w:pPr>
              <w:spacing w:after="0"/>
              <w:rPr>
                <w:sz w:val="13"/>
                <w:szCs w:val="13"/>
                <w:color w:val="auto"/>
              </w:rPr>
            </w:pPr>
          </w:p>
        </w:tc>
        <w:tc>
          <w:tcPr>
            <w:tcW w:w="118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(436 )</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(436 )</w:t>
            </w:r>
          </w:p>
        </w:tc>
        <w:tc>
          <w:tcPr>
            <w:tcW w:w="0" w:type="dxa"/>
            <w:vAlign w:val="bottom"/>
          </w:tcPr>
          <w:p>
            <w:pPr>
              <w:spacing w:after="0"/>
              <w:rPr>
                <w:sz w:val="1"/>
                <w:szCs w:val="1"/>
                <w:color w:val="auto"/>
              </w:rPr>
            </w:pPr>
          </w:p>
        </w:tc>
      </w:tr>
      <w:tr>
        <w:trPr>
          <w:trHeight w:val="199"/>
        </w:trPr>
        <w:tc>
          <w:tcPr>
            <w:tcW w:w="2360" w:type="dxa"/>
            <w:vAlign w:val="bottom"/>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Repurchase of common stock</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(215 )</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(10,577 )</w:t>
            </w:r>
          </w:p>
        </w:tc>
        <w:tc>
          <w:tcPr>
            <w:tcW w:w="12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(10,577 )</w:t>
            </w: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(10,577 )</w:t>
            </w:r>
          </w:p>
        </w:tc>
        <w:tc>
          <w:tcPr>
            <w:tcW w:w="0" w:type="dxa"/>
            <w:vAlign w:val="bottom"/>
          </w:tcPr>
          <w:p>
            <w:pPr>
              <w:spacing w:after="0"/>
              <w:rPr>
                <w:sz w:val="1"/>
                <w:szCs w:val="1"/>
                <w:color w:val="auto"/>
              </w:rPr>
            </w:pPr>
          </w:p>
        </w:tc>
      </w:tr>
      <w:tr>
        <w:trPr>
          <w:trHeight w:val="189"/>
        </w:trPr>
        <w:tc>
          <w:tcPr>
            <w:tcW w:w="23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(9,924 )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(9,924 )</w:t>
            </w:r>
          </w:p>
        </w:tc>
        <w:tc>
          <w:tcPr>
            <w:tcW w:w="2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(422 )</w:t>
            </w:r>
          </w:p>
        </w:tc>
        <w:tc>
          <w:tcPr>
            <w:tcW w:w="140" w:type="dxa"/>
            <w:vAlign w:val="bottom"/>
          </w:tcPr>
          <w:p>
            <w:pPr>
              <w:spacing w:after="0"/>
              <w:rPr>
                <w:sz w:val="16"/>
                <w:szCs w:val="16"/>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(10,346 )</w:t>
            </w: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11,537</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(438 )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11,099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Balance at June 30, 2022</w:t>
            </w:r>
          </w:p>
        </w:tc>
        <w:tc>
          <w:tcPr>
            <w:tcW w:w="7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30,266</w:t>
            </w:r>
          </w:p>
        </w:tc>
        <w:tc>
          <w:tcPr>
            <w:tcW w:w="220" w:type="dxa"/>
            <w:vAlign w:val="bottom"/>
          </w:tcPr>
          <w:p>
            <w:pPr>
              <w:spacing w:after="0"/>
              <w:rPr>
                <w:sz w:val="15"/>
                <w:szCs w:val="15"/>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15"/>
                <w:szCs w:val="15"/>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504,066</w:t>
            </w:r>
          </w:p>
        </w:tc>
        <w:tc>
          <w:tcPr>
            <w:tcW w:w="200" w:type="dxa"/>
            <w:vAlign w:val="bottom"/>
          </w:tcPr>
          <w:p>
            <w:pPr>
              <w:spacing w:after="0"/>
              <w:rPr>
                <w:sz w:val="15"/>
                <w:szCs w:val="15"/>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1180" w:type="dxa"/>
            <w:vAlign w:val="bottom"/>
            <w:gridSpan w:val="2"/>
          </w:tcPr>
          <w:p>
            <w:pPr>
              <w:jc w:val="right"/>
              <w:ind w:right="59"/>
              <w:spacing w:after="0" w:line="169" w:lineRule="exact"/>
              <w:rPr>
                <w:sz w:val="20"/>
                <w:szCs w:val="20"/>
                <w:color w:val="auto"/>
              </w:rPr>
            </w:pPr>
            <w:r>
              <w:rPr>
                <w:rFonts w:ascii="Arial" w:cs="Arial" w:eastAsia="Arial" w:hAnsi="Arial"/>
                <w:sz w:val="16"/>
                <w:szCs w:val="16"/>
                <w:b w:val="1"/>
                <w:bCs w:val="1"/>
                <w:color w:val="auto"/>
              </w:rPr>
              <w:t>(22,417 )</w:t>
            </w:r>
          </w:p>
        </w:tc>
        <w:tc>
          <w:tcPr>
            <w:tcW w:w="1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823,113</w:t>
            </w:r>
          </w:p>
        </w:tc>
        <w:tc>
          <w:tcPr>
            <w:tcW w:w="36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1,304,765</w:t>
            </w:r>
          </w:p>
        </w:tc>
        <w:tc>
          <w:tcPr>
            <w:tcW w:w="200" w:type="dxa"/>
            <w:vAlign w:val="bottom"/>
          </w:tcPr>
          <w:p>
            <w:pPr>
              <w:spacing w:after="0"/>
              <w:rPr>
                <w:sz w:val="15"/>
                <w:szCs w:val="15"/>
                <w:color w:val="auto"/>
              </w:rPr>
            </w:pPr>
          </w:p>
        </w:tc>
        <w:tc>
          <w:tcPr>
            <w:tcW w:w="200" w:type="dxa"/>
            <w:vAlign w:val="bottom"/>
          </w:tcPr>
          <w:p>
            <w:pPr>
              <w:jc w:val="right"/>
              <w:ind w:right="22"/>
              <w:spacing w:after="0" w:line="169" w:lineRule="exact"/>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5,968</w:t>
            </w:r>
          </w:p>
        </w:tc>
        <w:tc>
          <w:tcPr>
            <w:tcW w:w="200" w:type="dxa"/>
            <w:vAlign w:val="bottom"/>
          </w:tcPr>
          <w:p>
            <w:pPr>
              <w:spacing w:after="0"/>
              <w:rPr>
                <w:sz w:val="15"/>
                <w:szCs w:val="15"/>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5"/>
              </w:rPr>
              <w:t>1,310,733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-2388235</wp:posOffset>
            </wp:positionV>
            <wp:extent cx="77470" cy="1257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12573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-2388235</wp:posOffset>
            </wp:positionV>
            <wp:extent cx="76835" cy="1257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12573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-2388235</wp:posOffset>
            </wp:positionV>
            <wp:extent cx="68580" cy="125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-2388235</wp:posOffset>
            </wp:positionV>
            <wp:extent cx="68580" cy="1257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-2388235</wp:posOffset>
            </wp:positionV>
            <wp:extent cx="68580" cy="1257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-2388235</wp:posOffset>
            </wp:positionV>
            <wp:extent cx="68580" cy="1257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-2388235</wp:posOffset>
            </wp:positionV>
            <wp:extent cx="68580" cy="1257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1257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-1350645</wp:posOffset>
            </wp:positionV>
            <wp:extent cx="77470" cy="151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15113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-1350645</wp:posOffset>
            </wp:positionV>
            <wp:extent cx="76835" cy="151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-1350645</wp:posOffset>
            </wp:positionV>
            <wp:extent cx="68580" cy="151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-1350645</wp:posOffset>
            </wp:positionV>
            <wp:extent cx="68580" cy="151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-1350645</wp:posOffset>
            </wp:positionV>
            <wp:extent cx="68580" cy="151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-1350645</wp:posOffset>
            </wp:positionV>
            <wp:extent cx="68580" cy="151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-1350645</wp:posOffset>
            </wp:positionV>
            <wp:extent cx="68580" cy="151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-1350645</wp:posOffset>
            </wp:positionV>
            <wp:extent cx="68580" cy="151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-150495</wp:posOffset>
            </wp:positionV>
            <wp:extent cx="77470" cy="151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15113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-150495</wp:posOffset>
            </wp:positionV>
            <wp:extent cx="76835" cy="151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-150495</wp:posOffset>
            </wp:positionV>
            <wp:extent cx="68580" cy="151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-150495</wp:posOffset>
            </wp:positionV>
            <wp:extent cx="68580" cy="151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-150495</wp:posOffset>
            </wp:positionV>
            <wp:extent cx="68580" cy="151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-150495</wp:posOffset>
            </wp:positionV>
            <wp:extent cx="68580" cy="151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-150495</wp:posOffset>
            </wp:positionV>
            <wp:extent cx="68580" cy="151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151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5113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r>
        <w:rPr>
          <w:rFonts w:ascii="Arial" w:cs="Arial" w:eastAsia="Arial" w:hAnsi="Arial"/>
          <w:sz w:val="21"/>
          <w:szCs w:val="21"/>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80" w:type="dxa"/>
            <w:vAlign w:val="bottom"/>
          </w:tcPr>
          <w:p>
            <w:pPr>
              <w:spacing w:after="0"/>
              <w:rPr>
                <w:sz w:val="16"/>
                <w:szCs w:val="16"/>
                <w:color w:val="auto"/>
              </w:rPr>
            </w:pPr>
          </w:p>
        </w:tc>
        <w:tc>
          <w:tcPr>
            <w:tcW w:w="1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Fulgent Stockholders' Equity</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1"/>
                <w:szCs w:val="11"/>
                <w:color w:val="auto"/>
              </w:rPr>
            </w:pPr>
          </w:p>
        </w:tc>
        <w:tc>
          <w:tcPr>
            <w:tcW w:w="1200" w:type="dxa"/>
            <w:vAlign w:val="bottom"/>
            <w:gridSpan w:val="2"/>
          </w:tcPr>
          <w:p>
            <w:pPr>
              <w:jc w:val="center"/>
              <w:ind w:right="259"/>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0"/>
              </w:rPr>
              <w:t>Fulgent</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rPr>
              <w:t>Other</w:t>
            </w:r>
          </w:p>
        </w:tc>
        <w:tc>
          <w:tcPr>
            <w:tcW w:w="1060" w:type="dxa"/>
            <w:vAlign w:val="bottom"/>
            <w:gridSpan w:val="3"/>
            <w:vMerge w:val="restart"/>
          </w:tcPr>
          <w:p>
            <w:pPr>
              <w:jc w:val="right"/>
              <w:ind w:right="320"/>
              <w:spacing w:after="0"/>
              <w:rPr>
                <w:sz w:val="20"/>
                <w:szCs w:val="20"/>
                <w:color w:val="auto"/>
              </w:rPr>
            </w:pPr>
            <w:r>
              <w:rPr>
                <w:rFonts w:ascii="Arial" w:cs="Arial" w:eastAsia="Arial" w:hAnsi="Arial"/>
                <w:sz w:val="18"/>
                <w:szCs w:val="18"/>
                <w:b w:val="1"/>
                <w:bCs w:val="1"/>
                <w:color w:val="auto"/>
                <w:w w:val="94"/>
              </w:rPr>
              <w:t>Retained</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4"/>
              </w:rPr>
              <w:t>Noncontrolling</w:t>
            </w:r>
          </w:p>
        </w:tc>
        <w:tc>
          <w:tcPr>
            <w:tcW w:w="160" w:type="dxa"/>
            <w:vAlign w:val="bottom"/>
          </w:tcPr>
          <w:p>
            <w:pPr>
              <w:spacing w:after="0"/>
              <w:rPr>
                <w:sz w:val="12"/>
                <w:szCs w:val="12"/>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7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80"/>
              <w:spacing w:after="0" w:line="145" w:lineRule="exact"/>
              <w:rPr>
                <w:sz w:val="20"/>
                <w:szCs w:val="20"/>
                <w:color w:val="auto"/>
              </w:rPr>
            </w:pPr>
            <w:r>
              <w:rPr>
                <w:rFonts w:ascii="Arial" w:cs="Arial" w:eastAsia="Arial" w:hAnsi="Arial"/>
                <w:sz w:val="14"/>
                <w:szCs w:val="14"/>
                <w:b w:val="1"/>
                <w:bCs w:val="1"/>
                <w:color w:val="auto"/>
              </w:rPr>
              <w:t>Paid-In</w:t>
            </w:r>
          </w:p>
        </w:tc>
        <w:tc>
          <w:tcPr>
            <w:tcW w:w="1300" w:type="dxa"/>
            <w:vAlign w:val="bottom"/>
            <w:gridSpan w:val="3"/>
          </w:tcPr>
          <w:p>
            <w:pPr>
              <w:jc w:val="center"/>
              <w:ind w:right="119"/>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1060" w:type="dxa"/>
            <w:vAlign w:val="bottom"/>
            <w:gridSpan w:val="3"/>
            <w:vMerge w:val="continue"/>
          </w:tcPr>
          <w:p>
            <w:pPr>
              <w:spacing w:after="0"/>
              <w:rPr>
                <w:sz w:val="12"/>
                <w:szCs w:val="12"/>
                <w:color w:val="auto"/>
              </w:rPr>
            </w:pPr>
          </w:p>
        </w:tc>
        <w:tc>
          <w:tcPr>
            <w:tcW w:w="1160" w:type="dxa"/>
            <w:vAlign w:val="bottom"/>
            <w:gridSpan w:val="3"/>
          </w:tcPr>
          <w:p>
            <w:pPr>
              <w:jc w:val="center"/>
              <w:ind w:right="240"/>
              <w:spacing w:after="0" w:line="145" w:lineRule="exact"/>
              <w:rPr>
                <w:sz w:val="20"/>
                <w:szCs w:val="20"/>
                <w:color w:val="auto"/>
              </w:rPr>
            </w:pPr>
            <w:r>
              <w:rPr>
                <w:rFonts w:ascii="Arial" w:cs="Arial" w:eastAsia="Arial" w:hAnsi="Arial"/>
                <w:sz w:val="14"/>
                <w:szCs w:val="14"/>
                <w:b w:val="1"/>
                <w:bCs w:val="1"/>
                <w:color w:val="auto"/>
                <w:w w:val="91"/>
              </w:rPr>
              <w:t>Stockholders'</w:t>
            </w: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6"/>
                <w:szCs w:val="16"/>
                <w:color w:val="auto"/>
              </w:rPr>
            </w:pPr>
          </w:p>
        </w:tc>
        <w:tc>
          <w:tcPr>
            <w:tcW w:w="120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0"/>
              </w:rPr>
              <w:t>Income (Loss)</w:t>
            </w:r>
          </w:p>
        </w:tc>
        <w:tc>
          <w:tcPr>
            <w:tcW w:w="1060" w:type="dxa"/>
            <w:vAlign w:val="bottom"/>
            <w:gridSpan w:val="3"/>
          </w:tcPr>
          <w:p>
            <w:pPr>
              <w:jc w:val="right"/>
              <w:ind w:right="280"/>
              <w:spacing w:after="0" w:line="189" w:lineRule="exact"/>
              <w:rPr>
                <w:sz w:val="20"/>
                <w:szCs w:val="20"/>
                <w:color w:val="auto"/>
              </w:rPr>
            </w:pPr>
            <w:r>
              <w:rPr>
                <w:rFonts w:ascii="Arial" w:cs="Arial" w:eastAsia="Arial" w:hAnsi="Arial"/>
                <w:sz w:val="18"/>
                <w:szCs w:val="18"/>
                <w:b w:val="1"/>
                <w:bCs w:val="1"/>
                <w:color w:val="auto"/>
                <w:w w:val="98"/>
              </w:rPr>
              <w:t>Earnings</w:t>
            </w:r>
          </w:p>
        </w:tc>
        <w:tc>
          <w:tcPr>
            <w:tcW w:w="1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6"/>
                <w:szCs w:val="16"/>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3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December 31, 2020</w:t>
            </w:r>
          </w:p>
        </w:tc>
        <w:tc>
          <w:tcPr>
            <w:tcW w:w="7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28,178</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418,065</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438</w:t>
            </w:r>
          </w:p>
        </w:tc>
        <w:tc>
          <w:tcPr>
            <w:tcW w:w="2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15"/>
              <w:spacing w:after="0" w:line="183" w:lineRule="exact"/>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150,881</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569,387</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569,387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80" w:type="dxa"/>
            <w:vAlign w:val="bottom"/>
          </w:tcPr>
          <w:p>
            <w:pPr>
              <w:ind w:left="20"/>
              <w:spacing w:after="0" w:line="183" w:lineRule="exact"/>
              <w:rPr>
                <w:sz w:val="20"/>
                <w:szCs w:val="20"/>
                <w:color w:val="auto"/>
              </w:rPr>
            </w:pPr>
            <w:r>
              <w:rPr>
                <w:rFonts w:ascii="Arial" w:cs="Arial" w:eastAsia="Arial" w:hAnsi="Arial"/>
                <w:sz w:val="16"/>
                <w:szCs w:val="16"/>
                <w:color w:val="auto"/>
              </w:rPr>
              <w:t>Equity-based compensation</w:t>
            </w:r>
          </w:p>
        </w:tc>
        <w:tc>
          <w:tcPr>
            <w:tcW w:w="96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2,962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2,962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2,962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3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Exercise of common stock</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w:t>
            </w:r>
          </w:p>
        </w:tc>
        <w:tc>
          <w:tcPr>
            <w:tcW w:w="7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3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(4 )</w:t>
            </w:r>
          </w:p>
        </w:tc>
        <w:tc>
          <w:tcPr>
            <w:tcW w:w="1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(513 )</w:t>
            </w: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(513 )</w:t>
            </w:r>
          </w:p>
        </w:tc>
        <w:tc>
          <w:tcPr>
            <w:tcW w:w="1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(513 )</w:t>
            </w: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at an</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583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30,297</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30,297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30,297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80" w:type="dxa"/>
            <w:vAlign w:val="bottom"/>
          </w:tcPr>
          <w:p>
            <w:pPr>
              <w:ind w:left="20"/>
              <w:spacing w:after="0"/>
              <w:rPr>
                <w:sz w:val="20"/>
                <w:szCs w:val="20"/>
                <w:color w:val="auto"/>
              </w:rPr>
            </w:pPr>
            <w:r>
              <w:rPr>
                <w:rFonts w:ascii="Arial" w:cs="Arial" w:eastAsia="Arial" w:hAnsi="Arial"/>
                <w:sz w:val="16"/>
                <w:szCs w:val="16"/>
                <w:color w:val="auto"/>
              </w:rPr>
              <w:t>average of $52.00 per share, net</w:t>
            </w: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loss</w:t>
            </w: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(654 )</w:t>
            </w:r>
          </w:p>
        </w:tc>
        <w:tc>
          <w:tcPr>
            <w:tcW w:w="20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(654 )</w:t>
            </w: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(654 )</w:t>
            </w:r>
          </w:p>
        </w:tc>
        <w:tc>
          <w:tcPr>
            <w:tcW w:w="0" w:type="dxa"/>
            <w:vAlign w:val="bottom"/>
          </w:tcPr>
          <w:p>
            <w:pPr>
              <w:spacing w:after="0"/>
              <w:rPr>
                <w:sz w:val="1"/>
                <w:szCs w:val="1"/>
                <w:color w:val="auto"/>
              </w:rPr>
            </w:pPr>
          </w:p>
        </w:tc>
      </w:tr>
      <w:tr>
        <w:trPr>
          <w:trHeight w:val="152"/>
        </w:trPr>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Cumulative effect of accounting</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2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(887 )</w:t>
            </w:r>
          </w:p>
        </w:tc>
        <w:tc>
          <w:tcPr>
            <w:tcW w:w="160" w:type="dxa"/>
            <w:vAlign w:val="bottom"/>
          </w:tcPr>
          <w:p>
            <w:pPr>
              <w:spacing w:after="0"/>
              <w:rPr>
                <w:sz w:val="13"/>
                <w:szCs w:val="13"/>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(887 )</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(887 )</w:t>
            </w:r>
          </w:p>
        </w:tc>
        <w:tc>
          <w:tcPr>
            <w:tcW w:w="0" w:type="dxa"/>
            <w:vAlign w:val="bottom"/>
          </w:tcPr>
          <w:p>
            <w:pPr>
              <w:spacing w:after="0"/>
              <w:rPr>
                <w:sz w:val="1"/>
                <w:szCs w:val="1"/>
                <w:color w:val="auto"/>
              </w:rPr>
            </w:pPr>
          </w:p>
        </w:tc>
      </w:tr>
      <w:tr>
        <w:trPr>
          <w:trHeight w:val="199"/>
        </w:trPr>
        <w:tc>
          <w:tcPr>
            <w:tcW w:w="2380" w:type="dxa"/>
            <w:vAlign w:val="bottom"/>
          </w:tcPr>
          <w:p>
            <w:pPr>
              <w:ind w:left="20"/>
              <w:spacing w:after="0"/>
              <w:rPr>
                <w:sz w:val="20"/>
                <w:szCs w:val="20"/>
                <w:color w:val="auto"/>
              </w:rPr>
            </w:pPr>
            <w:r>
              <w:rPr>
                <w:rFonts w:ascii="Arial" w:cs="Arial" w:eastAsia="Arial" w:hAnsi="Arial"/>
                <w:sz w:val="16"/>
                <w:szCs w:val="16"/>
                <w:color w:val="auto"/>
              </w:rPr>
              <w:t>change</w:t>
            </w:r>
          </w:p>
        </w:tc>
        <w:tc>
          <w:tcPr>
            <w:tcW w:w="9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Cumulative tax effect of</w:t>
            </w:r>
          </w:p>
        </w:tc>
        <w:tc>
          <w:tcPr>
            <w:tcW w:w="9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accounting change</w:t>
            </w:r>
          </w:p>
        </w:tc>
        <w:tc>
          <w:tcPr>
            <w:tcW w:w="9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200,691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200,691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200,691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b w:val="1"/>
                <w:bCs w:val="1"/>
                <w:color w:val="auto"/>
              </w:rPr>
              <w:t>Balance at March 31, 2021</w:t>
            </w: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28,989</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450,855</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(216</w:t>
            </w:r>
          </w:p>
        </w:tc>
        <w:tc>
          <w:tcPr>
            <w:tcW w:w="200" w:type="dxa"/>
            <w:vAlign w:val="bottom"/>
            <w:tcBorders>
              <w:bottom w:val="single" w:sz="8" w:color="CFF0FC"/>
            </w:tcBorders>
            <w:shd w:val="clear" w:color="auto" w:fill="CFF0FC"/>
          </w:tcPr>
          <w:p>
            <w:pPr>
              <w:jc w:val="right"/>
              <w:ind w:right="59"/>
              <w:spacing w:after="0" w:line="169" w:lineRule="exact"/>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350,924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801,566</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801,566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380" w:type="dxa"/>
            <w:vAlign w:val="bottom"/>
          </w:tcPr>
          <w:p>
            <w:pPr>
              <w:ind w:left="20"/>
              <w:spacing w:after="0" w:line="170" w:lineRule="exact"/>
              <w:rPr>
                <w:sz w:val="20"/>
                <w:szCs w:val="20"/>
                <w:color w:val="auto"/>
              </w:rPr>
            </w:pPr>
            <w:r>
              <w:rPr>
                <w:rFonts w:ascii="Arial" w:cs="Arial" w:eastAsia="Arial" w:hAnsi="Arial"/>
                <w:sz w:val="16"/>
                <w:szCs w:val="16"/>
                <w:color w:val="auto"/>
              </w:rPr>
              <w:t>Equity-based compensation</w:t>
            </w:r>
          </w:p>
        </w:tc>
        <w:tc>
          <w:tcPr>
            <w:tcW w:w="960" w:type="dxa"/>
            <w:vAlign w:val="bottom"/>
            <w:gridSpan w:val="2"/>
          </w:tcPr>
          <w:p>
            <w:pPr>
              <w:jc w:val="right"/>
              <w:ind w:right="240"/>
              <w:spacing w:after="0" w:line="17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6"/>
                <w:szCs w:val="16"/>
                <w:color w:val="auto"/>
              </w:rPr>
              <w:t>3,526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39"/>
              <w:spacing w:after="0" w:line="170"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860" w:type="dxa"/>
            <w:vAlign w:val="bottom"/>
            <w:gridSpan w:val="2"/>
          </w:tcPr>
          <w:p>
            <w:pPr>
              <w:jc w:val="right"/>
              <w:ind w:right="220"/>
              <w:spacing w:after="0" w:line="17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tcPr>
          <w:p>
            <w:pPr>
              <w:jc w:val="right"/>
              <w:spacing w:after="0" w:line="170" w:lineRule="exact"/>
              <w:rPr>
                <w:sz w:val="20"/>
                <w:szCs w:val="20"/>
                <w:color w:val="auto"/>
              </w:rPr>
            </w:pPr>
            <w:r>
              <w:rPr>
                <w:rFonts w:ascii="Arial" w:cs="Arial" w:eastAsia="Arial" w:hAnsi="Arial"/>
                <w:sz w:val="16"/>
                <w:szCs w:val="16"/>
                <w:color w:val="auto"/>
              </w:rPr>
              <w:t>3,526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tcPr>
          <w:p>
            <w:pPr>
              <w:jc w:val="right"/>
              <w:spacing w:after="0" w:line="170" w:lineRule="exact"/>
              <w:rPr>
                <w:sz w:val="20"/>
                <w:szCs w:val="20"/>
                <w:color w:val="auto"/>
              </w:rPr>
            </w:pPr>
            <w:r>
              <w:rPr>
                <w:rFonts w:ascii="Arial" w:cs="Arial" w:eastAsia="Arial" w:hAnsi="Arial"/>
                <w:sz w:val="16"/>
                <w:szCs w:val="16"/>
                <w:color w:val="auto"/>
              </w:rPr>
              <w:t>3,526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3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Exercise of common stock</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options</w:t>
            </w:r>
          </w:p>
        </w:tc>
        <w:tc>
          <w:tcPr>
            <w:tcW w:w="74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3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Common stock withholding for</w:t>
            </w: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(1 )</w:t>
            </w:r>
          </w:p>
        </w:tc>
        <w:tc>
          <w:tcPr>
            <w:tcW w:w="1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(39 )</w:t>
            </w:r>
          </w:p>
        </w:tc>
        <w:tc>
          <w:tcPr>
            <w:tcW w:w="1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tax obligations</w:t>
            </w:r>
          </w:p>
        </w:tc>
        <w:tc>
          <w:tcPr>
            <w:tcW w:w="9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tcPr>
          <w:p>
            <w:pPr>
              <w:ind w:left="20"/>
              <w:spacing w:after="0" w:line="152" w:lineRule="exact"/>
              <w:rPr>
                <w:sz w:val="20"/>
                <w:szCs w:val="20"/>
                <w:color w:val="auto"/>
              </w:rPr>
            </w:pPr>
            <w:r>
              <w:rPr>
                <w:rFonts w:ascii="Arial" w:cs="Arial" w:eastAsia="Arial" w:hAnsi="Arial"/>
                <w:sz w:val="16"/>
                <w:szCs w:val="16"/>
                <w:color w:val="auto"/>
              </w:rPr>
              <w:t>Issuance of common stock at an</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378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27,889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restart"/>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3"/>
                <w:szCs w:val="13"/>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27,889</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27,889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80" w:type="dxa"/>
            <w:vAlign w:val="bottom"/>
          </w:tcPr>
          <w:p>
            <w:pPr>
              <w:ind w:left="20"/>
              <w:spacing w:after="0"/>
              <w:rPr>
                <w:sz w:val="20"/>
                <w:szCs w:val="20"/>
                <w:color w:val="auto"/>
              </w:rPr>
            </w:pPr>
            <w:r>
              <w:rPr>
                <w:rFonts w:ascii="Arial" w:cs="Arial" w:eastAsia="Arial" w:hAnsi="Arial"/>
                <w:sz w:val="16"/>
                <w:szCs w:val="16"/>
                <w:color w:val="auto"/>
              </w:rPr>
              <w:t>average of $73.75 per share, net</w:t>
            </w:r>
          </w:p>
        </w:tc>
        <w:tc>
          <w:tcPr>
            <w:tcW w:w="7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38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Noncontrolling interest assumed</w:t>
            </w:r>
          </w:p>
        </w:tc>
        <w:tc>
          <w:tcPr>
            <w:tcW w:w="9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3"/>
                <w:szCs w:val="13"/>
                <w:color w:val="auto"/>
              </w:rPr>
            </w:pPr>
          </w:p>
        </w:tc>
        <w:tc>
          <w:tcPr>
            <w:tcW w:w="1200" w:type="dxa"/>
            <w:vAlign w:val="bottom"/>
            <w:gridSpan w:val="2"/>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3"/>
                <w:szCs w:val="13"/>
                <w:color w:val="auto"/>
              </w:rPr>
            </w:pPr>
          </w:p>
        </w:tc>
        <w:tc>
          <w:tcPr>
            <w:tcW w:w="8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3"/>
                <w:szCs w:val="13"/>
                <w:color w:val="auto"/>
              </w:rPr>
            </w:pPr>
          </w:p>
        </w:tc>
        <w:tc>
          <w:tcPr>
            <w:tcW w:w="10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8,151</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8,151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related to acquisitions</w:t>
            </w:r>
          </w:p>
        </w:tc>
        <w:tc>
          <w:tcPr>
            <w:tcW w:w="9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380" w:type="dxa"/>
            <w:vAlign w:val="bottom"/>
          </w:tcPr>
          <w:p>
            <w:pPr>
              <w:ind w:left="20"/>
              <w:spacing w:after="0"/>
              <w:rPr>
                <w:sz w:val="20"/>
                <w:szCs w:val="20"/>
                <w:color w:val="auto"/>
              </w:rPr>
            </w:pPr>
            <w:r>
              <w:rPr>
                <w:rFonts w:ascii="Arial" w:cs="Arial" w:eastAsia="Arial" w:hAnsi="Arial"/>
                <w:sz w:val="16"/>
                <w:szCs w:val="16"/>
                <w:color w:val="auto"/>
              </w:rPr>
              <w:t>Other comprehensive gain (loss)</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(49 )</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(49 )</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18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(loss)</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79,812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79,812</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(165 )</w:t>
            </w: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79,647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tcPr>
          <w:p>
            <w:pPr>
              <w:ind w:left="20"/>
              <w:spacing w:after="0" w:line="169" w:lineRule="exact"/>
              <w:rPr>
                <w:sz w:val="20"/>
                <w:szCs w:val="20"/>
                <w:color w:val="auto"/>
              </w:rPr>
            </w:pPr>
            <w:r>
              <w:rPr>
                <w:rFonts w:ascii="Arial" w:cs="Arial" w:eastAsia="Arial" w:hAnsi="Arial"/>
                <w:sz w:val="16"/>
                <w:szCs w:val="16"/>
                <w:b w:val="1"/>
                <w:bCs w:val="1"/>
                <w:color w:val="auto"/>
              </w:rPr>
              <w:t>Balance at June 30, 2021</w:t>
            </w:r>
          </w:p>
        </w:tc>
        <w:tc>
          <w:tcPr>
            <w:tcW w:w="7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29,513</w:t>
            </w:r>
          </w:p>
        </w:tc>
        <w:tc>
          <w:tcPr>
            <w:tcW w:w="220" w:type="dxa"/>
            <w:vAlign w:val="bottom"/>
          </w:tcPr>
          <w:p>
            <w:pPr>
              <w:spacing w:after="0"/>
              <w:rPr>
                <w:sz w:val="15"/>
                <w:szCs w:val="15"/>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3</w:t>
            </w:r>
          </w:p>
        </w:tc>
        <w:tc>
          <w:tcPr>
            <w:tcW w:w="220" w:type="dxa"/>
            <w:vAlign w:val="bottom"/>
          </w:tcPr>
          <w:p>
            <w:pPr>
              <w:spacing w:after="0"/>
              <w:rPr>
                <w:sz w:val="15"/>
                <w:szCs w:val="15"/>
                <w:color w:val="auto"/>
              </w:rPr>
            </w:pPr>
          </w:p>
        </w:tc>
        <w:tc>
          <w:tcPr>
            <w:tcW w:w="1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482,255</w:t>
            </w:r>
          </w:p>
        </w:tc>
        <w:tc>
          <w:tcPr>
            <w:tcW w:w="200" w:type="dxa"/>
            <w:vAlign w:val="bottom"/>
          </w:tcPr>
          <w:p>
            <w:pPr>
              <w:spacing w:after="0"/>
              <w:rPr>
                <w:sz w:val="15"/>
                <w:szCs w:val="15"/>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1200" w:type="dxa"/>
            <w:vAlign w:val="bottom"/>
            <w:gridSpan w:val="2"/>
          </w:tcPr>
          <w:p>
            <w:pPr>
              <w:jc w:val="right"/>
              <w:ind w:right="59"/>
              <w:spacing w:after="0" w:line="169" w:lineRule="exact"/>
              <w:rPr>
                <w:sz w:val="20"/>
                <w:szCs w:val="20"/>
                <w:color w:val="auto"/>
              </w:rPr>
            </w:pPr>
            <w:r>
              <w:rPr>
                <w:rFonts w:ascii="Arial" w:cs="Arial" w:eastAsia="Arial" w:hAnsi="Arial"/>
                <w:sz w:val="16"/>
                <w:szCs w:val="16"/>
                <w:b w:val="1"/>
                <w:bCs w:val="1"/>
                <w:color w:val="auto"/>
              </w:rPr>
              <w:t>(265 )</w:t>
            </w:r>
          </w:p>
        </w:tc>
        <w:tc>
          <w:tcPr>
            <w:tcW w:w="200" w:type="dxa"/>
            <w:vAlign w:val="bottom"/>
          </w:tcPr>
          <w:p>
            <w:pPr>
              <w:jc w:val="right"/>
              <w:ind w:right="15"/>
              <w:spacing w:after="0" w:line="169" w:lineRule="exact"/>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430,736</w:t>
            </w:r>
          </w:p>
        </w:tc>
        <w:tc>
          <w:tcPr>
            <w:tcW w:w="220" w:type="dxa"/>
            <w:vAlign w:val="bottom"/>
          </w:tcPr>
          <w:p>
            <w:pPr>
              <w:spacing w:after="0"/>
              <w:rPr>
                <w:sz w:val="15"/>
                <w:szCs w:val="15"/>
                <w:color w:val="auto"/>
              </w:rPr>
            </w:pPr>
          </w:p>
        </w:tc>
        <w:tc>
          <w:tcPr>
            <w:tcW w:w="160" w:type="dxa"/>
            <w:vAlign w:val="bottom"/>
          </w:tcPr>
          <w:p>
            <w:pPr>
              <w:jc w:val="right"/>
              <w:ind w:right="5"/>
              <w:spacing w:after="0" w:line="169" w:lineRule="exact"/>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912,729</w:t>
            </w:r>
          </w:p>
        </w:tc>
        <w:tc>
          <w:tcPr>
            <w:tcW w:w="200" w:type="dxa"/>
            <w:vAlign w:val="bottom"/>
          </w:tcPr>
          <w:p>
            <w:pPr>
              <w:spacing w:after="0"/>
              <w:rPr>
                <w:sz w:val="15"/>
                <w:szCs w:val="15"/>
                <w:color w:val="auto"/>
              </w:rPr>
            </w:pPr>
          </w:p>
        </w:tc>
        <w:tc>
          <w:tcPr>
            <w:tcW w:w="180" w:type="dxa"/>
            <w:vAlign w:val="bottom"/>
          </w:tcPr>
          <w:p>
            <w:pPr>
              <w:jc w:val="right"/>
              <w:ind w:right="25"/>
              <w:spacing w:after="0" w:line="169" w:lineRule="exact"/>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7,996</w:t>
            </w:r>
          </w:p>
        </w:tc>
        <w:tc>
          <w:tcPr>
            <w:tcW w:w="200" w:type="dxa"/>
            <w:vAlign w:val="bottom"/>
          </w:tcPr>
          <w:p>
            <w:pPr>
              <w:spacing w:after="0"/>
              <w:rPr>
                <w:sz w:val="15"/>
                <w:szCs w:val="15"/>
                <w:color w:val="auto"/>
              </w:rPr>
            </w:pPr>
          </w:p>
        </w:tc>
        <w:tc>
          <w:tcPr>
            <w:tcW w:w="1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920,725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-3279775</wp:posOffset>
            </wp:positionV>
            <wp:extent cx="76835" cy="1257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12573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-3279775</wp:posOffset>
            </wp:positionV>
            <wp:extent cx="76835" cy="1257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2573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-3279775</wp:posOffset>
            </wp:positionV>
            <wp:extent cx="68580" cy="1257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-3279775</wp:posOffset>
            </wp:positionV>
            <wp:extent cx="68580" cy="1257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-3279775</wp:posOffset>
            </wp:positionV>
            <wp:extent cx="68580" cy="1257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-3279775</wp:posOffset>
            </wp:positionV>
            <wp:extent cx="68580" cy="1257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-3279775</wp:posOffset>
            </wp:positionV>
            <wp:extent cx="68580" cy="1257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-3279775</wp:posOffset>
            </wp:positionV>
            <wp:extent cx="68580" cy="1257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257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-1551305</wp:posOffset>
            </wp:positionV>
            <wp:extent cx="516064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60645" cy="14605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-150495</wp:posOffset>
            </wp:positionV>
            <wp:extent cx="76835" cy="151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-150495</wp:posOffset>
            </wp:positionV>
            <wp:extent cx="76835" cy="151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5113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-150495</wp:posOffset>
            </wp:positionV>
            <wp:extent cx="68580" cy="151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-150495</wp:posOffset>
            </wp:positionV>
            <wp:extent cx="68580" cy="151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-150495</wp:posOffset>
            </wp:positionV>
            <wp:extent cx="68580" cy="151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-150495</wp:posOffset>
            </wp:positionV>
            <wp:extent cx="68580" cy="151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-150495</wp:posOffset>
            </wp:positionV>
            <wp:extent cx="68580" cy="151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511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wp:posOffset>
            </wp:positionV>
            <wp:extent cx="68580" cy="151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5113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2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83"/>
        </w:trPr>
        <w:tc>
          <w:tcPr>
            <w:tcW w:w="70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 from operating activities:</w:t>
            </w:r>
          </w:p>
        </w:tc>
        <w:tc>
          <w:tcPr>
            <w:tcW w:w="1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020" w:type="dxa"/>
            <w:vAlign w:val="bottom"/>
          </w:tcPr>
          <w:p>
            <w:pPr>
              <w:ind w:left="20"/>
              <w:spacing w:after="0"/>
              <w:rPr>
                <w:sz w:val="20"/>
                <w:szCs w:val="20"/>
                <w:color w:val="auto"/>
              </w:rPr>
            </w:pPr>
            <w:r>
              <w:rPr>
                <w:rFonts w:ascii="Arial" w:cs="Arial" w:eastAsia="Arial" w:hAnsi="Arial"/>
                <w:sz w:val="16"/>
                <w:szCs w:val="16"/>
                <w:color w:val="auto"/>
              </w:rPr>
              <w:t>Net income from consolidated operations</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164,656</w:t>
            </w:r>
          </w:p>
        </w:tc>
        <w:tc>
          <w:tcPr>
            <w:tcW w:w="300" w:type="dxa"/>
            <w:vAlign w:val="bottom"/>
          </w:tcPr>
          <w:p>
            <w:pPr>
              <w:spacing w:after="0"/>
              <w:rPr>
                <w:sz w:val="16"/>
                <w:szCs w:val="16"/>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280,338</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Equity-based compensation</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13,646</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6,488</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1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13,040</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4,340</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Provision for credit losses</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18,734</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3,259</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lease expense</w:t>
            </w:r>
          </w:p>
        </w:tc>
        <w:tc>
          <w:tcPr>
            <w:tcW w:w="1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1,710</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Loss on disposal of fixed asset</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309</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premium of marketable securities</w:t>
            </w:r>
          </w:p>
        </w:tc>
        <w:tc>
          <w:tcPr>
            <w:tcW w:w="1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3,223</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3,171</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Deferred taxes</w:t>
            </w:r>
          </w:p>
        </w:tc>
        <w:tc>
          <w:tcPr>
            <w:tcW w:w="1160" w:type="dxa"/>
            <w:vAlign w:val="bottom"/>
          </w:tcPr>
          <w:p>
            <w:pPr>
              <w:spacing w:after="0"/>
              <w:rPr>
                <w:sz w:val="16"/>
                <w:szCs w:val="16"/>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(7,639 )</w:t>
            </w:r>
          </w:p>
        </w:tc>
        <w:tc>
          <w:tcPr>
            <w:tcW w:w="76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(3,055 )</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Unrecognized tax benefits</w:t>
            </w:r>
          </w:p>
        </w:tc>
        <w:tc>
          <w:tcPr>
            <w:tcW w:w="1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1,005</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Net loss on marketable securities</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617</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on equity method investment</w:t>
            </w:r>
          </w:p>
        </w:tc>
        <w:tc>
          <w:tcPr>
            <w:tcW w:w="1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(3,734 )</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Other</w:t>
            </w:r>
          </w:p>
        </w:tc>
        <w:tc>
          <w:tcPr>
            <w:tcW w:w="1160" w:type="dxa"/>
            <w:vAlign w:val="bottom"/>
          </w:tcPr>
          <w:p>
            <w:pPr>
              <w:spacing w:after="0"/>
              <w:rPr>
                <w:sz w:val="16"/>
                <w:szCs w:val="16"/>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(17 )</w:t>
            </w:r>
          </w:p>
        </w:tc>
        <w:tc>
          <w:tcPr>
            <w:tcW w:w="76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(8 )</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1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380"/>
              <w:spacing w:after="0"/>
              <w:rPr>
                <w:sz w:val="20"/>
                <w:szCs w:val="20"/>
                <w:color w:val="auto"/>
              </w:rPr>
            </w:pPr>
            <w:r>
              <w:rPr>
                <w:rFonts w:ascii="Arial" w:cs="Arial" w:eastAsia="Arial" w:hAnsi="Arial"/>
                <w:sz w:val="16"/>
                <w:szCs w:val="16"/>
                <w:color w:val="auto"/>
              </w:rPr>
              <w:t>Trade accounts receivable</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1,802</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32,460</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current and long-term assets</w:t>
            </w:r>
          </w:p>
        </w:tc>
        <w:tc>
          <w:tcPr>
            <w:tcW w:w="1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(1,854 )</w:t>
            </w:r>
          </w:p>
        </w:tc>
        <w:tc>
          <w:tcPr>
            <w:tcW w:w="7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(6,025 )</w:t>
            </w:r>
          </w:p>
        </w:tc>
      </w:tr>
      <w:tr>
        <w:trPr>
          <w:trHeight w:val="189"/>
        </w:trPr>
        <w:tc>
          <w:tcPr>
            <w:tcW w:w="70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1160" w:type="dxa"/>
            <w:vAlign w:val="bottom"/>
          </w:tcPr>
          <w:p>
            <w:pPr>
              <w:spacing w:after="0"/>
              <w:rPr>
                <w:sz w:val="16"/>
                <w:szCs w:val="16"/>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(10,258 )</w:t>
            </w:r>
          </w:p>
        </w:tc>
        <w:tc>
          <w:tcPr>
            <w:tcW w:w="76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(10,256 )</w:t>
            </w:r>
          </w:p>
        </w:tc>
      </w:tr>
      <w:tr>
        <w:trPr>
          <w:trHeight w:val="189"/>
        </w:trPr>
        <w:tc>
          <w:tcPr>
            <w:tcW w:w="7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 payable</w:t>
            </w:r>
          </w:p>
        </w:tc>
        <w:tc>
          <w:tcPr>
            <w:tcW w:w="1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1,978</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(26,920 )</w:t>
            </w:r>
          </w:p>
        </w:tc>
      </w:tr>
      <w:tr>
        <w:trPr>
          <w:trHeight w:val="189"/>
        </w:trPr>
        <w:tc>
          <w:tcPr>
            <w:tcW w:w="7020" w:type="dxa"/>
            <w:vAlign w:val="bottom"/>
          </w:tcPr>
          <w:p>
            <w:pPr>
              <w:ind w:left="380"/>
              <w:spacing w:after="0"/>
              <w:rPr>
                <w:sz w:val="20"/>
                <w:szCs w:val="20"/>
                <w:color w:val="auto"/>
              </w:rPr>
            </w:pPr>
            <w:r>
              <w:rPr>
                <w:rFonts w:ascii="Arial" w:cs="Arial" w:eastAsia="Arial" w:hAnsi="Arial"/>
                <w:sz w:val="16"/>
                <w:szCs w:val="16"/>
                <w:color w:val="auto"/>
              </w:rPr>
              <w:t>Accrued liabilities and other liabilities</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264</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28,141</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and finance lease liabilities</w:t>
            </w:r>
          </w:p>
        </w:tc>
        <w:tc>
          <w:tcPr>
            <w:tcW w:w="1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(1,679 )</w:t>
            </w:r>
          </w:p>
        </w:tc>
        <w:tc>
          <w:tcPr>
            <w:tcW w:w="7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(293 )</w:t>
            </w:r>
          </w:p>
        </w:tc>
      </w:tr>
      <w:tr>
        <w:trPr>
          <w:trHeight w:val="183"/>
        </w:trPr>
        <w:tc>
          <w:tcPr>
            <w:tcW w:w="7020" w:type="dxa"/>
            <w:vAlign w:val="bottom"/>
            <w:tcBorders>
              <w:top w:val="single" w:sz="8" w:color="CFF0FC"/>
            </w:tcBorders>
          </w:tcPr>
          <w:p>
            <w:pPr>
              <w:ind w:left="200"/>
              <w:spacing w:after="0" w:line="183" w:lineRule="exact"/>
              <w:rPr>
                <w:sz w:val="20"/>
                <w:szCs w:val="20"/>
                <w:color w:val="auto"/>
              </w:rPr>
            </w:pPr>
            <w:r>
              <w:rPr>
                <w:rFonts w:ascii="Arial" w:cs="Arial" w:eastAsia="Arial" w:hAnsi="Arial"/>
                <w:sz w:val="16"/>
                <w:szCs w:val="16"/>
                <w:color w:val="auto"/>
              </w:rPr>
              <w:t>Net cash provided by operating activities</w:t>
            </w:r>
          </w:p>
        </w:tc>
        <w:tc>
          <w:tcPr>
            <w:tcW w:w="11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199,537</w:t>
            </w:r>
          </w:p>
        </w:tc>
        <w:tc>
          <w:tcPr>
            <w:tcW w:w="300" w:type="dxa"/>
            <w:vAlign w:val="bottom"/>
            <w:tcBorders>
              <w:top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309,290</w:t>
            </w:r>
          </w:p>
        </w:tc>
        <w:tc>
          <w:tcPr>
            <w:tcW w:w="100" w:type="dxa"/>
            <w:vAlign w:val="bottom"/>
            <w:tcBorders>
              <w:top w:val="single" w:sz="8" w:color="CFF0FC"/>
            </w:tcBorders>
          </w:tcPr>
          <w:p>
            <w:pPr>
              <w:spacing w:after="0"/>
              <w:rPr>
                <w:sz w:val="15"/>
                <w:szCs w:val="15"/>
                <w:color w:val="auto"/>
              </w:rPr>
            </w:pPr>
          </w:p>
        </w:tc>
      </w:tr>
      <w:tr>
        <w:trPr>
          <w:trHeight w:val="183"/>
        </w:trPr>
        <w:tc>
          <w:tcPr>
            <w:tcW w:w="70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 from investing activities:</w:t>
            </w:r>
          </w:p>
        </w:tc>
        <w:tc>
          <w:tcPr>
            <w:tcW w:w="1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Purchase of marketable securities</w:t>
            </w:r>
          </w:p>
        </w:tc>
        <w:tc>
          <w:tcPr>
            <w:tcW w:w="1160" w:type="dxa"/>
            <w:vAlign w:val="bottom"/>
          </w:tcPr>
          <w:p>
            <w:pPr>
              <w:spacing w:after="0"/>
              <w:rPr>
                <w:sz w:val="16"/>
                <w:szCs w:val="16"/>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(245,488 )</w:t>
            </w:r>
          </w:p>
        </w:tc>
        <w:tc>
          <w:tcPr>
            <w:tcW w:w="76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(424,807 )</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 of businesses, net of cash acquired</w:t>
            </w:r>
          </w:p>
        </w:tc>
        <w:tc>
          <w:tcPr>
            <w:tcW w:w="1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(137,755 )</w:t>
            </w:r>
          </w:p>
        </w:tc>
        <w:tc>
          <w:tcPr>
            <w:tcW w:w="7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(18,509 )</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Investment in private equity securities</w:t>
            </w:r>
          </w:p>
        </w:tc>
        <w:tc>
          <w:tcPr>
            <w:tcW w:w="1160" w:type="dxa"/>
            <w:vAlign w:val="bottom"/>
          </w:tcPr>
          <w:p>
            <w:pPr>
              <w:spacing w:after="0"/>
              <w:rPr>
                <w:sz w:val="16"/>
                <w:szCs w:val="16"/>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(15,000 )</w:t>
            </w:r>
          </w:p>
        </w:tc>
        <w:tc>
          <w:tcPr>
            <w:tcW w:w="7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Contingent consideration payout related to a business acquisition</w:t>
            </w:r>
          </w:p>
        </w:tc>
        <w:tc>
          <w:tcPr>
            <w:tcW w:w="1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(10,000 )</w:t>
            </w:r>
          </w:p>
        </w:tc>
        <w:tc>
          <w:tcPr>
            <w:tcW w:w="7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Purchases of fixed assets</w:t>
            </w:r>
          </w:p>
        </w:tc>
        <w:tc>
          <w:tcPr>
            <w:tcW w:w="1160" w:type="dxa"/>
            <w:vAlign w:val="bottom"/>
          </w:tcPr>
          <w:p>
            <w:pPr>
              <w:spacing w:after="0"/>
              <w:rPr>
                <w:sz w:val="16"/>
                <w:szCs w:val="16"/>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(8,618 )</w:t>
            </w:r>
          </w:p>
        </w:tc>
        <w:tc>
          <w:tcPr>
            <w:tcW w:w="760" w:type="dxa"/>
            <w:vAlign w:val="bottom"/>
          </w:tcPr>
          <w:p>
            <w:pPr>
              <w:spacing w:after="0"/>
              <w:rPr>
                <w:sz w:val="16"/>
                <w:szCs w:val="16"/>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(14,427 )</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sale of fixed assets</w:t>
            </w:r>
          </w:p>
        </w:tc>
        <w:tc>
          <w:tcPr>
            <w:tcW w:w="1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Maturities of marketable securities</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70,432</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34,538</w:t>
            </w:r>
          </w:p>
        </w:tc>
        <w:tc>
          <w:tcPr>
            <w:tcW w:w="100" w:type="dxa"/>
            <w:vAlign w:val="bottom"/>
          </w:tcPr>
          <w:p>
            <w:pPr>
              <w:spacing w:after="0"/>
              <w:rPr>
                <w:sz w:val="16"/>
                <w:szCs w:val="16"/>
                <w:color w:val="auto"/>
              </w:rPr>
            </w:pPr>
          </w:p>
        </w:tc>
      </w:tr>
      <w:tr>
        <w:trPr>
          <w:trHeight w:val="189"/>
        </w:trPr>
        <w:tc>
          <w:tcPr>
            <w:tcW w:w="7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Proceeds from sale of marketable securities</w:t>
            </w:r>
          </w:p>
        </w:tc>
        <w:tc>
          <w:tcPr>
            <w:tcW w:w="1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133,407</w:t>
            </w: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51,696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020" w:type="dxa"/>
            <w:vAlign w:val="bottom"/>
          </w:tcPr>
          <w:p>
            <w:pPr>
              <w:ind w:left="200"/>
              <w:spacing w:after="0" w:line="183" w:lineRule="exact"/>
              <w:rPr>
                <w:sz w:val="20"/>
                <w:szCs w:val="20"/>
                <w:color w:val="auto"/>
              </w:rPr>
            </w:pPr>
            <w:r>
              <w:rPr>
                <w:rFonts w:ascii="Arial" w:cs="Arial" w:eastAsia="Arial" w:hAnsi="Arial"/>
                <w:sz w:val="16"/>
                <w:szCs w:val="16"/>
                <w:color w:val="auto"/>
              </w:rPr>
              <w:t>Net cash used in investing activities</w:t>
            </w:r>
          </w:p>
        </w:tc>
        <w:tc>
          <w:tcPr>
            <w:tcW w:w="1160" w:type="dxa"/>
            <w:vAlign w:val="bottom"/>
          </w:tcPr>
          <w:p>
            <w:pPr>
              <w:spacing w:after="0"/>
              <w:rPr>
                <w:sz w:val="15"/>
                <w:szCs w:val="15"/>
                <w:color w:val="auto"/>
              </w:rPr>
            </w:pPr>
          </w:p>
        </w:tc>
        <w:tc>
          <w:tcPr>
            <w:tcW w:w="104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(213,004 )</w:t>
            </w:r>
          </w:p>
        </w:tc>
        <w:tc>
          <w:tcPr>
            <w:tcW w:w="760" w:type="dxa"/>
            <w:vAlign w:val="bottom"/>
          </w:tcPr>
          <w:p>
            <w:pPr>
              <w:spacing w:after="0"/>
              <w:rPr>
                <w:sz w:val="15"/>
                <w:szCs w:val="15"/>
                <w:color w:val="auto"/>
              </w:rPr>
            </w:pPr>
          </w:p>
        </w:tc>
        <w:tc>
          <w:tcPr>
            <w:tcW w:w="12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(371,496 )</w:t>
            </w:r>
          </w:p>
        </w:tc>
      </w:tr>
      <w:tr>
        <w:trPr>
          <w:trHeight w:val="183"/>
        </w:trPr>
        <w:tc>
          <w:tcPr>
            <w:tcW w:w="70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 from financing activities:</w:t>
            </w:r>
          </w:p>
        </w:tc>
        <w:tc>
          <w:tcPr>
            <w:tcW w:w="11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Repurchase of common stock</w:t>
            </w:r>
          </w:p>
        </w:tc>
        <w:tc>
          <w:tcPr>
            <w:tcW w:w="1160" w:type="dxa"/>
            <w:vAlign w:val="bottom"/>
          </w:tcPr>
          <w:p>
            <w:pPr>
              <w:spacing w:after="0"/>
              <w:rPr>
                <w:sz w:val="16"/>
                <w:szCs w:val="16"/>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(10,577 )</w:t>
            </w:r>
          </w:p>
        </w:tc>
        <w:tc>
          <w:tcPr>
            <w:tcW w:w="7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withholding for employee tax obligations</w:t>
            </w:r>
          </w:p>
        </w:tc>
        <w:tc>
          <w:tcPr>
            <w:tcW w:w="1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(930 )</w:t>
            </w:r>
          </w:p>
        </w:tc>
        <w:tc>
          <w:tcPr>
            <w:tcW w:w="7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(552 )</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Repayment of notes payable</w:t>
            </w:r>
          </w:p>
        </w:tc>
        <w:tc>
          <w:tcPr>
            <w:tcW w:w="1160" w:type="dxa"/>
            <w:vAlign w:val="bottom"/>
          </w:tcPr>
          <w:p>
            <w:pPr>
              <w:spacing w:after="0"/>
              <w:rPr>
                <w:sz w:val="16"/>
                <w:szCs w:val="16"/>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6"/>
                <w:szCs w:val="16"/>
                <w:color w:val="auto"/>
              </w:rPr>
              <w:t>(368 )</w:t>
            </w:r>
          </w:p>
        </w:tc>
        <w:tc>
          <w:tcPr>
            <w:tcW w:w="760" w:type="dxa"/>
            <w:vAlign w:val="bottom"/>
          </w:tcPr>
          <w:p>
            <w:pPr>
              <w:spacing w:after="0"/>
              <w:rPr>
                <w:sz w:val="16"/>
                <w:szCs w:val="16"/>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Principal paid for finance lease</w:t>
            </w:r>
          </w:p>
        </w:tc>
        <w:tc>
          <w:tcPr>
            <w:tcW w:w="1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(230 )</w:t>
            </w:r>
          </w:p>
        </w:tc>
        <w:tc>
          <w:tcPr>
            <w:tcW w:w="76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1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public offerings of common stock, net of issuance costs</w:t>
            </w:r>
          </w:p>
        </w:tc>
        <w:tc>
          <w:tcPr>
            <w:tcW w:w="11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75,656</w:t>
            </w: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Proceeds from noncontrolling interest</w:t>
            </w:r>
          </w:p>
        </w:tc>
        <w:tc>
          <w:tcPr>
            <w:tcW w:w="1160" w:type="dxa"/>
            <w:vAlign w:val="bottom"/>
          </w:tcPr>
          <w:p>
            <w:pPr>
              <w:spacing w:after="0"/>
              <w:rPr>
                <w:sz w:val="16"/>
                <w:szCs w:val="16"/>
                <w:color w:val="auto"/>
              </w:rPr>
            </w:pPr>
          </w:p>
        </w:tc>
        <w:tc>
          <w:tcPr>
            <w:tcW w:w="10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r>
      <w:tr>
        <w:trPr>
          <w:trHeight w:val="189"/>
        </w:trPr>
        <w:tc>
          <w:tcPr>
            <w:tcW w:w="7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Borrowing under margin account</w:t>
            </w:r>
          </w:p>
        </w:tc>
        <w:tc>
          <w:tcPr>
            <w:tcW w:w="1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020" w:type="dxa"/>
            <w:vAlign w:val="bottom"/>
          </w:tcPr>
          <w:p>
            <w:pPr>
              <w:ind w:left="200"/>
              <w:spacing w:after="0" w:line="183" w:lineRule="exact"/>
              <w:rPr>
                <w:sz w:val="20"/>
                <w:szCs w:val="20"/>
                <w:color w:val="auto"/>
              </w:rPr>
            </w:pPr>
            <w:r>
              <w:rPr>
                <w:rFonts w:ascii="Arial" w:cs="Arial" w:eastAsia="Arial" w:hAnsi="Arial"/>
                <w:sz w:val="16"/>
                <w:szCs w:val="16"/>
                <w:color w:val="auto"/>
              </w:rPr>
              <w:t>Net cash (used in) provided by financing activities</w:t>
            </w:r>
          </w:p>
        </w:tc>
        <w:tc>
          <w:tcPr>
            <w:tcW w:w="1160" w:type="dxa"/>
            <w:vAlign w:val="bottom"/>
          </w:tcPr>
          <w:p>
            <w:pPr>
              <w:spacing w:after="0"/>
              <w:rPr>
                <w:sz w:val="15"/>
                <w:szCs w:val="15"/>
                <w:color w:val="auto"/>
              </w:rPr>
            </w:pPr>
          </w:p>
        </w:tc>
        <w:tc>
          <w:tcPr>
            <w:tcW w:w="104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(12,086 )</w:t>
            </w:r>
          </w:p>
        </w:tc>
        <w:tc>
          <w:tcPr>
            <w:tcW w:w="76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75,240</w:t>
            </w:r>
          </w:p>
        </w:tc>
        <w:tc>
          <w:tcPr>
            <w:tcW w:w="100" w:type="dxa"/>
            <w:vAlign w:val="bottom"/>
          </w:tcPr>
          <w:p>
            <w:pPr>
              <w:spacing w:after="0"/>
              <w:rPr>
                <w:sz w:val="15"/>
                <w:szCs w:val="15"/>
                <w:color w:val="auto"/>
              </w:rPr>
            </w:pPr>
          </w:p>
        </w:tc>
      </w:tr>
      <w:tr>
        <w:trPr>
          <w:trHeight w:val="183"/>
        </w:trPr>
        <w:tc>
          <w:tcPr>
            <w:tcW w:w="70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Effect of exchange rate changes on cash and cash equivalents</w:t>
            </w:r>
          </w:p>
        </w:tc>
        <w:tc>
          <w:tcPr>
            <w:tcW w:w="116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(561</w:t>
            </w:r>
          </w:p>
        </w:tc>
        <w:tc>
          <w:tcPr>
            <w:tcW w:w="300" w:type="dxa"/>
            <w:vAlign w:val="bottom"/>
            <w:tcBorders>
              <w:bottom w:val="single" w:sz="8" w:color="CFF0FC"/>
            </w:tcBorders>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0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Net (decrease) increase in cash and cash equivalents</w:t>
            </w:r>
          </w:p>
        </w:tc>
        <w:tc>
          <w:tcPr>
            <w:tcW w:w="1160" w:type="dxa"/>
            <w:vAlign w:val="bottom"/>
          </w:tcPr>
          <w:p>
            <w:pPr>
              <w:spacing w:after="0"/>
              <w:rPr>
                <w:sz w:val="15"/>
                <w:szCs w:val="15"/>
                <w:color w:val="auto"/>
              </w:rPr>
            </w:pPr>
          </w:p>
        </w:tc>
        <w:tc>
          <w:tcPr>
            <w:tcW w:w="1040" w:type="dxa"/>
            <w:vAlign w:val="bottom"/>
            <w:gridSpan w:val="2"/>
          </w:tcPr>
          <w:p>
            <w:pPr>
              <w:jc w:val="right"/>
              <w:ind w:right="159"/>
              <w:spacing w:after="0" w:line="183" w:lineRule="exact"/>
              <w:rPr>
                <w:sz w:val="20"/>
                <w:szCs w:val="20"/>
                <w:color w:val="auto"/>
              </w:rPr>
            </w:pPr>
            <w:r>
              <w:rPr>
                <w:rFonts w:ascii="Arial" w:cs="Arial" w:eastAsia="Arial" w:hAnsi="Arial"/>
                <w:sz w:val="16"/>
                <w:szCs w:val="16"/>
                <w:color w:val="auto"/>
              </w:rPr>
              <w:t>(26,114 )</w:t>
            </w:r>
          </w:p>
        </w:tc>
        <w:tc>
          <w:tcPr>
            <w:tcW w:w="760" w:type="dxa"/>
            <w:vAlign w:val="bottom"/>
          </w:tcPr>
          <w:p>
            <w:pPr>
              <w:spacing w:after="0"/>
              <w:rPr>
                <w:sz w:val="15"/>
                <w:szCs w:val="15"/>
                <w:color w:val="auto"/>
              </w:rPr>
            </w:pPr>
          </w:p>
        </w:tc>
        <w:tc>
          <w:tcPr>
            <w:tcW w:w="1160" w:type="dxa"/>
            <w:vAlign w:val="bottom"/>
          </w:tcPr>
          <w:p>
            <w:pPr>
              <w:jc w:val="right"/>
              <w:spacing w:after="0" w:line="183" w:lineRule="exact"/>
              <w:rPr>
                <w:sz w:val="20"/>
                <w:szCs w:val="20"/>
                <w:color w:val="auto"/>
              </w:rPr>
            </w:pPr>
            <w:r>
              <w:rPr>
                <w:rFonts w:ascii="Arial" w:cs="Arial" w:eastAsia="Arial" w:hAnsi="Arial"/>
                <w:sz w:val="16"/>
                <w:szCs w:val="16"/>
                <w:color w:val="auto"/>
              </w:rPr>
              <w:t>13,035</w:t>
            </w:r>
          </w:p>
        </w:tc>
        <w:tc>
          <w:tcPr>
            <w:tcW w:w="100" w:type="dxa"/>
            <w:vAlign w:val="bottom"/>
          </w:tcPr>
          <w:p>
            <w:pPr>
              <w:spacing w:after="0"/>
              <w:rPr>
                <w:sz w:val="15"/>
                <w:szCs w:val="15"/>
                <w:color w:val="auto"/>
              </w:rPr>
            </w:pPr>
          </w:p>
        </w:tc>
      </w:tr>
      <w:tr>
        <w:trPr>
          <w:trHeight w:val="189"/>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164,894</w:t>
            </w: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87,426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0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and cash equivalents at end of period</w:t>
            </w:r>
          </w:p>
        </w:tc>
        <w:tc>
          <w:tcPr>
            <w:tcW w:w="1160" w:type="dxa"/>
            <w:vAlign w:val="bottom"/>
            <w:tcBorders>
              <w:bottom w:val="single" w:sz="8" w:color="auto"/>
            </w:tcBorders>
          </w:tcPr>
          <w:p>
            <w:pPr>
              <w:jc w:val="right"/>
              <w:ind w:right="980"/>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138,780</w:t>
            </w:r>
          </w:p>
        </w:tc>
        <w:tc>
          <w:tcPr>
            <w:tcW w:w="300" w:type="dxa"/>
            <w:vAlign w:val="bottom"/>
          </w:tcPr>
          <w:p>
            <w:pPr>
              <w:spacing w:after="0"/>
              <w:rPr>
                <w:sz w:val="15"/>
                <w:szCs w:val="15"/>
                <w:color w:val="auto"/>
              </w:rPr>
            </w:pPr>
          </w:p>
        </w:tc>
        <w:tc>
          <w:tcPr>
            <w:tcW w:w="760" w:type="dxa"/>
            <w:vAlign w:val="bottom"/>
            <w:tcBorders>
              <w:bottom w:val="single" w:sz="8" w:color="auto"/>
            </w:tcBorders>
          </w:tcPr>
          <w:p>
            <w:pPr>
              <w:jc w:val="right"/>
              <w:ind w:right="57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100,461</w:t>
            </w:r>
          </w:p>
        </w:tc>
        <w:tc>
          <w:tcPr>
            <w:tcW w:w="100" w:type="dxa"/>
            <w:vAlign w:val="bottom"/>
          </w:tcPr>
          <w:p>
            <w:pPr>
              <w:spacing w:after="0"/>
              <w:rPr>
                <w:sz w:val="15"/>
                <w:szCs w:val="15"/>
                <w:color w:val="auto"/>
              </w:rPr>
            </w:pPr>
          </w:p>
        </w:tc>
      </w:tr>
      <w:tr>
        <w:trPr>
          <w:trHeight w:val="20"/>
        </w:trPr>
        <w:tc>
          <w:tcPr>
            <w:tcW w:w="7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7020" w:type="dxa"/>
            <w:vAlign w:val="bottom"/>
            <w:shd w:val="clear" w:color="auto" w:fill="CFF0FC"/>
          </w:tcPr>
          <w:p>
            <w:pPr>
              <w:ind w:left="20"/>
              <w:spacing w:after="0" w:line="170"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1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Income taxes paid</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54,982</w:t>
            </w:r>
          </w:p>
        </w:tc>
        <w:tc>
          <w:tcPr>
            <w:tcW w:w="300" w:type="dxa"/>
            <w:vAlign w:val="bottom"/>
          </w:tcPr>
          <w:p>
            <w:pPr>
              <w:spacing w:after="0"/>
              <w:rPr>
                <w:sz w:val="16"/>
                <w:szCs w:val="16"/>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119,980</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1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Purchases of fixed assets in accounts payable</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2,158</w:t>
            </w:r>
          </w:p>
        </w:tc>
        <w:tc>
          <w:tcPr>
            <w:tcW w:w="300" w:type="dxa"/>
            <w:vAlign w:val="bottom"/>
          </w:tcPr>
          <w:p>
            <w:pPr>
              <w:spacing w:after="0"/>
              <w:rPr>
                <w:sz w:val="16"/>
                <w:szCs w:val="16"/>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fixed assets in notes payable</w:t>
            </w:r>
          </w:p>
        </w:tc>
        <w:tc>
          <w:tcPr>
            <w:tcW w:w="1160" w:type="dxa"/>
            <w:vAlign w:val="bottom"/>
            <w:shd w:val="clear" w:color="auto" w:fill="CFF0FC"/>
          </w:tcPr>
          <w:p>
            <w:pPr>
              <w:jc w:val="right"/>
              <w:ind w:right="98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3,833</w:t>
            </w:r>
          </w:p>
        </w:tc>
        <w:tc>
          <w:tcPr>
            <w:tcW w:w="30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020" w:type="dxa"/>
            <w:vAlign w:val="bottom"/>
          </w:tcPr>
          <w:p>
            <w:pPr>
              <w:ind w:left="200"/>
              <w:spacing w:after="0"/>
              <w:rPr>
                <w:sz w:val="20"/>
                <w:szCs w:val="20"/>
                <w:color w:val="auto"/>
              </w:rPr>
            </w:pPr>
            <w:r>
              <w:rPr>
                <w:rFonts w:ascii="Arial" w:cs="Arial" w:eastAsia="Arial" w:hAnsi="Arial"/>
                <w:sz w:val="16"/>
                <w:szCs w:val="16"/>
                <w:color w:val="auto"/>
              </w:rPr>
              <w:t>Operating lease right-of-use assets obtained in exchange for lease liabilities</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6"/>
                <w:szCs w:val="16"/>
                <w:color w:val="auto"/>
              </w:rPr>
            </w:pPr>
          </w:p>
        </w:tc>
      </w:tr>
      <w:tr>
        <w:trPr>
          <w:trHeight w:val="189"/>
        </w:trPr>
        <w:tc>
          <w:tcPr>
            <w:tcW w:w="70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right-of-use assets reduced due to lease modification and termination</w:t>
            </w:r>
          </w:p>
        </w:tc>
        <w:tc>
          <w:tcPr>
            <w:tcW w:w="1160" w:type="dxa"/>
            <w:vAlign w:val="bottom"/>
            <w:shd w:val="clear" w:color="auto" w:fill="CFF0FC"/>
          </w:tcPr>
          <w:p>
            <w:pPr>
              <w:jc w:val="right"/>
              <w:ind w:right="980"/>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FF0FC"/>
          </w:tcPr>
          <w:p>
            <w:pPr>
              <w:spacing w:after="0"/>
              <w:rPr>
                <w:sz w:val="16"/>
                <w:szCs w:val="16"/>
                <w:color w:val="auto"/>
              </w:rPr>
            </w:pPr>
          </w:p>
        </w:tc>
      </w:tr>
      <w:tr>
        <w:trPr>
          <w:trHeight w:val="206"/>
        </w:trPr>
        <w:tc>
          <w:tcPr>
            <w:tcW w:w="7020" w:type="dxa"/>
            <w:vAlign w:val="bottom"/>
          </w:tcPr>
          <w:p>
            <w:pPr>
              <w:ind w:left="200"/>
              <w:spacing w:after="0"/>
              <w:rPr>
                <w:sz w:val="20"/>
                <w:szCs w:val="20"/>
                <w:color w:val="auto"/>
              </w:rPr>
            </w:pPr>
            <w:r>
              <w:rPr>
                <w:rFonts w:ascii="Arial" w:cs="Arial" w:eastAsia="Arial" w:hAnsi="Arial"/>
                <w:sz w:val="16"/>
                <w:szCs w:val="16"/>
                <w:color w:val="auto"/>
              </w:rPr>
              <w:t>Public offerings costs included in accounts payable</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-4062095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-4062095</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-2844800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-2844800</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-1627505</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-1627505</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-1370330</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-1370330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-1122045</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FULGENT GENETICS,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108"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significant intercompany accounts and transactions are eliminated from the accompanying condensed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Fulgent Genetics, Inc., together with its subsidiaries and affiliated professional corporations, or PCs, collectively referred to as the Company, unless otherwise noted or the context otherwise requires, is a technology company offering large-scale COVID-19 testing services, molecular diagnostic testing services and comprehensive genetic testing designed to provide physicians with clinically actionable diagnostic information to improve the quality of patient care. A cornerstone of the Company’s business is its ability to provide expansive options and flexibility for all clients’ unique testing needs. To this end, the Company has developed a proprietary technology platform allowing it to offer a broad and flexible test menu and to continually expand and improve its proprietary genetic reference library, while maintaining accessible pricing, high accuracy and competitive turnaround times. Combining next generation sequencing, or NGS, with its technology platform, the Company performs full-gene sequencing with deletion/duplication analysis in single-gene tests; pre-established, multi-gene, disease-specific panels; and customized panels that can be tailored to meet specific customer needs.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04" w:lineRule="exact"/>
        <w:rPr>
          <w:sz w:val="20"/>
          <w:szCs w:val="20"/>
          <w:color w:val="auto"/>
        </w:rPr>
      </w:pPr>
    </w:p>
    <w:p>
      <w:pPr>
        <w:jc w:val="both"/>
        <w:ind w:right="20" w:firstLine="509"/>
        <w:spacing w:after="0" w:line="269" w:lineRule="auto"/>
        <w:rPr>
          <w:sz w:val="20"/>
          <w:szCs w:val="20"/>
          <w:color w:val="auto"/>
        </w:rPr>
      </w:pPr>
      <w:r>
        <w:rPr>
          <w:rFonts w:ascii="Arial" w:cs="Arial" w:eastAsia="Arial" w:hAnsi="Arial"/>
          <w:sz w:val="16"/>
          <w:szCs w:val="16"/>
          <w:color w:val="auto"/>
        </w:rPr>
        <w:t>The accompanying unaudited interim condensed consolidated financial statements have been prepared on the same basis as the Company’s audited consolidated financial statements as of and for the fiscal year ended December 31, 2021, which are included in the Company’s annual report on Form 10-K filed with the Securities and Exchange Commission, or SEC, on February 28, 2022, or the 2021 Annual Report, and, in the opinion of management, include all adjustments, which are normal and recurring in nature, necessary for a fair presentation of the Company’s financial position and results of operations.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results for interim periods are not necessarily indicative of the results that may be expected for a full fiscal year or any other period. The accompanying Condensed Consolidated Balance Sheet as of December 31, 2021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2021 Annual Report, including the notes thereto.</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See the summary of the Company’s significant accounting policies set forth in the notes to its consolidated financial statements included in the 2021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the Company’s estimates and assumptions may evolve as conditions change. Actual results could differ significantly from these estimates.</w:t>
      </w:r>
    </w:p>
    <w:p>
      <w:pPr>
        <w:spacing w:after="0" w:line="19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On an on-going basis, management evaluates its estimates, primarily those related to: (i) revenue recognition criteria; (ii) accounts receivable and allowances for credit losses; (iii) the useful lives of fixed assets and intangible assets; (iv) estimates of tax liabilities; and (v) valuation of intangible assets and goodwill.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0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All marketable debt securities, which consist of corporate debt securities, municipal bonds, U.S. government and agency debt securities, U.S. treasury bills, and Yankee debt securities issued by foreign governments or entities and denominated in U.S. dollars have been classified as “available-for-sale,” and are carried at fair value. Net unrealized gains and losses, net of any related tax effects, are excluded from earnings and are included in other comprehensive income (loss) and reported as a separate component of stockholders’ equity until realized. Realized gains and losses on marketable debt securities are included in interest and other income, net, in the accompanying Condensed Consolidated Statements of Income.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w:t>
      </w:r>
    </w:p>
    <w:p>
      <w:pPr>
        <w:spacing w:after="0" w:line="191"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auto"/>
        </w:rPr>
        <w:t>The Company’s investments in marketable equity securities are measured at fair value with the related gains and losses, realized and unrealized, recognized in interest and other income, net, in the accompanying Condensed Consolidated Statements of Income. The cost of any marketable equity securities sold is based on the specific-identification method.</w:t>
      </w:r>
    </w:p>
    <w:p>
      <w:pPr>
        <w:spacing w:after="0" w:line="182" w:lineRule="exact"/>
        <w:rPr>
          <w:sz w:val="20"/>
          <w:szCs w:val="20"/>
          <w:color w:val="auto"/>
        </w:rPr>
      </w:pPr>
    </w:p>
    <w:p>
      <w:pPr>
        <w:ind w:right="120" w:firstLine="509"/>
        <w:spacing w:after="0" w:line="274" w:lineRule="auto"/>
        <w:rPr>
          <w:sz w:val="20"/>
          <w:szCs w:val="20"/>
          <w:color w:val="auto"/>
        </w:rPr>
      </w:pPr>
      <w:r>
        <w:rPr>
          <w:rFonts w:ascii="Arial" w:cs="Arial" w:eastAsia="Arial" w:hAnsi="Arial"/>
          <w:sz w:val="16"/>
          <w:szCs w:val="16"/>
          <w:color w:val="auto"/>
        </w:rPr>
        <w:t>For available-for-sale debt securities, in an unrealized loss, the Company determines whether a credit loss exists. The credit loss is estimated by considering available information relevant to the collectability of the security and information about past events, current conditions, and reasonable and supportable forecasts. The Company compares the present value of cash flows expected to be collected from the security with the amortized cost basis of the security. If the present value of cash flows to be collected is less than the amortized basis of the security, a credit loss exists, and any credit loss is recorded as a charge to interest and other income, net, not to exceed the amount of the unrealized loss. If the Company has an intent to sell, or if it is more likely than not that the Company will be required to sell a debt security in an unrealized loss position before recovery of its amortized cost basis, the Company will write down the security to its fair value and record the corresponding charge as a component of interest and other income, net.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and Allowance for Credit Losses</w:t>
      </w:r>
    </w:p>
    <w:p>
      <w:pPr>
        <w:spacing w:after="0" w:line="104" w:lineRule="exact"/>
        <w:rPr>
          <w:sz w:val="20"/>
          <w:szCs w:val="20"/>
          <w:color w:val="auto"/>
        </w:rPr>
      </w:pPr>
    </w:p>
    <w:p>
      <w:pPr>
        <w:ind w:right="80" w:firstLine="509"/>
        <w:spacing w:after="0" w:line="269" w:lineRule="auto"/>
        <w:rPr>
          <w:sz w:val="20"/>
          <w:szCs w:val="20"/>
          <w:color w:val="auto"/>
        </w:rPr>
      </w:pPr>
      <w:r>
        <w:rPr>
          <w:rFonts w:ascii="Arial" w:cs="Arial" w:eastAsia="Arial" w:hAnsi="Arial"/>
          <w:sz w:val="16"/>
          <w:szCs w:val="16"/>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Income.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updates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 During the three and six months ended June 30, 2022, the Company recorded $7.2 million and $18.7 million of provision for credit losses for trade accounts receivable, respectively. During the three and six months ended June 30, 2021, the Company recorded $2.2 million and $3.3 million of provision for credit losses for trade accounts receivable,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Preferred Stock Investment</w:t>
      </w:r>
    </w:p>
    <w:p>
      <w:pPr>
        <w:spacing w:after="0" w:line="10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The redeemable preferred stock investment of $12.0 million as of June 30, 2022 represents the fair value of redeemable preferred stock of a private company, that the Company purchased in July 2021. The investment is classified as available-for-sale debt securities. The fair value of available-for-sale debt security is included in the Consolidated Statement of Balance Sheets. Unrealized loss of $8.0 million is excluded from earnings and reported in other comprehensive income (loss) as of June 30, 2022. Since the Company intends on holding the preferred stock, and the preferred stock is not redeemable until July 2027, the investment is recorded as a long-term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Foreign Currency Transactions</w:t>
      </w:r>
    </w:p>
    <w:p>
      <w:pPr>
        <w:spacing w:after="0" w:line="104"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Condensed Consolidated Statements of Stockholders’ Equity. Loss from these translations were $1.9 million and $1.8 million in the three and six months ended June 30, 2022, respectively. Gain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right="80"/>
        <w:spacing w:after="0" w:line="243" w:lineRule="auto"/>
        <w:rPr>
          <w:sz w:val="20"/>
          <w:szCs w:val="20"/>
          <w:color w:val="auto"/>
        </w:rPr>
      </w:pPr>
      <w:r>
        <w:rPr>
          <w:rFonts w:ascii="Arial" w:cs="Arial" w:eastAsia="Arial" w:hAnsi="Arial"/>
          <w:sz w:val="18"/>
          <w:szCs w:val="18"/>
          <w:color w:val="auto"/>
        </w:rPr>
        <w:t>from these translations were not significant in the three and six months ended June 30, 2021. The Company and its subsidiaries that use the U.S. dollar as their functional currency remeasure monetary assets and liabilities at exchange rates in effect at the end of each period, whereas reagents and supplies, property and nonmonetary assets and liabilities are measured at historical rates. Losses from these remeasurements were not significant in the three and six months ended June 30, 2022 and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04"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Comprehensive income (loss) is comprised of net income (loss) and other comprehensive income (loss). Other comprehensive income (loss) consists of net unrealized gain or loss on available-for-sale debt securities, net of tax, and foreign currency translation adjustments from the Company's subsidiaries not using the U.S. dollar as their functional currency. Reclassifications from other comprehensive income (loss) to net earnings were not significant in the three and six months ended June 30, 2022 and 2021. The tax effects related to net unrealized loss on available-for-sale debt securities were $1.3 million and $5.8 million in the three and six months ended June 30, 2022, respectively. The tax effects were not significant in the three and six months ended June 30, 2021.</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and finance lease right-of-use assets, or ROU assets, short-term lease liabilities, and long-term lease liabilities are included in other long-term assets, accrued liabilities, and other long-term liabilities, respectively, in the accompanying Condensed Consolidated Balance Sheets.</w:t>
      </w:r>
    </w:p>
    <w:p>
      <w:pPr>
        <w:spacing w:after="0" w:line="172"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Lease ROU assets represent the Company’s right to use an underlying asset for the lease term. Lease liabilities represent the Company’s obligation to make lease payments arising from the lease.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since its leases do not provide an implicit rate. Lease ROU assets consist of initial measurement of lease liabilities, any lease payments made to lessor on or before the lease commencement date, minus any lease incentive received, and any initial direct costs incurred by the Company. Operating lease expense for lease payments is recognized on a straight-line basis over the lease term. For finance lease, ROU assets are amortized on a straight-line basis from the commencement date to the earlier of the end of useful life of the ROU assets or the end of the lease term. Amortization of ROU assets and interest on the lease liability for finance leases are included as charges to the accompanying Condensed Consolidated Statements of Income.</w:t>
      </w:r>
    </w:p>
    <w:p>
      <w:pPr>
        <w:spacing w:after="0" w:line="180"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Lease ROU assets and liabilities arising from business combinations are recognized and measured at the acquisition dates as if an acquired lease were a new lease at the date of acquisition using the Company’s incremental borrowing rate unless the discount rate is implicit in the lease. The Company elects to not to recognize assets or liabilities as of the acquisition dates for leases that, on the acquisition dates, have a remaining lease term of 12 months or less. The Company also retains the acquirees’ classification of the leases if there are no modifications as part of the business combinations.</w:t>
      </w:r>
    </w:p>
    <w:p>
      <w:pPr>
        <w:spacing w:after="0" w:line="155"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The Company leases and subleases out space in buildings it owns or leases to third-party tenants or subtenants under noncancelable operating leases. The Company recognizes lease payments as income over the lease terms on a straight-line basis and recognizes variable lease payments as income in the period in which the changes in facts and circumstances on which the variable lease payments are based occur. The net rental income is included in the interest and other income, net, in the accompanying Condensed Consolidated Statement of Income.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10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In certain periods, a small number of customers has accounted for a significant portion of the Company’s revenue. After aggregating customers that are under common control or affiliation, two customers contributed 15% and 12% of the Company's revenue for the three months ended June 30, 2022, respectively, and one customer contributed 23% of the Company's revenue for the six months ended June 30, 2022. Two customers contributed 20% and 16% of the Company’s revenue for the three months ended June 30, 2021, respectively, and two customers contributed 24% and 11% of the Company’s revenue for the six months ended June 30, 2021, respectively. No customer comprised 10% or more of total accounts receivable as of June 30, 2022 and December 31, 2021.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04" w:lineRule="exact"/>
        <w:rPr>
          <w:sz w:val="20"/>
          <w:szCs w:val="20"/>
          <w:color w:val="auto"/>
        </w:rPr>
      </w:pPr>
    </w:p>
    <w:p>
      <w:pPr>
        <w:ind w:right="280" w:firstLine="509"/>
        <w:spacing w:after="0" w:line="259" w:lineRule="auto"/>
        <w:rPr>
          <w:sz w:val="20"/>
          <w:szCs w:val="20"/>
          <w:color w:val="auto"/>
        </w:rPr>
      </w:pPr>
      <w:r>
        <w:rPr>
          <w:rFonts w:ascii="Arial" w:cs="Arial" w:eastAsia="Arial" w:hAnsi="Arial"/>
          <w:sz w:val="17"/>
          <w:szCs w:val="17"/>
          <w:color w:val="auto"/>
        </w:rPr>
        <w:t>The Company classifies its customers into three payor types: (i) Insurance, including claim reimbursement from the U.S. Health Resources and Services Administration, or HRSA, for uninsured individuals, (ii) Institutional customers,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 economic factors. The following table summarizes revenue from contracts with customers by payor type for the three and six months ended June 30,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209"/>
        </w:trPr>
        <w:tc>
          <w:tcPr>
            <w:tcW w:w="4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188"/>
        </w:trPr>
        <w:tc>
          <w:tcPr>
            <w:tcW w:w="4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thousands)</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Testing Services by payor</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Insurance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63,790</w:t>
            </w:r>
          </w:p>
        </w:tc>
        <w:tc>
          <w:tcPr>
            <w:tcW w:w="6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49,520</w:t>
            </w:r>
          </w:p>
        </w:tc>
        <w:tc>
          <w:tcPr>
            <w:tcW w:w="7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274,467</w:t>
            </w:r>
          </w:p>
        </w:tc>
        <w:tc>
          <w:tcPr>
            <w:tcW w:w="6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257,078</w:t>
            </w:r>
          </w:p>
        </w:tc>
        <w:tc>
          <w:tcPr>
            <w:tcW w:w="100" w:type="dxa"/>
            <w:vAlign w:val="bottom"/>
          </w:tcPr>
          <w:p>
            <w:pPr>
              <w:spacing w:after="0"/>
              <w:rPr>
                <w:sz w:val="17"/>
                <w:szCs w:val="17"/>
                <w:color w:val="auto"/>
              </w:rPr>
            </w:pPr>
          </w:p>
        </w:tc>
      </w:tr>
      <w:tr>
        <w:trPr>
          <w:trHeight w:val="203"/>
        </w:trPr>
        <w:tc>
          <w:tcPr>
            <w:tcW w:w="4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Institutional customers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61,232</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103,602</w:t>
            </w:r>
          </w:p>
        </w:tc>
        <w:tc>
          <w:tcPr>
            <w:tcW w:w="3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170,700</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255,171</w:t>
            </w:r>
          </w:p>
        </w:tc>
        <w:tc>
          <w:tcPr>
            <w:tcW w:w="100" w:type="dxa"/>
            <w:vAlign w:val="bottom"/>
            <w:shd w:val="clear" w:color="auto" w:fill="CFF0FC"/>
          </w:tcPr>
          <w:p>
            <w:pPr>
              <w:spacing w:after="0"/>
              <w:rPr>
                <w:sz w:val="17"/>
                <w:szCs w:val="17"/>
                <w:color w:val="auto"/>
              </w:rPr>
            </w:pPr>
          </w:p>
        </w:tc>
      </w:tr>
      <w:tr>
        <w:trPr>
          <w:trHeight w:val="203"/>
        </w:trPr>
        <w:tc>
          <w:tcPr>
            <w:tcW w:w="4660" w:type="dxa"/>
            <w:vAlign w:val="bottom"/>
          </w:tcPr>
          <w:p>
            <w:pPr>
              <w:ind w:left="200"/>
              <w:spacing w:after="0" w:line="202" w:lineRule="exact"/>
              <w:rPr>
                <w:sz w:val="20"/>
                <w:szCs w:val="20"/>
                <w:color w:val="auto"/>
              </w:rPr>
            </w:pPr>
            <w:r>
              <w:rPr>
                <w:rFonts w:ascii="Arial" w:cs="Arial" w:eastAsia="Arial" w:hAnsi="Arial"/>
                <w:sz w:val="18"/>
                <w:szCs w:val="18"/>
                <w:color w:val="auto"/>
              </w:rPr>
              <w:t>Patients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494</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442</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796</w:t>
            </w:r>
          </w:p>
        </w:tc>
        <w:tc>
          <w:tcPr>
            <w:tcW w:w="100" w:type="dxa"/>
            <w:vAlign w:val="bottom"/>
          </w:tcPr>
          <w:p>
            <w:pPr>
              <w:spacing w:after="0"/>
              <w:rPr>
                <w:sz w:val="17"/>
                <w:szCs w:val="17"/>
                <w:color w:val="auto"/>
              </w:rPr>
            </w:pPr>
          </w:p>
        </w:tc>
      </w:tr>
      <w:tr>
        <w:trPr>
          <w:trHeight w:val="236"/>
        </w:trPr>
        <w:tc>
          <w:tcPr>
            <w:tcW w:w="46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125,341</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153,616</w:t>
            </w:r>
          </w:p>
        </w:tc>
        <w:tc>
          <w:tcPr>
            <w:tcW w:w="3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center"/>
              <w:ind w:right="25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445,609</w:t>
            </w:r>
          </w:p>
        </w:tc>
        <w:tc>
          <w:tcPr>
            <w:tcW w:w="2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513,045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-25400</wp:posOffset>
            </wp:positionV>
            <wp:extent cx="7747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right="60" w:firstLine="509"/>
        <w:spacing w:after="0" w:line="270" w:lineRule="auto"/>
        <w:rPr>
          <w:sz w:val="20"/>
          <w:szCs w:val="20"/>
          <w:color w:val="auto"/>
        </w:rPr>
      </w:pPr>
      <w:r>
        <w:rPr>
          <w:rFonts w:ascii="Arial" w:cs="Arial" w:eastAsia="Arial" w:hAnsi="Arial"/>
          <w:sz w:val="17"/>
          <w:szCs w:val="17"/>
          <w:color w:val="auto"/>
        </w:rPr>
        <w:t>The insurance revenue category above includes zero and $37.1 million for the three months ended June 30, 2022 and 2021, respectively, and $106.7 million and $149.9 million for the six months ended June 30, 2022 and 2021, respectively, for services related to claims covered by the HRSA COVID-19 Uninsured Program. The HRSA program stopped accepting claims at 11:59 p.m. on March 22, 2022.</w:t>
      </w:r>
    </w:p>
    <w:p>
      <w:pPr>
        <w:spacing w:after="0" w:line="164"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There was no material variable consideration recognized in the current period that relates to performance obligations that were completed in the prior period.</w:t>
      </w:r>
    </w:p>
    <w:p>
      <w:pPr>
        <w:spacing w:after="0" w:line="171"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Collection of the Company’s net revenues from insurers is normally a function of providing complete and correct billing information within the various filing deadlines. Provided the Company has billed insurers accurately with complete information prior to the established filing deadline, there has historically been little to no credit risk. If there has been a delay in billing, the Company determines if the amounts in question will likely go past the filing deadline, and if so, the Company will reserve accordingly for the billing.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i w:val="1"/>
          <w:iCs w:val="1"/>
          <w:color w:val="auto"/>
        </w:rPr>
        <w:t xml:space="preserve">Receivables from contracts with customers - </w:t>
      </w:r>
      <w:r>
        <w:rPr>
          <w:rFonts w:ascii="Arial" w:cs="Arial" w:eastAsia="Arial" w:hAnsi="Arial"/>
          <w:sz w:val="17"/>
          <w:szCs w:val="17"/>
          <w:color w:val="auto"/>
        </w:rPr>
        <w:t>Receivables from contracts with customers are included within trade accounts receivable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Balance Sheets. Net receivable from Insurance and Institutional customers represented 76% and 24%, respectively, as of June 30, 2022. Net receivable from Insurance and Institutional customers represented 47% and 53%, respectively, as of December 31, 2021.</w:t>
      </w:r>
    </w:p>
    <w:p>
      <w:pPr>
        <w:spacing w:after="0" w:line="164" w:lineRule="exact"/>
        <w:rPr>
          <w:sz w:val="20"/>
          <w:szCs w:val="20"/>
          <w:color w:val="auto"/>
        </w:rPr>
      </w:pPr>
    </w:p>
    <w:p>
      <w:pPr>
        <w:ind w:right="60" w:firstLine="509"/>
        <w:spacing w:after="0"/>
        <w:rPr>
          <w:sz w:val="20"/>
          <w:szCs w:val="20"/>
          <w:color w:val="auto"/>
        </w:rPr>
      </w:pPr>
      <w:r>
        <w:rPr>
          <w:rFonts w:ascii="Arial" w:cs="Arial" w:eastAsia="Arial" w:hAnsi="Arial"/>
          <w:sz w:val="18"/>
          <w:szCs w:val="18"/>
          <w:i w:val="1"/>
          <w:iCs w:val="1"/>
          <w:color w:val="auto"/>
        </w:rPr>
        <w:t xml:space="preserve">Contracts assets and liabilities </w:t>
      </w:r>
      <w:r>
        <w:rPr>
          <w:rFonts w:ascii="Arial" w:cs="Arial" w:eastAsia="Arial" w:hAnsi="Arial"/>
          <w:sz w:val="18"/>
          <w:szCs w:val="18"/>
          <w:color w:val="auto"/>
        </w:rPr>
        <w:t>- Contract assets from contracts with customers associated with contract execution and certain costs to fulfill a</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are included in other current assets in the accompanying Condensed Consolidated Balance Sheets. Contract liabilities are recorded when the Company receives payment prior to completing its obligation to transfer goods or services to a customer. Contract liabilities are included in the Condensed Consolidated Balance Sheets. Revenues of $4.7 million and $1.7 million were recognized for the three months ended June 30, 2022 and 2021, respectively, and $14.4 million and $25.5 million for the six months were recognized for the six months ended June 30, 2022 and 2021, respectively, related to contract liabilities at the beginning of the respective periods.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Reagents and Supplies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Company maintains reagents and other consumables primarily used in sample collections and testing which are valued at the lower of cost or net realizable value. Cost is determined using actual costs on a first-in, first-out basis. The reagents and supplies were included in other current assets in the accompanying Condensed Consolidated Balance Sheets.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Deposit</w:t>
      </w:r>
    </w:p>
    <w:p>
      <w:pPr>
        <w:spacing w:after="0" w:line="10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Customer deposit in the accompanying Condensed Consolidated Balance Sheets consists primarily of payments received from customers in excess of their outstanding trade accounts receivable balances, and the excess payments will be refunded to the customers or offset against future testing receivables.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Company uses the acquisition method of accounting and allocates the fair value of purchase consideration to the assets acquired and liabilities assumed from an acquiree based on their respective fair values as of the acquisition date. The excess of the fair value of purchase consideration over the fair value of these assets acquired and liabilities assumed is recorded as goodwill. When determining the fair values of assets acquired and liabilities assumed, management makes significant estimates and assumptions, especially with respect to intangible assets. Critical estimates in valuing intangible assets include, but are not limited to, expected future cash flows, which includes consideration of future growth and margins, future changes in technology, expected cost and time to develop in-process research and development, brand awareness and discount rates. Fair value estimates are based on the assumptions that management believes a market participant would use in pricing the asset or liability.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Goodwill is not amortized but is subject to impairment tests on an annual basis, or more frequently if indicators of potential impairment exist, and goodwill is written down when it is determined to be impaired. The Company typically performs an annual impairment review in the fourth quarter of each fiscal year unless one had been performed previously within the past 12 months and compares the fair value of the reporting unit in which the goodwill resides to its carrying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04"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Restructuring costs represent one-time employee termination benefits provided to employees associated with a newly acquired entity that were involuntarily terminated. A plan of termination was approved and authorized by management in the second quarter of 2022. The plan identified specific employees to be terminated and established terms of benefits those employees would receive upon termination. Total restructuring costs incurred in the three and six months ended June 30, 2022 were $2.9 million, and payable balance as of June 30, 2022 was $2.7 million, which is included in accrued liabilities in the accompanying Condensed Consolidated Balance Sheets. The plan of termination is expected to be completed by September 2022. There were no such costs prior to the second quarter of 2022.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The Company evaluates all Accounting Standards Updates, or ASUs, issued by the Financial Accounting Standards Board, or FASB, for consideration of their applicability. ASUs not included in the Company’s disclosures were assessed and determined to be either not applicable or are not expected to have a material impact on the Company’s condensed consolidated financial statements.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Equity and Debt Securities</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equity and debt securities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90"/>
              </w:rPr>
              <w:t>June 30, 2022</w:t>
            </w: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right"/>
              <w:ind w:right="640"/>
              <w:spacing w:after="0" w:line="133" w:lineRule="exact"/>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1"/>
                <w:szCs w:val="11"/>
                <w:color w:val="auto"/>
              </w:rPr>
            </w:pPr>
          </w:p>
        </w:tc>
        <w:tc>
          <w:tcPr>
            <w:tcW w:w="1220" w:type="dxa"/>
            <w:vAlign w:val="bottom"/>
          </w:tcPr>
          <w:p>
            <w:pPr>
              <w:jc w:val="right"/>
              <w:ind w:right="313"/>
              <w:spacing w:after="0" w:line="133"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gridSpan w:val="3"/>
          </w:tcPr>
          <w:p>
            <w:pPr>
              <w:jc w:val="right"/>
              <w:ind w:right="880"/>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80" w:type="dxa"/>
            <w:vAlign w:val="bottom"/>
          </w:tcPr>
          <w:p>
            <w:pPr>
              <w:jc w:val="right"/>
              <w:ind w:right="372"/>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Cost Basis</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13"/>
              <w:spacing w:after="0"/>
              <w:rPr>
                <w:sz w:val="20"/>
                <w:szCs w:val="20"/>
                <w:color w:val="auto"/>
              </w:rPr>
            </w:pPr>
            <w:r>
              <w:rPr>
                <w:rFonts w:ascii="Arial" w:cs="Arial" w:eastAsia="Arial" w:hAnsi="Arial"/>
                <w:sz w:val="14"/>
                <w:szCs w:val="14"/>
                <w:b w:val="1"/>
                <w:bCs w:val="1"/>
                <w:color w:val="auto"/>
              </w:rPr>
              <w:t>(in</w:t>
            </w:r>
          </w:p>
        </w:tc>
        <w:tc>
          <w:tcPr>
            <w:tcW w:w="1620" w:type="dxa"/>
            <w:vAlign w:val="bottom"/>
            <w:gridSpan w:val="3"/>
          </w:tcPr>
          <w:p>
            <w:pPr>
              <w:jc w:val="center"/>
              <w:ind w:right="932"/>
              <w:spacing w:after="0"/>
              <w:rPr>
                <w:sz w:val="20"/>
                <w:szCs w:val="20"/>
                <w:color w:val="auto"/>
              </w:rPr>
            </w:pPr>
            <w:r>
              <w:rPr>
                <w:rFonts w:ascii="Arial" w:cs="Arial" w:eastAsia="Arial" w:hAnsi="Arial"/>
                <w:sz w:val="14"/>
                <w:szCs w:val="14"/>
                <w:b w:val="1"/>
                <w:bCs w:val="1"/>
                <w:color w:val="auto"/>
                <w:w w:val="79"/>
              </w:rPr>
              <w:t>thousands)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Investment in private equity securities</w:t>
            </w: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15,000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20" w:type="dxa"/>
            <w:vAlign w:val="bottom"/>
          </w:tcPr>
          <w:p>
            <w:pPr>
              <w:ind w:left="560"/>
              <w:spacing w:after="0" w:line="196" w:lineRule="exact"/>
              <w:rPr>
                <w:sz w:val="20"/>
                <w:szCs w:val="20"/>
                <w:color w:val="auto"/>
              </w:rPr>
            </w:pPr>
            <w:r>
              <w:rPr>
                <w:rFonts w:ascii="Arial" w:cs="Arial" w:eastAsia="Arial" w:hAnsi="Arial"/>
                <w:sz w:val="18"/>
                <w:szCs w:val="18"/>
                <w:color w:val="auto"/>
              </w:rPr>
              <w:t>Total equity securities</w:t>
            </w: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15,000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3"/>
          </w:tcPr>
          <w:p>
            <w:pPr>
              <w:jc w:val="right"/>
              <w:ind w:right="56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15,000</w:t>
            </w: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2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200"/>
              <w:spacing w:after="0" w:line="202" w:lineRule="exact"/>
              <w:rPr>
                <w:sz w:val="20"/>
                <w:szCs w:val="20"/>
                <w:color w:val="auto"/>
              </w:rPr>
            </w:pPr>
            <w:r>
              <w:rPr>
                <w:rFonts w:ascii="Arial" w:cs="Arial" w:eastAsia="Arial" w:hAnsi="Arial"/>
                <w:sz w:val="18"/>
                <w:szCs w:val="18"/>
                <w:color w:val="auto"/>
              </w:rPr>
              <w:t>Short-term</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government debt securities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142,434</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(1,375 )</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141,059</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127,706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(1,755 )</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125,951</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treasury bills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59,479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(218 )</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59,261</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380"/>
              <w:spacing w:after="0" w:line="202" w:lineRule="exact"/>
              <w:rPr>
                <w:sz w:val="20"/>
                <w:szCs w:val="20"/>
                <w:color w:val="auto"/>
              </w:rPr>
            </w:pPr>
            <w:r>
              <w:rPr>
                <w:rFonts w:ascii="Arial" w:cs="Arial" w:eastAsia="Arial" w:hAnsi="Arial"/>
                <w:sz w:val="18"/>
                <w:szCs w:val="18"/>
                <w:color w:val="auto"/>
              </w:rPr>
              <w:t>Money market accounts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44,209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44,209</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agency debt securities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32,507</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(448 )</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32,059</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380"/>
              <w:spacing w:after="0" w:line="202" w:lineRule="exact"/>
              <w:rPr>
                <w:sz w:val="20"/>
                <w:szCs w:val="20"/>
                <w:color w:val="auto"/>
              </w:rPr>
            </w:pPr>
            <w:r>
              <w:rPr>
                <w:rFonts w:ascii="Arial" w:cs="Arial" w:eastAsia="Arial" w:hAnsi="Arial"/>
                <w:sz w:val="18"/>
                <w:szCs w:val="18"/>
                <w:color w:val="auto"/>
              </w:rPr>
              <w:t>Yankee debt securities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11,286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(159 )</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11,127</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7,228</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(63 )</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7,165</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380"/>
              <w:spacing w:after="0" w:line="202" w:lineRule="exact"/>
              <w:rPr>
                <w:sz w:val="20"/>
                <w:szCs w:val="20"/>
                <w:color w:val="auto"/>
              </w:rPr>
            </w:pPr>
            <w:r>
              <w:rPr>
                <w:rFonts w:ascii="Arial" w:cs="Arial" w:eastAsia="Arial" w:hAnsi="Arial"/>
                <w:sz w:val="18"/>
                <w:szCs w:val="18"/>
                <w:color w:val="auto"/>
              </w:rPr>
              <w:t>Less: Cash equivalents</w:t>
            </w:r>
          </w:p>
        </w:tc>
        <w:tc>
          <w:tcPr>
            <w:tcW w:w="220" w:type="dxa"/>
            <w:vAlign w:val="bottom"/>
          </w:tcPr>
          <w:p>
            <w:pPr>
              <w:spacing w:after="0"/>
              <w:rPr>
                <w:sz w:val="17"/>
                <w:szCs w:val="17"/>
                <w:color w:val="auto"/>
              </w:rPr>
            </w:pPr>
          </w:p>
        </w:tc>
        <w:tc>
          <w:tcPr>
            <w:tcW w:w="14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(44,209 )</w:t>
            </w: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(44,209 )</w:t>
            </w:r>
          </w:p>
        </w:tc>
      </w:tr>
      <w:tr>
        <w:trPr>
          <w:trHeight w:val="196"/>
        </w:trPr>
        <w:tc>
          <w:tcPr>
            <w:tcW w:w="462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debt securities due within 1 year</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380,640</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(4,018</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376,622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20" w:type="dxa"/>
            <w:vAlign w:val="bottom"/>
          </w:tcPr>
          <w:p>
            <w:pPr>
              <w:ind w:left="200"/>
              <w:spacing w:after="0" w:line="196" w:lineRule="exact"/>
              <w:rPr>
                <w:sz w:val="20"/>
                <w:szCs w:val="20"/>
                <w:color w:val="auto"/>
              </w:rPr>
            </w:pPr>
            <w:r>
              <w:rPr>
                <w:rFonts w:ascii="Arial" w:cs="Arial" w:eastAsia="Arial" w:hAnsi="Arial"/>
                <w:sz w:val="18"/>
                <w:szCs w:val="18"/>
                <w:color w:val="auto"/>
              </w:rPr>
              <w:t>After 1 year through 5 years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government debt securities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223,050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(6,551 )</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216,514</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137,742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(5,977 )</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131,765</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agency debt securities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52,340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(2,567 )</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49,773</w:t>
            </w: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11,097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(208 )</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10,895</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Yankee debt securities</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754</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(80 )</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w:t>
            </w:r>
          </w:p>
        </w:tc>
        <w:tc>
          <w:tcPr>
            <w:tcW w:w="100" w:type="dxa"/>
            <w:vAlign w:val="bottom"/>
            <w:shd w:val="clear" w:color="auto" w:fill="CFF0FC"/>
          </w:tcPr>
          <w:p>
            <w:pPr>
              <w:spacing w:after="0"/>
              <w:rPr>
                <w:sz w:val="17"/>
                <w:szCs w:val="17"/>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620" w:type="dxa"/>
            <w:vAlign w:val="bottom"/>
          </w:tcPr>
          <w:p>
            <w:pPr>
              <w:ind w:left="560"/>
              <w:spacing w:after="0" w:line="196" w:lineRule="exact"/>
              <w:rPr>
                <w:sz w:val="20"/>
                <w:szCs w:val="20"/>
                <w:color w:val="auto"/>
              </w:rPr>
            </w:pPr>
            <w:r>
              <w:rPr>
                <w:rFonts w:ascii="Arial" w:cs="Arial" w:eastAsia="Arial" w:hAnsi="Arial"/>
                <w:sz w:val="18"/>
                <w:szCs w:val="18"/>
                <w:color w:val="auto"/>
                <w:w w:val="95"/>
              </w:rPr>
              <w:t>Total debt securities due after 1 year through 5 years</w:t>
            </w: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424,983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(15,383 )</w:t>
            </w:r>
          </w:p>
        </w:tc>
        <w:tc>
          <w:tcPr>
            <w:tcW w:w="2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409,621</w:t>
            </w:r>
          </w:p>
        </w:tc>
        <w:tc>
          <w:tcPr>
            <w:tcW w:w="100" w:type="dxa"/>
            <w:vAlign w:val="bottom"/>
          </w:tcPr>
          <w:p>
            <w:pPr>
              <w:spacing w:after="0"/>
              <w:rPr>
                <w:sz w:val="17"/>
                <w:szCs w:val="17"/>
                <w:color w:val="auto"/>
              </w:rPr>
            </w:pPr>
          </w:p>
        </w:tc>
      </w:tr>
      <w:tr>
        <w:trPr>
          <w:trHeight w:val="196"/>
        </w:trPr>
        <w:tc>
          <w:tcPr>
            <w:tcW w:w="46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After 5 years through 10 years</w:t>
            </w:r>
          </w:p>
        </w:tc>
        <w:tc>
          <w:tcPr>
            <w:tcW w:w="2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620" w:type="dxa"/>
            <w:vAlign w:val="bottom"/>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6,172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(172 )</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6,000</w:t>
            </w:r>
          </w:p>
        </w:tc>
        <w:tc>
          <w:tcPr>
            <w:tcW w:w="100" w:type="dxa"/>
            <w:vAlign w:val="bottom"/>
          </w:tcPr>
          <w:p>
            <w:pPr>
              <w:spacing w:after="0"/>
              <w:rPr>
                <w:sz w:val="17"/>
                <w:szCs w:val="17"/>
                <w:color w:val="auto"/>
              </w:rPr>
            </w:pPr>
          </w:p>
        </w:tc>
      </w:tr>
      <w:tr>
        <w:trPr>
          <w:trHeight w:val="203"/>
        </w:trPr>
        <w:tc>
          <w:tcPr>
            <w:tcW w:w="46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Redeemable preferred stock investment</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(8,019 )</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11,981</w:t>
            </w:r>
          </w:p>
        </w:tc>
        <w:tc>
          <w:tcPr>
            <w:tcW w:w="100" w:type="dxa"/>
            <w:vAlign w:val="bottom"/>
            <w:shd w:val="clear" w:color="auto" w:fill="CFF0FC"/>
          </w:tcPr>
          <w:p>
            <w:pPr>
              <w:spacing w:after="0"/>
              <w:rPr>
                <w:sz w:val="17"/>
                <w:szCs w:val="17"/>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620" w:type="dxa"/>
            <w:vAlign w:val="bottom"/>
          </w:tcPr>
          <w:p>
            <w:pPr>
              <w:ind w:left="560"/>
              <w:spacing w:after="0" w:line="196" w:lineRule="exact"/>
              <w:rPr>
                <w:sz w:val="20"/>
                <w:szCs w:val="20"/>
                <w:color w:val="auto"/>
              </w:rPr>
            </w:pPr>
            <w:r>
              <w:rPr>
                <w:rFonts w:ascii="Arial" w:cs="Arial" w:eastAsia="Arial" w:hAnsi="Arial"/>
                <w:sz w:val="18"/>
                <w:szCs w:val="18"/>
                <w:color w:val="auto"/>
                <w:w w:val="91"/>
              </w:rPr>
              <w:t>Total debt securities due after 5 years through 10 years</w:t>
            </w:r>
          </w:p>
        </w:tc>
        <w:tc>
          <w:tcPr>
            <w:tcW w:w="2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26,172</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(8,191 )</w:t>
            </w:r>
          </w:p>
        </w:tc>
        <w:tc>
          <w:tcPr>
            <w:tcW w:w="28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17,981</w:t>
            </w:r>
          </w:p>
        </w:tc>
        <w:tc>
          <w:tcPr>
            <w:tcW w:w="100" w:type="dxa"/>
            <w:vAlign w:val="bottom"/>
          </w:tcPr>
          <w:p>
            <w:pPr>
              <w:spacing w:after="0"/>
              <w:rPr>
                <w:sz w:val="17"/>
                <w:szCs w:val="17"/>
                <w:color w:val="auto"/>
              </w:rPr>
            </w:pPr>
          </w:p>
        </w:tc>
      </w:tr>
      <w:tr>
        <w:trPr>
          <w:trHeight w:val="196"/>
        </w:trPr>
        <w:tc>
          <w:tcPr>
            <w:tcW w:w="4620" w:type="dxa"/>
            <w:vAlign w:val="bottom"/>
            <w:tcBorders>
              <w:bottom w:val="single" w:sz="8" w:color="CFF0FC"/>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831,795</w:t>
            </w:r>
          </w:p>
        </w:tc>
        <w:tc>
          <w:tcPr>
            <w:tcW w:w="3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w:t>
            </w:r>
          </w:p>
        </w:tc>
        <w:tc>
          <w:tcPr>
            <w:tcW w:w="2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(27,592</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2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804,224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620" w:type="dxa"/>
            <w:vAlign w:val="bottom"/>
          </w:tcPr>
          <w:p>
            <w:pPr>
              <w:ind w:left="740"/>
              <w:spacing w:after="0" w:line="182" w:lineRule="exact"/>
              <w:rPr>
                <w:sz w:val="20"/>
                <w:szCs w:val="20"/>
                <w:color w:val="auto"/>
              </w:rPr>
            </w:pPr>
            <w:r>
              <w:rPr>
                <w:rFonts w:ascii="Arial" w:cs="Arial" w:eastAsia="Arial" w:hAnsi="Arial"/>
                <w:sz w:val="18"/>
                <w:szCs w:val="18"/>
                <w:color w:val="auto"/>
              </w:rPr>
              <w:t>Total equity and debt securities</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846,795</w:t>
            </w:r>
          </w:p>
        </w:tc>
        <w:tc>
          <w:tcPr>
            <w:tcW w:w="300" w:type="dxa"/>
            <w:vAlign w:val="bottom"/>
          </w:tcPr>
          <w:p>
            <w:pPr>
              <w:spacing w:after="0"/>
              <w:rPr>
                <w:sz w:val="17"/>
                <w:szCs w:val="17"/>
                <w:color w:val="auto"/>
              </w:rPr>
            </w:pP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6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80"/>
              <w:spacing w:after="0" w:line="182" w:lineRule="exact"/>
              <w:rPr>
                <w:sz w:val="20"/>
                <w:szCs w:val="20"/>
                <w:color w:val="auto"/>
              </w:rPr>
            </w:pPr>
            <w:r>
              <w:rPr>
                <w:rFonts w:ascii="Arial" w:cs="Arial" w:eastAsia="Arial" w:hAnsi="Arial"/>
                <w:sz w:val="18"/>
                <w:szCs w:val="18"/>
                <w:color w:val="auto"/>
              </w:rPr>
              <w:t>(27,592 )  $</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819,224</w:t>
            </w:r>
          </w:p>
        </w:tc>
        <w:tc>
          <w:tcPr>
            <w:tcW w:w="10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4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6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-3785235</wp:posOffset>
            </wp:positionV>
            <wp:extent cx="7747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-3785235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-3785235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-3785235</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-2216785</wp:posOffset>
            </wp:positionV>
            <wp:extent cx="7747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-2216785</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-2216785</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-1436370</wp:posOffset>
            </wp:positionV>
            <wp:extent cx="7747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-1436370</wp:posOffset>
            </wp:positionV>
            <wp:extent cx="6858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-1436370</wp:posOffset>
            </wp:positionV>
            <wp:extent cx="685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-1436370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-904875</wp:posOffset>
            </wp:positionV>
            <wp:extent cx="7747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-904875</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-904875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-904875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-630555</wp:posOffset>
            </wp:positionV>
            <wp:extent cx="7747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-630555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-630555</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-630555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jc w:val="right"/>
              <w:ind w:right="107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right"/>
              <w:ind w:right="620"/>
              <w:spacing w:after="0" w:line="133" w:lineRule="exact"/>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1"/>
                <w:szCs w:val="11"/>
                <w:color w:val="auto"/>
              </w:rPr>
            </w:pPr>
          </w:p>
        </w:tc>
        <w:tc>
          <w:tcPr>
            <w:tcW w:w="1140" w:type="dxa"/>
            <w:vAlign w:val="bottom"/>
          </w:tcPr>
          <w:p>
            <w:pPr>
              <w:jc w:val="right"/>
              <w:ind w:right="253"/>
              <w:spacing w:after="0" w:line="13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gridSpan w:val="2"/>
          </w:tcPr>
          <w:p>
            <w:pPr>
              <w:jc w:val="right"/>
              <w:ind w:right="550"/>
              <w:spacing w:after="0" w:line="133"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1"/>
                <w:szCs w:val="11"/>
                <w:color w:val="auto"/>
              </w:rPr>
            </w:pPr>
          </w:p>
        </w:tc>
        <w:tc>
          <w:tcPr>
            <w:tcW w:w="122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1"/>
                <w:szCs w:val="11"/>
                <w:color w:val="auto"/>
              </w:rPr>
            </w:pPr>
          </w:p>
        </w:tc>
      </w:tr>
      <w:tr>
        <w:trPr>
          <w:trHeight w:val="185"/>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Cost Basis</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720" w:type="dxa"/>
            <w:vAlign w:val="bottom"/>
            <w:gridSpan w:val="3"/>
          </w:tcPr>
          <w:p>
            <w:pPr>
              <w:jc w:val="right"/>
              <w:ind w:right="972"/>
              <w:spacing w:after="0"/>
              <w:rPr>
                <w:sz w:val="20"/>
                <w:szCs w:val="20"/>
                <w:color w:val="auto"/>
              </w:rPr>
            </w:pPr>
            <w:r>
              <w:rPr>
                <w:rFonts w:ascii="Arial" w:cs="Arial" w:eastAsia="Arial" w:hAnsi="Arial"/>
                <w:sz w:val="14"/>
                <w:szCs w:val="14"/>
                <w:b w:val="1"/>
                <w:bCs w:val="1"/>
                <w:color w:val="auto"/>
                <w:w w:val="84"/>
              </w:rPr>
              <w:t>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Equity securities:</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Short-term</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Bond funds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99,314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(515 )</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98,799</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Exchange traded funds</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35,174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(174 )</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100" w:type="dxa"/>
            <w:vAlign w:val="bottom"/>
          </w:tcPr>
          <w:p>
            <w:pPr>
              <w:spacing w:after="0"/>
              <w:rPr>
                <w:sz w:val="17"/>
                <w:szCs w:val="17"/>
                <w:color w:val="auto"/>
              </w:rPr>
            </w:pPr>
          </w:p>
        </w:tc>
      </w:tr>
      <w:tr>
        <w:trPr>
          <w:trHeight w:val="196"/>
        </w:trPr>
        <w:tc>
          <w:tcPr>
            <w:tcW w:w="472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134,488</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(689</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133,799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Available-for-sale debt securities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Short-term</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92,116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(148 )</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91,992</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Money market accounts</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77,067</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77,067</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U.S. government debt securities</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51,318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(81 )</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51,237</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(12 )</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4,968</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Yankee debt securities</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3,615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(6 )</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3,609</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Less: Cash equivalents</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(77,067 )</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(77,067 )</w:t>
            </w:r>
          </w:p>
        </w:tc>
      </w:tr>
      <w:tr>
        <w:trPr>
          <w:trHeight w:val="20"/>
        </w:trPr>
        <w:tc>
          <w:tcPr>
            <w:tcW w:w="4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4720" w:type="dxa"/>
            <w:vAlign w:val="bottom"/>
          </w:tcPr>
          <w:p>
            <w:pPr>
              <w:ind w:left="560"/>
              <w:spacing w:after="0" w:line="196" w:lineRule="exact"/>
              <w:rPr>
                <w:sz w:val="20"/>
                <w:szCs w:val="20"/>
                <w:color w:val="auto"/>
              </w:rPr>
            </w:pPr>
            <w:r>
              <w:rPr>
                <w:rFonts w:ascii="Arial" w:cs="Arial" w:eastAsia="Arial" w:hAnsi="Arial"/>
                <w:sz w:val="18"/>
                <w:szCs w:val="18"/>
                <w:color w:val="auto"/>
              </w:rPr>
              <w:t>Total debt securities due within 1 year</w:t>
            </w: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152,029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(247 )</w:t>
            </w:r>
          </w:p>
        </w:tc>
        <w:tc>
          <w:tcPr>
            <w:tcW w:w="2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151,806</w:t>
            </w:r>
          </w:p>
        </w:tc>
        <w:tc>
          <w:tcPr>
            <w:tcW w:w="100" w:type="dxa"/>
            <w:vAlign w:val="bottom"/>
          </w:tcPr>
          <w:p>
            <w:pPr>
              <w:spacing w:after="0"/>
              <w:rPr>
                <w:sz w:val="17"/>
                <w:szCs w:val="17"/>
                <w:color w:val="auto"/>
              </w:rPr>
            </w:pPr>
          </w:p>
        </w:tc>
      </w:tr>
      <w:tr>
        <w:trPr>
          <w:trHeight w:val="196"/>
        </w:trPr>
        <w:tc>
          <w:tcPr>
            <w:tcW w:w="47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After 1 year through 5 years</w:t>
            </w: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242,421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(1,913 )</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240,537</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U.S. Government debt securities</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147,699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(786 )</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146,920</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U.S. agency debt securities</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70,069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(535 )</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69,534</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11,920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(11 )</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11,922</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Yankee debt securities</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8,633</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(89 )</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8,544</w:t>
            </w:r>
          </w:p>
        </w:tc>
        <w:tc>
          <w:tcPr>
            <w:tcW w:w="100" w:type="dxa"/>
            <w:vAlign w:val="bottom"/>
          </w:tcPr>
          <w:p>
            <w:pPr>
              <w:spacing w:after="0"/>
              <w:rPr>
                <w:sz w:val="17"/>
                <w:szCs w:val="17"/>
                <w:color w:val="auto"/>
              </w:rPr>
            </w:pPr>
          </w:p>
        </w:tc>
      </w:tr>
      <w:tr>
        <w:trPr>
          <w:trHeight w:val="196"/>
        </w:trPr>
        <w:tc>
          <w:tcPr>
            <w:tcW w:w="472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8"/>
              </w:rPr>
              <w:t>Total debt securities due after 1 year through 5 years</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480,742</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(3,334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477,457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20" w:type="dxa"/>
            <w:vAlign w:val="bottom"/>
          </w:tcPr>
          <w:p>
            <w:pPr>
              <w:ind w:left="200"/>
              <w:spacing w:after="0" w:line="196" w:lineRule="exact"/>
              <w:rPr>
                <w:sz w:val="20"/>
                <w:szCs w:val="20"/>
                <w:color w:val="auto"/>
              </w:rPr>
            </w:pPr>
            <w:r>
              <w:rPr>
                <w:rFonts w:ascii="Arial" w:cs="Arial" w:eastAsia="Arial" w:hAnsi="Arial"/>
                <w:sz w:val="18"/>
                <w:szCs w:val="18"/>
                <w:color w:val="auto"/>
              </w:rPr>
              <w:t>After 5 years through 10 years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Municipal bonds</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7,633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(43 )</w:t>
            </w:r>
          </w:p>
        </w:tc>
        <w:tc>
          <w:tcPr>
            <w:tcW w:w="2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7,590</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380"/>
              <w:spacing w:after="0" w:line="202" w:lineRule="exact"/>
              <w:rPr>
                <w:sz w:val="20"/>
                <w:szCs w:val="20"/>
                <w:color w:val="auto"/>
              </w:rPr>
            </w:pPr>
            <w:r>
              <w:rPr>
                <w:rFonts w:ascii="Arial" w:cs="Arial" w:eastAsia="Arial" w:hAnsi="Arial"/>
                <w:sz w:val="18"/>
                <w:szCs w:val="18"/>
                <w:color w:val="auto"/>
              </w:rPr>
              <w:t>Redeemable preferred stock investment</w:t>
            </w:r>
          </w:p>
        </w:tc>
        <w:tc>
          <w:tcPr>
            <w:tcW w:w="2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20,000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1,965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21,965</w:t>
            </w:r>
          </w:p>
        </w:tc>
        <w:tc>
          <w:tcPr>
            <w:tcW w:w="100" w:type="dxa"/>
            <w:vAlign w:val="bottom"/>
          </w:tcPr>
          <w:p>
            <w:pPr>
              <w:spacing w:after="0"/>
              <w:rPr>
                <w:sz w:val="17"/>
                <w:szCs w:val="17"/>
                <w:color w:val="auto"/>
              </w:rPr>
            </w:pPr>
          </w:p>
        </w:tc>
      </w:tr>
      <w:tr>
        <w:trPr>
          <w:trHeight w:val="196"/>
        </w:trPr>
        <w:tc>
          <w:tcPr>
            <w:tcW w:w="472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w w:val="93"/>
              </w:rPr>
              <w:t>Total debt securities due after 5 years through 10 years</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27,633</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1,965</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29,555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720" w:type="dxa"/>
            <w:vAlign w:val="bottom"/>
          </w:tcPr>
          <w:p>
            <w:pPr>
              <w:ind w:left="740"/>
              <w:spacing w:after="0" w:line="196" w:lineRule="exact"/>
              <w:rPr>
                <w:sz w:val="20"/>
                <w:szCs w:val="20"/>
                <w:color w:val="auto"/>
              </w:rPr>
            </w:pPr>
            <w:r>
              <w:rPr>
                <w:rFonts w:ascii="Arial" w:cs="Arial" w:eastAsia="Arial" w:hAnsi="Arial"/>
                <w:sz w:val="18"/>
                <w:szCs w:val="18"/>
                <w:color w:val="auto"/>
              </w:rPr>
              <w:t>Total available-for-sale debt securities</w:t>
            </w:r>
          </w:p>
        </w:tc>
        <w:tc>
          <w:tcPr>
            <w:tcW w:w="2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660,404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2,038</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(3,624 )</w:t>
            </w:r>
          </w:p>
        </w:tc>
        <w:tc>
          <w:tcPr>
            <w:tcW w:w="2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658,818</w:t>
            </w:r>
          </w:p>
        </w:tc>
        <w:tc>
          <w:tcPr>
            <w:tcW w:w="100" w:type="dxa"/>
            <w:vAlign w:val="bottom"/>
          </w:tcPr>
          <w:p>
            <w:pPr>
              <w:spacing w:after="0"/>
              <w:rPr>
                <w:sz w:val="17"/>
                <w:szCs w:val="17"/>
                <w:color w:val="auto"/>
              </w:rPr>
            </w:pPr>
          </w:p>
        </w:tc>
      </w:tr>
      <w:tr>
        <w:trPr>
          <w:trHeight w:val="236"/>
        </w:trPr>
        <w:tc>
          <w:tcPr>
            <w:tcW w:w="4720" w:type="dxa"/>
            <w:vAlign w:val="bottom"/>
            <w:tcBorders>
              <w:bottom w:val="single" w:sz="8" w:color="CFF0FC"/>
            </w:tcBorders>
            <w:shd w:val="clear" w:color="auto" w:fill="CFF0FC"/>
          </w:tcPr>
          <w:p>
            <w:pPr>
              <w:ind w:left="740"/>
              <w:spacing w:after="0" w:line="182" w:lineRule="exact"/>
              <w:rPr>
                <w:sz w:val="20"/>
                <w:szCs w:val="20"/>
                <w:color w:val="auto"/>
              </w:rPr>
            </w:pPr>
            <w:r>
              <w:rPr>
                <w:rFonts w:ascii="Arial" w:cs="Arial" w:eastAsia="Arial" w:hAnsi="Arial"/>
                <w:sz w:val="18"/>
                <w:szCs w:val="18"/>
                <w:color w:val="auto"/>
              </w:rPr>
              <w:t>Total equity and debt securities</w:t>
            </w: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794,892</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2,038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(4,313</w:t>
            </w:r>
          </w:p>
        </w:tc>
        <w:tc>
          <w:tcPr>
            <w:tcW w:w="24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792,617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-2919730</wp:posOffset>
            </wp:positionV>
            <wp:extent cx="768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-2919730</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-2919730</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-2919730</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-1882140</wp:posOffset>
            </wp:positionV>
            <wp:extent cx="768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-1882140</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-1882140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-1882140</wp:posOffset>
            </wp:positionV>
            <wp:extent cx="6858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-828040</wp:posOffset>
            </wp:positionV>
            <wp:extent cx="768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-828040</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-828040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-828040</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-296545</wp:posOffset>
            </wp:positionV>
            <wp:extent cx="768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-296545</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-296545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-24765</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Gross unrealized losses on the Company’s equity and debt securities were $27.6 million as of June 30, 2022. Gross unrealized losses on the Company’s equity and debt securities were $4.3 million as of December 31, 2021. The Company did not recognize any credit losses during the three and six months ended June 30, 2022 and 2021.</w:t>
      </w:r>
    </w:p>
    <w:p>
      <w:pPr>
        <w:spacing w:after="0" w:line="182"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The Company’s securities of $491.5 million are used as collateral for an outstanding margin account borrowing. As of June 30, 2022, the Company had an outstanding borrowing of $15.0 million under its margin account. Margin account borrowings were used for the purchase of real property located in El Monte, California in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08"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ind w:left="1540" w:right="480" w:hanging="1025"/>
        <w:spacing w:after="0" w:line="235" w:lineRule="auto"/>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are quoted prices (unadjusted) in active markets for identical assets or liabilities that the reporting entity can access at the measurement date.</w:t>
      </w:r>
    </w:p>
    <w:p>
      <w:pPr>
        <w:spacing w:after="0" w:line="148" w:lineRule="exact"/>
        <w:rPr>
          <w:sz w:val="20"/>
          <w:szCs w:val="20"/>
          <w:color w:val="auto"/>
        </w:rPr>
      </w:pPr>
    </w:p>
    <w:p>
      <w:pPr>
        <w:ind w:left="1540" w:right="560" w:hanging="1025"/>
        <w:spacing w:after="0" w:line="235"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inputs other than quoted prices included within Level 1 that are observable for the asset or liability, either directly or indirectly.</w:t>
      </w:r>
    </w:p>
    <w:p>
      <w:pPr>
        <w:spacing w:after="0" w:line="162"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for the asset or liability.</w:t>
      </w:r>
    </w:p>
    <w:p>
      <w:pPr>
        <w:spacing w:after="0" w:line="252"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above three-tier fair value hierarchy: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794"/>
              <w:spacing w:after="0"/>
              <w:rPr>
                <w:sz w:val="20"/>
                <w:szCs w:val="20"/>
                <w:color w:val="auto"/>
              </w:rPr>
            </w:pPr>
            <w:r>
              <w:rPr>
                <w:rFonts w:ascii="Arial" w:cs="Arial" w:eastAsia="Arial" w:hAnsi="Arial"/>
                <w:sz w:val="14"/>
                <w:szCs w:val="14"/>
                <w:b w:val="1"/>
                <w:bCs w:val="1"/>
                <w:color w:val="auto"/>
                <w:w w:val="92"/>
              </w:rPr>
              <w:t>June 30, 2022</w:t>
            </w: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87"/>
              </w:rPr>
              <w:t>thousands)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w w:val="98"/>
              </w:rPr>
              <w:t>Equity securities, debt securities and cash equivalents: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Investment in private equity securities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15,000</w:t>
            </w:r>
          </w:p>
        </w:tc>
        <w:tc>
          <w:tcPr>
            <w:tcW w:w="5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15,000</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debt securities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357,573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357,573</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257,716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257,716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agency debt securities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81,832</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81,832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24,060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24,060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Yankee debt securities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11,801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11,801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59,261</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59,261</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Money market accounts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44,209</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44,209</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Redeemable preferred stock investment</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11,981</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11,981</w:t>
            </w:r>
          </w:p>
        </w:tc>
        <w:tc>
          <w:tcPr>
            <w:tcW w:w="100" w:type="dxa"/>
            <w:vAlign w:val="bottom"/>
          </w:tcPr>
          <w:p>
            <w:pPr>
              <w:spacing w:after="0"/>
              <w:rPr>
                <w:sz w:val="17"/>
                <w:szCs w:val="17"/>
                <w:color w:val="auto"/>
              </w:rPr>
            </w:pPr>
          </w:p>
        </w:tc>
      </w:tr>
      <w:tr>
        <w:trPr>
          <w:trHeight w:val="236"/>
        </w:trPr>
        <w:tc>
          <w:tcPr>
            <w:tcW w:w="47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w w:val="91"/>
              </w:rPr>
              <w:t>Total equity securities, debt securities and cash equivalents</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863,433</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103,470</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center"/>
              <w:ind w:right="2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732,982</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26,981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345"/>
        </w:trPr>
        <w:tc>
          <w:tcPr>
            <w:tcW w:w="47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center"/>
              <w:ind w:right="32"/>
              <w:spacing w:after="0"/>
              <w:rPr>
                <w:sz w:val="20"/>
                <w:szCs w:val="20"/>
                <w:color w:val="auto"/>
              </w:rPr>
            </w:pPr>
            <w:r>
              <w:rPr>
                <w:rFonts w:ascii="Arial" w:cs="Arial" w:eastAsia="Arial" w:hAnsi="Arial"/>
                <w:sz w:val="14"/>
                <w:szCs w:val="14"/>
                <w:b w:val="1"/>
                <w:bCs w:val="1"/>
                <w:color w:val="auto"/>
                <w:w w:val="91"/>
              </w:rPr>
              <w:t>December 31, 2021</w:t>
            </w: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w w:val="87"/>
              </w:rPr>
              <w:t>thousands)</w:t>
            </w: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w w:val="98"/>
              </w:rPr>
              <w:t>Equity securities, debt securities and cash equivalents: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332,529</w:t>
            </w:r>
          </w:p>
        </w:tc>
        <w:tc>
          <w:tcPr>
            <w:tcW w:w="5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center"/>
              <w:ind w:right="3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332,529</w:t>
            </w:r>
          </w:p>
        </w:tc>
        <w:tc>
          <w:tcPr>
            <w:tcW w:w="5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government debt securities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198,157</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198,157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2"/>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Bond funds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98,799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98,799</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agency debt securities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69,534</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69,534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Exchange traded funds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35,000</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Municipal bonds</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24,480</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24,480</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Yankee debt securities</w:t>
            </w: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12,153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12,153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Redeemable preferred stock investment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21,965</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21,965</w:t>
            </w:r>
          </w:p>
        </w:tc>
        <w:tc>
          <w:tcPr>
            <w:tcW w:w="100" w:type="dxa"/>
            <w:vAlign w:val="bottom"/>
            <w:shd w:val="clear" w:color="auto" w:fill="CFF0FC"/>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Money market accounts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77,067</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77,067</w:t>
            </w:r>
          </w:p>
        </w:tc>
        <w:tc>
          <w:tcPr>
            <w:tcW w:w="2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36"/>
        </w:trPr>
        <w:tc>
          <w:tcPr>
            <w:tcW w:w="472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w w:val="91"/>
              </w:rPr>
              <w:t>Total equity securities, debt securities and cash equivalents</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869,684</w:t>
            </w:r>
          </w:p>
        </w:tc>
        <w:tc>
          <w:tcPr>
            <w:tcW w:w="3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210,866</w:t>
            </w:r>
          </w:p>
        </w:tc>
        <w:tc>
          <w:tcPr>
            <w:tcW w:w="2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center"/>
              <w:ind w:right="2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636,853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21,965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-1945640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-1927860</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-1945640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-1927860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-1945640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-1927860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774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-8255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The Company’s Level 1 assets include bond funds, exchange traded funds, U.S. treasury bills, and money market instruments and are valued based upon observable market prices. Level 2 assets consist of U.S. government and U.S. agency debt securities, municipal bonds, corporate debt securities and Yankee debt securities. Level 2 securities are valued based upon observable inputs that include reported trades, broker/dealer quotes, bids and offers. As of June 30, 2022, the Company had $15.0 million of investment in private equity securities, which was included in other long-term assets in the accompanying Condensed Consolidated Balance Sheets, and $12.0 million of redeemable preferred stock of a private company that were measured using unobservable (Level 3) inputs. The fair values of redeemable preferred stock as of June 30, 2022 and December 31, 2021 were based on the valuation performed by a third-party valuation company utilizing the guideline public company method under market approach and the discounted cash flow method under income approach. For the value of the investment in private equity securities, the Company elected to measure it at cost minus impairment as the private equity securities did not have a readily determinable fair value, and the Company did not believe the investment was impaired as of June 30, 2022.</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measurement levels during the three and six months ended June 30, 2022.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5. Fixed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Major classes of fixed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513"/>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4280" w:type="dxa"/>
            <w:vAlign w:val="bottom"/>
          </w:tcPr>
          <w:p>
            <w:pPr>
              <w:spacing w:after="0"/>
              <w:rPr>
                <w:sz w:val="14"/>
                <w:szCs w:val="14"/>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2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113"/>
              <w:spacing w:after="0"/>
              <w:rPr>
                <w:sz w:val="20"/>
                <w:szCs w:val="20"/>
                <w:color w:val="auto"/>
              </w:rPr>
            </w:pPr>
            <w:r>
              <w:rPr>
                <w:rFonts w:ascii="Arial" w:cs="Arial" w:eastAsia="Arial" w:hAnsi="Arial"/>
                <w:sz w:val="14"/>
                <w:szCs w:val="14"/>
                <w:b w:val="1"/>
                <w:bCs w:val="1"/>
                <w:color w:val="auto"/>
              </w:rPr>
              <w:t>(in</w:t>
            </w:r>
          </w:p>
        </w:tc>
        <w:tc>
          <w:tcPr>
            <w:tcW w:w="1380" w:type="dxa"/>
            <w:vAlign w:val="bottom"/>
            <w:gridSpan w:val="3"/>
          </w:tcPr>
          <w:p>
            <w:pPr>
              <w:jc w:val="right"/>
              <w:ind w:right="772"/>
              <w:spacing w:after="0"/>
              <w:rPr>
                <w:sz w:val="20"/>
                <w:szCs w:val="20"/>
                <w:color w:val="auto"/>
              </w:rPr>
            </w:pPr>
            <w:r>
              <w:rPr>
                <w:rFonts w:ascii="Arial" w:cs="Arial" w:eastAsia="Arial" w:hAnsi="Arial"/>
                <w:sz w:val="13"/>
                <w:szCs w:val="13"/>
                <w:b w:val="1"/>
                <w:bCs w:val="1"/>
                <w:color w:val="auto"/>
                <w:w w:val="71"/>
              </w:rPr>
              <w:t>thousands)</w:t>
            </w:r>
          </w:p>
        </w:tc>
        <w:tc>
          <w:tcPr>
            <w:tcW w:w="100" w:type="dxa"/>
            <w:vAlign w:val="bottom"/>
          </w:tcPr>
          <w:p>
            <w:pPr>
              <w:spacing w:after="0"/>
              <w:rPr>
                <w:sz w:val="14"/>
                <w:szCs w:val="14"/>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Medical lab equipment</w:t>
            </w:r>
          </w:p>
        </w:tc>
        <w:tc>
          <w:tcPr>
            <w:tcW w:w="4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7"/>
              </w:rPr>
              <w:t>1 to 12 Years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45,479</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35,930</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4260" w:type="dxa"/>
            <w:vAlign w:val="bottom"/>
          </w:tcPr>
          <w:p>
            <w:pPr>
              <w:jc w:val="center"/>
              <w:spacing w:after="0" w:line="202" w:lineRule="exact"/>
              <w:rPr>
                <w:sz w:val="20"/>
                <w:szCs w:val="20"/>
                <w:color w:val="auto"/>
              </w:rPr>
            </w:pPr>
            <w:r>
              <w:rPr>
                <w:rFonts w:ascii="Arial" w:cs="Arial" w:eastAsia="Arial" w:hAnsi="Arial"/>
                <w:sz w:val="18"/>
                <w:szCs w:val="18"/>
                <w:color w:val="auto"/>
                <w:w w:val="90"/>
              </w:rPr>
              <w:t>Shorter of lease term or estimated useful life</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11,867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4,003</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Computer hardware</w:t>
            </w:r>
          </w:p>
        </w:tc>
        <w:tc>
          <w:tcPr>
            <w:tcW w:w="4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1 to 5 Years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7,163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5,661</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w:t>
            </w:r>
          </w:p>
        </w:tc>
        <w:tc>
          <w:tcPr>
            <w:tcW w:w="4260" w:type="dxa"/>
            <w:vAlign w:val="bottom"/>
          </w:tcPr>
          <w:p>
            <w:pPr>
              <w:jc w:val="center"/>
              <w:spacing w:after="0" w:line="202" w:lineRule="exact"/>
              <w:rPr>
                <w:sz w:val="20"/>
                <w:szCs w:val="20"/>
                <w:color w:val="auto"/>
              </w:rPr>
            </w:pPr>
            <w:r>
              <w:rPr>
                <w:rFonts w:ascii="Arial" w:cs="Arial" w:eastAsia="Arial" w:hAnsi="Arial"/>
                <w:sz w:val="18"/>
                <w:szCs w:val="18"/>
                <w:color w:val="auto"/>
                <w:w w:val="88"/>
              </w:rPr>
              <w:t>1 to 5 Years</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6,918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1,408</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Building</w:t>
            </w:r>
          </w:p>
        </w:tc>
        <w:tc>
          <w:tcPr>
            <w:tcW w:w="4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5"/>
              </w:rPr>
              <w:t>39 Years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6,731</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Aircraft</w:t>
            </w:r>
          </w:p>
        </w:tc>
        <w:tc>
          <w:tcPr>
            <w:tcW w:w="4260" w:type="dxa"/>
            <w:vAlign w:val="bottom"/>
          </w:tcPr>
          <w:p>
            <w:pPr>
              <w:jc w:val="center"/>
              <w:spacing w:after="0" w:line="202" w:lineRule="exact"/>
              <w:rPr>
                <w:sz w:val="20"/>
                <w:szCs w:val="20"/>
                <w:color w:val="auto"/>
              </w:rPr>
            </w:pPr>
            <w:r>
              <w:rPr>
                <w:rFonts w:ascii="Arial" w:cs="Arial" w:eastAsia="Arial" w:hAnsi="Arial"/>
                <w:sz w:val="18"/>
                <w:szCs w:val="18"/>
                <w:color w:val="auto"/>
                <w:w w:val="86"/>
              </w:rPr>
              <w:t>7 Years</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6,503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6,503</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Building improvements</w:t>
            </w:r>
          </w:p>
        </w:tc>
        <w:tc>
          <w:tcPr>
            <w:tcW w:w="4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6 months to 39 Years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3,936</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4260" w:type="dxa"/>
            <w:vAlign w:val="bottom"/>
          </w:tcPr>
          <w:p>
            <w:pPr>
              <w:jc w:val="center"/>
              <w:spacing w:after="0" w:line="202" w:lineRule="exact"/>
              <w:rPr>
                <w:sz w:val="20"/>
                <w:szCs w:val="20"/>
                <w:color w:val="auto"/>
              </w:rPr>
            </w:pPr>
            <w:r>
              <w:rPr>
                <w:rFonts w:ascii="Arial" w:cs="Arial" w:eastAsia="Arial" w:hAnsi="Arial"/>
                <w:sz w:val="18"/>
                <w:szCs w:val="18"/>
                <w:color w:val="auto"/>
                <w:w w:val="87"/>
              </w:rPr>
              <w:t>1 to 10 Years</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3,901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2,255</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Automobile</w:t>
            </w:r>
          </w:p>
        </w:tc>
        <w:tc>
          <w:tcPr>
            <w:tcW w:w="4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2 to 7 Years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Land improvements</w:t>
            </w:r>
          </w:p>
        </w:tc>
        <w:tc>
          <w:tcPr>
            <w:tcW w:w="4260" w:type="dxa"/>
            <w:vAlign w:val="bottom"/>
          </w:tcPr>
          <w:p>
            <w:pPr>
              <w:jc w:val="center"/>
              <w:spacing w:after="0" w:line="202" w:lineRule="exact"/>
              <w:rPr>
                <w:sz w:val="20"/>
                <w:szCs w:val="20"/>
                <w:color w:val="auto"/>
              </w:rPr>
            </w:pPr>
            <w:r>
              <w:rPr>
                <w:rFonts w:ascii="Arial" w:cs="Arial" w:eastAsia="Arial" w:hAnsi="Arial"/>
                <w:sz w:val="18"/>
                <w:szCs w:val="18"/>
                <w:color w:val="auto"/>
                <w:w w:val="87"/>
              </w:rPr>
              <w:t>5 to 15 Years</w:t>
            </w: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558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403</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equipment</w:t>
            </w:r>
          </w:p>
        </w:tc>
        <w:tc>
          <w:tcPr>
            <w:tcW w:w="426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3 to 5 Years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8"/>
                <w:szCs w:val="18"/>
                <w:color w:val="auto"/>
              </w:rPr>
              <w:t>Land</w:t>
            </w:r>
          </w:p>
        </w:tc>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100" w:type="dxa"/>
            <w:vAlign w:val="bottom"/>
          </w:tcPr>
          <w:p>
            <w:pPr>
              <w:spacing w:after="0"/>
              <w:rPr>
                <w:sz w:val="17"/>
                <w:szCs w:val="17"/>
                <w:color w:val="auto"/>
              </w:rPr>
            </w:pPr>
          </w:p>
        </w:tc>
      </w:tr>
      <w:tr>
        <w:trPr>
          <w:trHeight w:val="203"/>
        </w:trPr>
        <w:tc>
          <w:tcPr>
            <w:tcW w:w="4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Assets not yet placed in service</w:t>
            </w:r>
          </w:p>
        </w:tc>
        <w:tc>
          <w:tcPr>
            <w:tcW w:w="4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13,391</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6,718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2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4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115,735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81,917</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4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(29,686 )</w:t>
            </w: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(19,630 )</w:t>
            </w:r>
          </w:p>
        </w:tc>
      </w:tr>
      <w:tr>
        <w:trPr>
          <w:trHeight w:val="196"/>
        </w:trPr>
        <w:tc>
          <w:tcPr>
            <w:tcW w:w="428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Fixed assets, net</w:t>
            </w:r>
          </w:p>
        </w:tc>
        <w:tc>
          <w:tcPr>
            <w:tcW w:w="4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86,049</w:t>
            </w:r>
          </w:p>
        </w:tc>
        <w:tc>
          <w:tcPr>
            <w:tcW w:w="24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62,287</w:t>
            </w:r>
          </w:p>
        </w:tc>
        <w:tc>
          <w:tcPr>
            <w:tcW w:w="100" w:type="dxa"/>
            <w:vAlign w:val="bottom"/>
            <w:tcBorders>
              <w:top w:val="single" w:sz="8" w:color="CFF0FC"/>
            </w:tcBorders>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-424815</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-424815</wp:posOffset>
            </wp:positionV>
            <wp:extent cx="6858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-159385</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Depreciation expenses on fixed assets totaled $6.6 million and $2.3 million for the three months ended June 30, 2022 and 2021, respectively, and $10.3 million and $4.2 million for the six months ended June 30, 2022 and 2021,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Current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current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w w:val="84"/>
              </w:rPr>
              <w:t>thousands)</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Reagents and supplies</w:t>
            </w:r>
          </w:p>
        </w:tc>
        <w:tc>
          <w:tcPr>
            <w:tcW w:w="1360" w:type="dxa"/>
            <w:vAlign w:val="bottom"/>
            <w:shd w:val="clear" w:color="auto" w:fill="CFF0FC"/>
          </w:tcPr>
          <w:p>
            <w:pPr>
              <w:jc w:val="right"/>
              <w:ind w:right="1179"/>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11,942</w:t>
            </w:r>
          </w:p>
        </w:tc>
        <w:tc>
          <w:tcPr>
            <w:tcW w:w="80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12,206</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Prepaid expenses</w:t>
            </w:r>
          </w:p>
        </w:tc>
        <w:tc>
          <w:tcPr>
            <w:tcW w:w="13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9,419</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4,244</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Marketable securities interest receivable</w:t>
            </w:r>
          </w:p>
        </w:tc>
        <w:tc>
          <w:tcPr>
            <w:tcW w:w="13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2,692</w:t>
            </w:r>
          </w:p>
        </w:tc>
        <w:tc>
          <w:tcPr>
            <w:tcW w:w="3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2,743</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Other receivable</w:t>
            </w:r>
          </w:p>
        </w:tc>
        <w:tc>
          <w:tcPr>
            <w:tcW w:w="13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1,334</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c>
          <w:tcPr>
            <w:tcW w:w="100" w:type="dxa"/>
            <w:vAlign w:val="bottom"/>
          </w:tcPr>
          <w:p>
            <w:pPr>
              <w:spacing w:after="0"/>
              <w:rPr>
                <w:sz w:val="17"/>
                <w:szCs w:val="17"/>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income taxes</w:t>
            </w:r>
          </w:p>
        </w:tc>
        <w:tc>
          <w:tcPr>
            <w:tcW w:w="13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920</w:t>
            </w:r>
          </w:p>
        </w:tc>
        <w:tc>
          <w:tcPr>
            <w:tcW w:w="3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1,716</w:t>
            </w:r>
          </w:p>
        </w:tc>
        <w:tc>
          <w:tcPr>
            <w:tcW w:w="100" w:type="dxa"/>
            <w:vAlign w:val="bottom"/>
            <w:shd w:val="clear" w:color="auto" w:fill="CFF0FC"/>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Contract assets</w:t>
            </w:r>
          </w:p>
        </w:tc>
        <w:tc>
          <w:tcPr>
            <w:tcW w:w="1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w:t>
            </w:r>
          </w:p>
        </w:tc>
        <w:tc>
          <w:tcPr>
            <w:tcW w:w="3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w:t>
            </w:r>
          </w:p>
        </w:tc>
        <w:tc>
          <w:tcPr>
            <w:tcW w:w="100" w:type="dxa"/>
            <w:vAlign w:val="bottom"/>
          </w:tcPr>
          <w:p>
            <w:pPr>
              <w:spacing w:after="0"/>
              <w:rPr>
                <w:sz w:val="17"/>
                <w:szCs w:val="17"/>
                <w:color w:val="auto"/>
              </w:rPr>
            </w:pPr>
          </w:p>
        </w:tc>
      </w:tr>
      <w:tr>
        <w:trPr>
          <w:trHeight w:val="236"/>
        </w:trPr>
        <w:tc>
          <w:tcPr>
            <w:tcW w:w="67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FF0FC"/>
          </w:tcPr>
          <w:p>
            <w:pPr>
              <w:jc w:val="right"/>
              <w:ind w:right="1179"/>
              <w:spacing w:after="0" w:line="182"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26,480</w:t>
            </w:r>
          </w:p>
        </w:tc>
        <w:tc>
          <w:tcPr>
            <w:tcW w:w="3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22,549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Reagents and supplies include reagents and consumables used for COVID-19 testing and genetics testing and collection kits for COVID-19 testing.</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Reporting Segment and Geographic Information</w:t>
      </w:r>
    </w:p>
    <w:p>
      <w:pPr>
        <w:spacing w:after="0" w:line="108"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The Company views its operations and manages its business in one reporting segment. Long-lived assets were primarily located in the United States as of June 30, 2022 and December 31, 2021. Revenue by region during the three and six months ended June 30, 2022 and 2021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center"/>
              <w:ind w:right="275"/>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77"/>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74"/>
              </w:rPr>
              <w:t>thousands)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122,096</w:t>
            </w:r>
          </w:p>
        </w:tc>
        <w:tc>
          <w:tcPr>
            <w:tcW w:w="6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149,862</w:t>
            </w:r>
          </w:p>
        </w:tc>
        <w:tc>
          <w:tcPr>
            <w:tcW w:w="6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439,286</w:t>
            </w:r>
          </w:p>
        </w:tc>
        <w:tc>
          <w:tcPr>
            <w:tcW w:w="6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507,399</w:t>
            </w:r>
          </w:p>
        </w:tc>
        <w:tc>
          <w:tcPr>
            <w:tcW w:w="100" w:type="dxa"/>
            <w:vAlign w:val="bottom"/>
          </w:tcPr>
          <w:p>
            <w:pPr>
              <w:spacing w:after="0"/>
              <w:rPr>
                <w:sz w:val="17"/>
                <w:szCs w:val="17"/>
                <w:color w:val="auto"/>
              </w:rPr>
            </w:pPr>
          </w:p>
        </w:tc>
      </w:tr>
      <w:tr>
        <w:trPr>
          <w:trHeight w:val="203"/>
        </w:trPr>
        <w:tc>
          <w:tcPr>
            <w:tcW w:w="48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3,245</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3,754</w:t>
            </w:r>
          </w:p>
        </w:tc>
        <w:tc>
          <w:tcPr>
            <w:tcW w:w="2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6,323</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5,646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80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125,341</w:t>
            </w:r>
          </w:p>
        </w:tc>
        <w:tc>
          <w:tcPr>
            <w:tcW w:w="62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153,616</w:t>
            </w:r>
          </w:p>
        </w:tc>
        <w:tc>
          <w:tcPr>
            <w:tcW w:w="640" w:type="dxa"/>
            <w:vAlign w:val="bottom"/>
            <w:gridSpan w:val="2"/>
          </w:tcPr>
          <w:p>
            <w:pPr>
              <w:jc w:val="right"/>
              <w:ind w:right="26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445,609</w:t>
            </w:r>
          </w:p>
        </w:tc>
        <w:tc>
          <w:tcPr>
            <w:tcW w:w="6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513,045</w:t>
            </w:r>
          </w:p>
        </w:tc>
        <w:tc>
          <w:tcPr>
            <w:tcW w:w="10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15"/>
        </w:trPr>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36"/>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8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-639445</wp:posOffset>
            </wp:positionV>
            <wp:extent cx="7683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-639445</wp:posOffset>
            </wp:positionV>
            <wp:extent cx="7747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-639445</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-639445</wp:posOffset>
            </wp:positionV>
            <wp:extent cx="6858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Debt,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ind w:right="140" w:firstLine="509"/>
        <w:spacing w:after="0" w:line="253" w:lineRule="auto"/>
        <w:rPr>
          <w:sz w:val="20"/>
          <w:szCs w:val="20"/>
          <w:color w:val="auto"/>
        </w:rPr>
      </w:pPr>
      <w:r>
        <w:rPr>
          <w:rFonts w:ascii="Arial" w:cs="Arial" w:eastAsia="Arial" w:hAnsi="Arial"/>
          <w:sz w:val="17"/>
          <w:szCs w:val="17"/>
          <w:color w:val="auto"/>
        </w:rPr>
        <w:t>As of June 30, 2022, the Company had an outstanding borrowing of $15.0 million under its margin account with the custodian of the Company’s marketable debt security investment account, Pershing Advisor Solutions, LLC, a BNY Mellon Company. Margin account borrowings were used for the purchase of real property located in El Monte, California in 2020. The securities in the brokerage account were used as collateral for the margin loan. The custodian can issue a margin call at any time. The interest rate on the margin loan was the effective federal funds rate, or EFFR, plus a spread. The EFFR and/or the spread can be changed by BNY Mellon at any time. The interest was 1% at the time of withdrawal of $15.0 million from the margin account, and the interest rate at June 30, 2022 was less than 2%. The Company did not make any other withdrawals from the margin account, and the outstanding balance is included in the accompanying Condensed Consolidated Balance Sheets. The related interest expenses for the three and six months ended June 30, 2022 were $50,000 and $79,000, respectively. The related interest expenses for the three and six months ended June 30, 2021 were $29,000 and $58,000, respectively.</w:t>
      </w:r>
    </w:p>
    <w:p>
      <w:pPr>
        <w:spacing w:after="0" w:line="18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Notes payable as of June 30, 2022 consisted of $3.8 million of notes payable related to an installment sale contract the Company entered in February 2022 for a building and $5.3 million of notes payable to Xilong Scientific Co., Ltd, or Xilong Scientific, by Fujian Fujun Gene Biotech Co., Ltd., or FF Gene Biotech. The notes payable related to the installment sale are due in February 2030, and the interest rate is 1.08%. The current portion and noncurrent portion are $461,000 and $3.4 million, respectively, and the noncurrent portion is included in the other long-term liabilities in the accompanying Condensed Consolidated Balance Sheet. The notes payable to Xilong Scientific are due on December 31, 2022, and the interest rate on the loan is 4.97%. The related interest expenses for the three and six months ended June 30, 2022 were $77,000 and $156,000, respectively, and there were no related interest expenses for the three and six months ended June 30, 2021 as the Company did not have notes payable to Xilong Scientific until the second quarter of 2021 and did not have installment sale contract in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Leases, for further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As of June 30, 2022, the Company had non-cancelable purchase obligations of $22.8 million, of which, $7.7 million for reagents and other supplies, $6.6 million for services, $995,000 for software, and $732,000 for medical lab equipment are payable within twelve months, and $6.7 million for services is payable within the next twenty-four months.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jc w:val="both"/>
        <w:ind w:right="600" w:firstLine="509"/>
        <w:spacing w:after="0" w:line="248" w:lineRule="auto"/>
        <w:rPr>
          <w:sz w:val="20"/>
          <w:szCs w:val="20"/>
          <w:color w:val="auto"/>
        </w:rPr>
      </w:pPr>
      <w:r>
        <w:rPr>
          <w:rFonts w:ascii="Arial" w:cs="Arial" w:eastAsia="Arial" w:hAnsi="Arial"/>
          <w:sz w:val="18"/>
          <w:szCs w:val="18"/>
          <w:color w:val="auto"/>
        </w:rPr>
        <w:t>From time to time, the Company may be subject to legal proceedings and claims arising in the ordinary course of business. In the opinion of management, the outcome of these matters would not have a material effect on the Company’s condensed consolidated financial position, results of operations or cash flows.</w:t>
      </w:r>
    </w:p>
    <w:p>
      <w:pPr>
        <w:spacing w:after="0" w:line="182"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The Company has received a Civil Investigative Demand, or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the Company’s customers named in the CID, which represent a small portion of the Company’s revenues. The Company is fully cooperating with the U.S. Department of Justice to promptly respond to the requests for information in this CID, and does not presently expect this CID or resulting investigation to have a material adverse impact. However, the Company cannot predict when the investigation will be resolved, the outcome of the investigation or its potential impact, which may ultimately be greater than the Company currently expects.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10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Company is party as a lessee to various non-cancelable operating leases with varying terms through March 2028 primarily for laboratory and office space and equipment. The Company has options to renew some of these leases after their expirations. On a lease-by-lease basis, the Company considers such options, which may be elected at the Company’s sole discretion, in determining the lease term. The Company also has three finance leases for lab equipment through December 2026, one of which was acquired in a recent business combination. The Company retained acquirees’ classification of its leases. The Company does not have any leases with variable lease payments. The Company’s operating lease agreements do not contain any residual value guarantees, material restrictive covenants, bargain purchase options or asset retirement obligations.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ind w:right="80" w:firstLine="509"/>
        <w:spacing w:after="0" w:line="241" w:lineRule="auto"/>
        <w:rPr>
          <w:sz w:val="20"/>
          <w:szCs w:val="20"/>
          <w:color w:val="auto"/>
        </w:rPr>
      </w:pPr>
      <w:r>
        <w:rPr>
          <w:rFonts w:ascii="Arial" w:cs="Arial" w:eastAsia="Arial" w:hAnsi="Arial"/>
          <w:sz w:val="18"/>
          <w:szCs w:val="18"/>
          <w:color w:val="auto"/>
        </w:rPr>
        <w:t>The Company’s headquarters are located in Temple City,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Other CLIA-certified laboratories are located in Houston, Texas; Alpharetta, Georgia; Phoenix, Arizona; New York, New York; Irving, Texas; and Needham, Massachusetts. Additional offices are located in Atlanta, Georgia and are used for certain report generation functions.</w:t>
      </w:r>
    </w:p>
    <w:p>
      <w:pPr>
        <w:spacing w:after="0" w:line="189"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The operating and finance lease right-of-use asset, short-term lease liabilities, and long-term lease liabilities as of June 30, 2022 and December 31, 2021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4"/>
              </w:rPr>
              <w:t>December 31,</w:t>
            </w:r>
          </w:p>
        </w:tc>
      </w:tr>
      <w:tr>
        <w:trPr>
          <w:trHeight w:val="183"/>
        </w:trPr>
        <w:tc>
          <w:tcPr>
            <w:tcW w:w="4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4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5"/>
          </w:tcPr>
          <w:p>
            <w:pPr>
              <w:ind w:left="340"/>
              <w:spacing w:after="0"/>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ROU asset, net</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18,034</w:t>
            </w:r>
          </w:p>
        </w:tc>
        <w:tc>
          <w:tcPr>
            <w:tcW w:w="6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7,141</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short term</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6,216</w:t>
            </w: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1,842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long term</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w w:val="98"/>
              </w:rPr>
              <w:t>11,892</w:t>
            </w:r>
          </w:p>
        </w:tc>
        <w:tc>
          <w:tcPr>
            <w:tcW w:w="6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5,344</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Finance lease ROU asset, net</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2,671</w:t>
            </w: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1,735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liabilities, short term</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80" w:type="dxa"/>
            <w:vAlign w:val="bottom"/>
            <w:gridSpan w:val="3"/>
            <w:shd w:val="clear" w:color="auto" w:fill="CFF0FC"/>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741</w:t>
            </w:r>
          </w:p>
        </w:tc>
        <w:tc>
          <w:tcPr>
            <w:tcW w:w="6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Finance lease liabilities, long term</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1,938</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4"/>
        </w:trPr>
        <w:tc>
          <w:tcPr>
            <w:tcW w:w="4720" w:type="dxa"/>
            <w:vAlign w:val="bottom"/>
          </w:tcPr>
          <w:p>
            <w:pPr>
              <w:ind w:left="520"/>
              <w:spacing w:after="0"/>
              <w:rPr>
                <w:sz w:val="20"/>
                <w:szCs w:val="20"/>
                <w:color w:val="auto"/>
              </w:rPr>
            </w:pPr>
            <w:r>
              <w:rPr>
                <w:rFonts w:ascii="Arial" w:cs="Arial" w:eastAsia="Arial" w:hAnsi="Arial"/>
                <w:sz w:val="18"/>
                <w:szCs w:val="18"/>
                <w:color w:val="auto"/>
                <w:w w:val="93"/>
              </w:rPr>
              <w:t>The following was operating and finance lease expense:</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4720" w:type="dxa"/>
            <w:vAlign w:val="bottom"/>
          </w:tcPr>
          <w:p>
            <w:pPr>
              <w:spacing w:after="0"/>
              <w:rPr>
                <w:sz w:val="24"/>
                <w:szCs w:val="24"/>
                <w:color w:val="auto"/>
              </w:rPr>
            </w:pPr>
          </w:p>
        </w:tc>
        <w:tc>
          <w:tcPr>
            <w:tcW w:w="25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Six months ended June 30,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47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4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gridSpan w:val="6"/>
          </w:tcPr>
          <w:p>
            <w:pPr>
              <w:ind w:left="18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cost</w:t>
            </w:r>
          </w:p>
        </w:tc>
        <w:tc>
          <w:tcPr>
            <w:tcW w:w="840" w:type="dxa"/>
            <w:vAlign w:val="bottom"/>
            <w:shd w:val="clear" w:color="auto" w:fill="CFF0FC"/>
          </w:tcPr>
          <w:p>
            <w:pPr>
              <w:jc w:val="right"/>
              <w:ind w:right="659"/>
              <w:spacing w:after="0" w:line="202"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1,366</w:t>
            </w:r>
          </w:p>
        </w:tc>
        <w:tc>
          <w:tcPr>
            <w:tcW w:w="740" w:type="dxa"/>
            <w:vAlign w:val="bottom"/>
            <w:gridSpan w:val="2"/>
            <w:shd w:val="clear" w:color="auto" w:fill="CFF0FC"/>
          </w:tcPr>
          <w:p>
            <w:pPr>
              <w:jc w:val="right"/>
              <w:ind w:right="259"/>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w:t>
            </w: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1,904</w:t>
            </w:r>
          </w:p>
        </w:tc>
        <w:tc>
          <w:tcPr>
            <w:tcW w:w="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56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ROU assets</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70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265</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Interest on lease liabilities</w:t>
            </w:r>
          </w:p>
        </w:tc>
        <w:tc>
          <w:tcPr>
            <w:tcW w:w="8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8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834</w:t>
            </w:r>
          </w:p>
        </w:tc>
        <w:tc>
          <w:tcPr>
            <w:tcW w:w="3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931</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192</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720" w:type="dxa"/>
            <w:vAlign w:val="bottom"/>
          </w:tcPr>
          <w:p>
            <w:pPr>
              <w:ind w:left="20"/>
              <w:spacing w:after="0" w:line="182" w:lineRule="exact"/>
              <w:rPr>
                <w:sz w:val="20"/>
                <w:szCs w:val="20"/>
                <w:color w:val="auto"/>
              </w:rPr>
            </w:pPr>
            <w:r>
              <w:rPr>
                <w:rFonts w:ascii="Arial" w:cs="Arial" w:eastAsia="Arial" w:hAnsi="Arial"/>
                <w:sz w:val="18"/>
                <w:szCs w:val="18"/>
                <w:color w:val="auto"/>
              </w:rPr>
              <w:t>Total lease cost</w:t>
            </w:r>
          </w:p>
        </w:tc>
        <w:tc>
          <w:tcPr>
            <w:tcW w:w="840" w:type="dxa"/>
            <w:vAlign w:val="bottom"/>
            <w:tcBorders>
              <w:bottom w:val="single" w:sz="8" w:color="auto"/>
            </w:tcBorders>
          </w:tcPr>
          <w:p>
            <w:pPr>
              <w:jc w:val="right"/>
              <w:ind w:right="659"/>
              <w:spacing w:after="0" w:line="182"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2,390</w:t>
            </w:r>
          </w:p>
        </w:tc>
        <w:tc>
          <w:tcPr>
            <w:tcW w:w="3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line="182"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293</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20"/>
              <w:spacing w:after="0" w:line="182" w:lineRule="exact"/>
              <w:rPr>
                <w:sz w:val="20"/>
                <w:szCs w:val="20"/>
                <w:color w:val="auto"/>
              </w:rPr>
            </w:pPr>
            <w:r>
              <w:rPr>
                <w:rFonts w:ascii="Arial" w:cs="Arial" w:eastAsia="Arial" w:hAnsi="Arial"/>
                <w:sz w:val="18"/>
                <w:szCs w:val="18"/>
                <w:color w:val="auto"/>
              </w:rPr>
              <w:t>3,135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bottom w:val="single" w:sz="8" w:color="auto"/>
            </w:tcBorders>
          </w:tcPr>
          <w:p>
            <w:pPr>
              <w:jc w:val="right"/>
              <w:ind w:right="562"/>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7300" w:type="dxa"/>
            <w:vAlign w:val="bottom"/>
            <w:gridSpan w:val="6"/>
          </w:tcPr>
          <w:p>
            <w:pPr>
              <w:ind w:left="520"/>
              <w:spacing w:after="0"/>
              <w:rPr>
                <w:sz w:val="20"/>
                <w:szCs w:val="20"/>
                <w:color w:val="auto"/>
              </w:rPr>
            </w:pPr>
            <w:r>
              <w:rPr>
                <w:rFonts w:ascii="Arial" w:cs="Arial" w:eastAsia="Arial" w:hAnsi="Arial"/>
                <w:sz w:val="18"/>
                <w:szCs w:val="18"/>
                <w:color w:val="auto"/>
                <w:w w:val="94"/>
              </w:rPr>
              <w:t>Supplemental information related to operating leases and finance lease was the following:</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4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4"/>
                <w:szCs w:val="14"/>
                <w:b w:val="1"/>
                <w:bCs w:val="1"/>
                <w:color w:val="auto"/>
                <w:w w:val="90"/>
              </w:rPr>
              <w:t>June 30, 2022</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4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remaining lease term - operating leases</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5"/>
              </w:rPr>
              <w:t>3.54 years</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Weighted average discount rate - operating leases</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3.81 %</w:t>
            </w:r>
          </w:p>
        </w:tc>
      </w:tr>
      <w:tr>
        <w:trPr>
          <w:trHeight w:val="203"/>
        </w:trPr>
        <w:tc>
          <w:tcPr>
            <w:tcW w:w="4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remaining lease term -finance lease</w:t>
            </w: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w w:val="85"/>
              </w:rPr>
              <w:t>3.71 years</w:t>
            </w:r>
          </w:p>
        </w:tc>
        <w:tc>
          <w:tcPr>
            <w:tcW w:w="60" w:type="dxa"/>
            <w:vAlign w:val="bottom"/>
          </w:tcPr>
          <w:p>
            <w:pPr>
              <w:spacing w:after="0"/>
              <w:rPr>
                <w:sz w:val="17"/>
                <w:szCs w:val="17"/>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Weighted average discount rate - finance lease</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-1214120</wp:posOffset>
            </wp:positionV>
            <wp:extent cx="77470" cy="1600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16002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-1214120</wp:posOffset>
            </wp:positionV>
            <wp:extent cx="68580" cy="1600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-1214120</wp:posOffset>
            </wp:positionV>
            <wp:extent cx="68580" cy="1600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600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-1214120</wp:posOffset>
            </wp:positionV>
            <wp:extent cx="68580" cy="1600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160020"/>
                    </a:xfrm>
                    <a:prstGeom prst="rect">
                      <a:avLst/>
                    </a:prstGeom>
                    <a:noFill/>
                  </pic:spPr>
                </pic:pic>
              </a:graphicData>
            </a:graphic>
          </wp:anchor>
        </w:drawing>
      </w:r>
    </w:p>
    <w:p>
      <w:pPr>
        <w:spacing w:after="0" w:line="15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following is a maturity analysis of operating and finance lease liabilities using undiscounted cash flows on an annual basis with renewal periods included: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Operating Leases</w:t>
            </w:r>
          </w:p>
        </w:tc>
        <w:tc>
          <w:tcPr>
            <w:tcW w:w="320" w:type="dxa"/>
            <w:vAlign w:val="bottom"/>
            <w:gridSpan w:val="2"/>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Finance Lease</w:t>
            </w:r>
          </w:p>
        </w:tc>
        <w:tc>
          <w:tcPr>
            <w:tcW w:w="100" w:type="dxa"/>
            <w:vAlign w:val="bottom"/>
          </w:tcPr>
          <w:p>
            <w:pPr>
              <w:spacing w:after="0"/>
              <w:rPr>
                <w:sz w:val="16"/>
                <w:szCs w:val="16"/>
                <w:color w:val="auto"/>
              </w:rPr>
            </w:pPr>
          </w:p>
        </w:tc>
      </w:tr>
      <w:tr>
        <w:trPr>
          <w:trHeight w:val="196"/>
        </w:trPr>
        <w:tc>
          <w:tcPr>
            <w:tcW w:w="37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3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2022 (remaining 6 months)</w:t>
            </w:r>
          </w:p>
        </w:tc>
        <w:tc>
          <w:tcPr>
            <w:tcW w:w="3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3,451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412</w:t>
            </w:r>
          </w:p>
        </w:tc>
        <w:tc>
          <w:tcPr>
            <w:tcW w:w="10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3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6,613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w:t>
            </w:r>
          </w:p>
        </w:tc>
        <w:tc>
          <w:tcPr>
            <w:tcW w:w="10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4,093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818</w:t>
            </w:r>
          </w:p>
        </w:tc>
        <w:tc>
          <w:tcPr>
            <w:tcW w:w="10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3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2,124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1,523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366</w:t>
            </w:r>
          </w:p>
        </w:tc>
        <w:tc>
          <w:tcPr>
            <w:tcW w:w="100" w:type="dxa"/>
            <w:vAlign w:val="bottom"/>
          </w:tcPr>
          <w:p>
            <w:pPr>
              <w:spacing w:after="0"/>
              <w:rPr>
                <w:sz w:val="17"/>
                <w:szCs w:val="17"/>
                <w:color w:val="auto"/>
              </w:rPr>
            </w:pPr>
          </w:p>
        </w:tc>
      </w:tr>
      <w:tr>
        <w:trPr>
          <w:trHeight w:val="203"/>
        </w:trPr>
        <w:tc>
          <w:tcPr>
            <w:tcW w:w="3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3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6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217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376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 lease payments</w:t>
            </w:r>
          </w:p>
        </w:tc>
        <w:tc>
          <w:tcPr>
            <w:tcW w:w="30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19,381</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2,861</w:t>
            </w:r>
          </w:p>
        </w:tc>
        <w:tc>
          <w:tcPr>
            <w:tcW w:w="100" w:type="dxa"/>
            <w:vAlign w:val="bottom"/>
            <w:shd w:val="clear" w:color="auto" w:fill="CFF0FC"/>
          </w:tcPr>
          <w:p>
            <w:pPr>
              <w:spacing w:after="0"/>
              <w:rPr>
                <w:sz w:val="17"/>
                <w:szCs w:val="17"/>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(1,273 )</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(182 )</w:t>
            </w:r>
          </w:p>
        </w:tc>
      </w:tr>
      <w:tr>
        <w:trPr>
          <w:trHeight w:val="236"/>
        </w:trPr>
        <w:tc>
          <w:tcPr>
            <w:tcW w:w="3760" w:type="dxa"/>
            <w:vAlign w:val="bottom"/>
            <w:tcBorders>
              <w:bottom w:val="single" w:sz="8" w:color="CFF0FC"/>
            </w:tcBorders>
            <w:shd w:val="clear" w:color="auto" w:fill="CFF0FC"/>
          </w:tcPr>
          <w:p>
            <w:pPr>
              <w:ind w:left="120"/>
              <w:spacing w:after="0" w:line="182" w:lineRule="exact"/>
              <w:rPr>
                <w:sz w:val="20"/>
                <w:szCs w:val="20"/>
                <w:color w:val="auto"/>
              </w:rPr>
            </w:pPr>
            <w:r>
              <w:rPr>
                <w:rFonts w:ascii="Arial" w:cs="Arial" w:eastAsia="Arial" w:hAnsi="Arial"/>
                <w:sz w:val="18"/>
                <w:szCs w:val="18"/>
                <w:color w:val="auto"/>
              </w:rPr>
              <w:t>Total</w:t>
            </w:r>
          </w:p>
        </w:tc>
        <w:tc>
          <w:tcPr>
            <w:tcW w:w="30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18,108</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2,679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3760" w:type="dxa"/>
            <w:vAlign w:val="bottom"/>
          </w:tcPr>
          <w:p>
            <w:pPr>
              <w:spacing w:after="0"/>
              <w:rPr>
                <w:sz w:val="24"/>
                <w:szCs w:val="24"/>
                <w:color w:val="auto"/>
              </w:rPr>
            </w:pPr>
          </w:p>
        </w:tc>
        <w:tc>
          <w:tcPr>
            <w:tcW w:w="3040" w:type="dxa"/>
            <w:vAlign w:val="bottom"/>
          </w:tcPr>
          <w:p>
            <w:pPr>
              <w:jc w:val="right"/>
              <w:ind w:right="99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760" w:type="dxa"/>
            <w:vAlign w:val="bottom"/>
            <w:tcBorders>
              <w:bottom w:val="single" w:sz="8" w:color="9A9A9A"/>
            </w:tcBorders>
          </w:tcPr>
          <w:p>
            <w:pPr>
              <w:spacing w:after="0"/>
              <w:rPr>
                <w:sz w:val="7"/>
                <w:szCs w:val="7"/>
                <w:color w:val="auto"/>
              </w:rPr>
            </w:pPr>
          </w:p>
        </w:tc>
        <w:tc>
          <w:tcPr>
            <w:tcW w:w="30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-496570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-479425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41" w:right="2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Lessor</w:t>
      </w:r>
    </w:p>
    <w:p>
      <w:pPr>
        <w:spacing w:after="0" w:line="10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The Company leases out space in buildings it owns and leases to third-party tenants under noncancelable operating leases. As of June 30, 2022, the remaining lease terms left range from 6 months to 38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88"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lease income was included in interest and other income, net, in the accompanying Condensed Consolidated Statements of Income. Total lease income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8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w w:val="90"/>
              </w:rPr>
              <w:t>Six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680" w:type="dxa"/>
            <w:vAlign w:val="bottom"/>
          </w:tcPr>
          <w:p>
            <w:pPr>
              <w:spacing w:after="0"/>
              <w:rPr>
                <w:sz w:val="15"/>
                <w:szCs w:val="15"/>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income</w:t>
            </w:r>
          </w:p>
        </w:tc>
        <w:tc>
          <w:tcPr>
            <w:tcW w:w="960" w:type="dxa"/>
            <w:vAlign w:val="bottom"/>
            <w:shd w:val="clear" w:color="auto" w:fill="CFF0FC"/>
          </w:tcPr>
          <w:p>
            <w:pPr>
              <w:jc w:val="right"/>
              <w:ind w:right="779"/>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w:t>
            </w:r>
          </w:p>
        </w:tc>
        <w:tc>
          <w:tcPr>
            <w:tcW w:w="1320" w:type="dxa"/>
            <w:vAlign w:val="bottom"/>
            <w:gridSpan w:val="2"/>
            <w:shd w:val="clear" w:color="auto" w:fill="CFF0FC"/>
          </w:tcPr>
          <w:p>
            <w:pPr>
              <w:jc w:val="right"/>
              <w:ind w:right="839"/>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w:t>
            </w:r>
          </w:p>
        </w:tc>
        <w:tc>
          <w:tcPr>
            <w:tcW w:w="1020" w:type="dxa"/>
            <w:vAlign w:val="bottom"/>
            <w:gridSpan w:val="2"/>
            <w:shd w:val="clear" w:color="auto" w:fill="CFF0FC"/>
          </w:tcPr>
          <w:p>
            <w:pPr>
              <w:jc w:val="right"/>
              <w:ind w:right="579"/>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181</w:t>
            </w:r>
          </w:p>
        </w:tc>
        <w:tc>
          <w:tcPr>
            <w:tcW w:w="1480" w:type="dxa"/>
            <w:vAlign w:val="bottom"/>
            <w:gridSpan w:val="2"/>
            <w:shd w:val="clear" w:color="auto" w:fill="CFF0FC"/>
          </w:tcPr>
          <w:p>
            <w:pPr>
              <w:jc w:val="right"/>
              <w:ind w:right="1019"/>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7"/>
                <w:szCs w:val="17"/>
                <w:color w:val="auto"/>
              </w:rPr>
            </w:pPr>
          </w:p>
        </w:tc>
      </w:tr>
      <w:tr>
        <w:trPr>
          <w:trHeight w:val="203"/>
        </w:trPr>
        <w:tc>
          <w:tcPr>
            <w:tcW w:w="4680" w:type="dxa"/>
            <w:vAlign w:val="bottom"/>
          </w:tcPr>
          <w:p>
            <w:pPr>
              <w:ind w:left="20"/>
              <w:spacing w:after="0" w:line="202" w:lineRule="exact"/>
              <w:rPr>
                <w:sz w:val="20"/>
                <w:szCs w:val="20"/>
                <w:color w:val="auto"/>
              </w:rPr>
            </w:pPr>
            <w:r>
              <w:rPr>
                <w:rFonts w:ascii="Arial" w:cs="Arial" w:eastAsia="Arial" w:hAnsi="Arial"/>
                <w:sz w:val="18"/>
                <w:szCs w:val="18"/>
                <w:color w:val="auto"/>
              </w:rPr>
              <w:t>Variable lease income</w:t>
            </w: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w:t>
            </w:r>
          </w:p>
        </w:tc>
        <w:tc>
          <w:tcPr>
            <w:tcW w:w="3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r>
      <w:tr>
        <w:trPr>
          <w:trHeight w:val="236"/>
        </w:trPr>
        <w:tc>
          <w:tcPr>
            <w:tcW w:w="4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income</w:t>
            </w:r>
          </w:p>
        </w:tc>
        <w:tc>
          <w:tcPr>
            <w:tcW w:w="960" w:type="dxa"/>
            <w:vAlign w:val="bottom"/>
            <w:tcBorders>
              <w:bottom w:val="single" w:sz="8" w:color="auto"/>
            </w:tcBorders>
            <w:shd w:val="clear" w:color="auto" w:fill="CFF0FC"/>
          </w:tcPr>
          <w:p>
            <w:pPr>
              <w:jc w:val="right"/>
              <w:ind w:right="779"/>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w:t>
            </w:r>
          </w:p>
        </w:tc>
        <w:tc>
          <w:tcPr>
            <w:tcW w:w="3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w:t>
            </w:r>
          </w:p>
        </w:tc>
        <w:tc>
          <w:tcPr>
            <w:tcW w:w="2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579"/>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w:t>
            </w:r>
          </w:p>
        </w:tc>
        <w:tc>
          <w:tcPr>
            <w:tcW w:w="28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019"/>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-25400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-7620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fixed lease payments from tenants for all noncancelable operating leases as of June 30, 2022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0" w:type="dxa"/>
            <w:vAlign w:val="bottom"/>
          </w:tcPr>
          <w:p>
            <w:pPr>
              <w:jc w:val="center"/>
              <w:ind w:right="417"/>
              <w:spacing w:after="0"/>
              <w:rPr>
                <w:sz w:val="20"/>
                <w:szCs w:val="20"/>
                <w:color w:val="auto"/>
              </w:rPr>
            </w:pPr>
            <w:r>
              <w:rPr>
                <w:rFonts w:ascii="Arial" w:cs="Arial" w:eastAsia="Arial" w:hAnsi="Arial"/>
                <w:sz w:val="14"/>
                <w:szCs w:val="14"/>
                <w:b w:val="1"/>
                <w:bCs w:val="1"/>
                <w:color w:val="auto"/>
                <w:w w:val="89"/>
              </w:rPr>
              <w:t>Lease Payments</w:t>
            </w:r>
          </w:p>
        </w:tc>
        <w:tc>
          <w:tcPr>
            <w:tcW w:w="100" w:type="dxa"/>
            <w:vAlign w:val="bottom"/>
          </w:tcPr>
          <w:p>
            <w:pPr>
              <w:spacing w:after="0"/>
              <w:rPr>
                <w:sz w:val="16"/>
                <w:szCs w:val="16"/>
                <w:color w:val="auto"/>
              </w:rPr>
            </w:pPr>
          </w:p>
        </w:tc>
      </w:tr>
      <w:tr>
        <w:trPr>
          <w:trHeight w:val="188"/>
        </w:trPr>
        <w:tc>
          <w:tcPr>
            <w:tcW w:w="84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jc w:val="center"/>
              <w:ind w:right="417"/>
              <w:spacing w:after="0"/>
              <w:rPr>
                <w:sz w:val="20"/>
                <w:szCs w:val="20"/>
                <w:color w:val="auto"/>
              </w:rPr>
            </w:pPr>
            <w:r>
              <w:rPr>
                <w:rFonts w:ascii="Arial" w:cs="Arial" w:eastAsia="Arial" w:hAnsi="Arial"/>
                <w:sz w:val="14"/>
                <w:szCs w:val="14"/>
                <w:b w:val="1"/>
                <w:bCs w:val="1"/>
                <w:color w:val="auto"/>
                <w:w w:val="92"/>
              </w:rPr>
              <w:t>from Tenants</w:t>
            </w:r>
          </w:p>
        </w:tc>
        <w:tc>
          <w:tcPr>
            <w:tcW w:w="100" w:type="dxa"/>
            <w:vAlign w:val="bottom"/>
          </w:tcPr>
          <w:p>
            <w:pPr>
              <w:spacing w:after="0"/>
              <w:rPr>
                <w:sz w:val="16"/>
                <w:szCs w:val="16"/>
                <w:color w:val="auto"/>
              </w:rPr>
            </w:pPr>
          </w:p>
        </w:tc>
      </w:tr>
      <w:tr>
        <w:trPr>
          <w:trHeight w:val="196"/>
        </w:trPr>
        <w:tc>
          <w:tcPr>
            <w:tcW w:w="8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0" w:type="dxa"/>
            <w:vAlign w:val="bottom"/>
          </w:tcPr>
          <w:p>
            <w:pPr>
              <w:jc w:val="center"/>
              <w:ind w:right="397"/>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7"/>
                <w:szCs w:val="17"/>
                <w:color w:val="auto"/>
              </w:rPr>
            </w:pPr>
          </w:p>
        </w:tc>
      </w:tr>
      <w:tr>
        <w:trPr>
          <w:trHeight w:val="203"/>
        </w:trPr>
        <w:tc>
          <w:tcPr>
            <w:tcW w:w="8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48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460" w:type="dxa"/>
            <w:vAlign w:val="bottom"/>
          </w:tcPr>
          <w:p>
            <w:pPr>
              <w:ind w:left="20"/>
              <w:spacing w:after="0" w:line="202" w:lineRule="exact"/>
              <w:rPr>
                <w:sz w:val="20"/>
                <w:szCs w:val="20"/>
                <w:color w:val="auto"/>
              </w:rPr>
            </w:pPr>
            <w:r>
              <w:rPr>
                <w:rFonts w:ascii="Arial" w:cs="Arial" w:eastAsia="Arial" w:hAnsi="Arial"/>
                <w:sz w:val="18"/>
                <w:szCs w:val="18"/>
                <w:color w:val="auto"/>
              </w:rPr>
              <w:t>2022 (remaining 6 months)</w:t>
            </w: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100" w:type="dxa"/>
            <w:vAlign w:val="bottom"/>
          </w:tcPr>
          <w:p>
            <w:pPr>
              <w:spacing w:after="0"/>
              <w:rPr>
                <w:sz w:val="17"/>
                <w:szCs w:val="17"/>
                <w:color w:val="auto"/>
              </w:rPr>
            </w:pPr>
          </w:p>
        </w:tc>
      </w:tr>
      <w:tr>
        <w:trPr>
          <w:trHeight w:val="203"/>
        </w:trPr>
        <w:tc>
          <w:tcPr>
            <w:tcW w:w="84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480" w:type="dxa"/>
            <w:vAlign w:val="bottom"/>
            <w:shd w:val="clear" w:color="auto" w:fill="CFF0FC"/>
          </w:tcPr>
          <w:p>
            <w:pPr>
              <w:spacing w:after="0"/>
              <w:rPr>
                <w:sz w:val="17"/>
                <w:szCs w:val="17"/>
                <w:color w:val="auto"/>
              </w:rPr>
            </w:pPr>
          </w:p>
        </w:tc>
        <w:tc>
          <w:tcPr>
            <w:tcW w:w="2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17"/>
                <w:szCs w:val="17"/>
                <w:color w:val="auto"/>
              </w:rPr>
            </w:pPr>
          </w:p>
        </w:tc>
      </w:tr>
      <w:tr>
        <w:trPr>
          <w:trHeight w:val="203"/>
        </w:trPr>
        <w:tc>
          <w:tcPr>
            <w:tcW w:w="846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480" w:type="dxa"/>
            <w:vAlign w:val="bottom"/>
          </w:tcPr>
          <w:p>
            <w:pPr>
              <w:spacing w:after="0"/>
              <w:rPr>
                <w:sz w:val="17"/>
                <w:szCs w:val="17"/>
                <w:color w:val="auto"/>
              </w:rPr>
            </w:pPr>
          </w:p>
        </w:tc>
        <w:tc>
          <w:tcPr>
            <w:tcW w:w="2200" w:type="dxa"/>
            <w:vAlign w:val="bottom"/>
          </w:tcPr>
          <w:p>
            <w:pPr>
              <w:jc w:val="right"/>
              <w:spacing w:after="0" w:line="202" w:lineRule="exact"/>
              <w:rPr>
                <w:sz w:val="20"/>
                <w:szCs w:val="20"/>
                <w:color w:val="auto"/>
              </w:rPr>
            </w:pPr>
            <w:r>
              <w:rPr>
                <w:rFonts w:ascii="Arial" w:cs="Arial" w:eastAsia="Arial" w:hAnsi="Arial"/>
                <w:sz w:val="18"/>
                <w:szCs w:val="18"/>
                <w:color w:val="auto"/>
              </w:rPr>
              <w:t>180</w:t>
            </w:r>
          </w:p>
        </w:tc>
        <w:tc>
          <w:tcPr>
            <w:tcW w:w="100" w:type="dxa"/>
            <w:vAlign w:val="bottom"/>
          </w:tcPr>
          <w:p>
            <w:pPr>
              <w:spacing w:after="0"/>
              <w:rPr>
                <w:sz w:val="17"/>
                <w:szCs w:val="17"/>
                <w:color w:val="auto"/>
              </w:rPr>
            </w:pPr>
          </w:p>
        </w:tc>
      </w:tr>
      <w:tr>
        <w:trPr>
          <w:trHeight w:val="203"/>
        </w:trPr>
        <w:tc>
          <w:tcPr>
            <w:tcW w:w="8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480" w:type="dxa"/>
            <w:vAlign w:val="bottom"/>
            <w:tcBorders>
              <w:bottom w:val="single" w:sz="8" w:color="auto"/>
            </w:tcBorders>
            <w:shd w:val="clear" w:color="auto" w:fill="CFF0FC"/>
          </w:tcPr>
          <w:p>
            <w:pPr>
              <w:spacing w:after="0"/>
              <w:rPr>
                <w:sz w:val="17"/>
                <w:szCs w:val="17"/>
                <w:color w:val="auto"/>
              </w:rPr>
            </w:pPr>
          </w:p>
        </w:tc>
        <w:tc>
          <w:tcPr>
            <w:tcW w:w="2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460" w:type="dxa"/>
            <w:vAlign w:val="bottom"/>
          </w:tcPr>
          <w:p>
            <w:pPr>
              <w:ind w:left="120"/>
              <w:spacing w:after="0" w:line="182" w:lineRule="exact"/>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728</w:t>
            </w:r>
          </w:p>
        </w:tc>
        <w:tc>
          <w:tcPr>
            <w:tcW w:w="100" w:type="dxa"/>
            <w:vAlign w:val="bottom"/>
          </w:tcPr>
          <w:p>
            <w:pPr>
              <w:spacing w:after="0"/>
              <w:rPr>
                <w:sz w:val="17"/>
                <w:szCs w:val="17"/>
                <w:color w:val="auto"/>
              </w:rPr>
            </w:pPr>
          </w:p>
        </w:tc>
      </w:tr>
      <w:tr>
        <w:trPr>
          <w:trHeight w:val="20"/>
        </w:trPr>
        <w:tc>
          <w:tcPr>
            <w:tcW w:w="8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1600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600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81" w:lineRule="exact"/>
        <w:rPr>
          <w:sz w:val="20"/>
          <w:szCs w:val="20"/>
          <w:color w:val="auto"/>
        </w:rPr>
      </w:pPr>
    </w:p>
    <w:p>
      <w:pPr>
        <w:ind w:right="140" w:firstLine="509"/>
        <w:spacing w:after="0" w:line="235" w:lineRule="auto"/>
        <w:rPr>
          <w:sz w:val="20"/>
          <w:szCs w:val="20"/>
          <w:color w:val="auto"/>
        </w:rPr>
      </w:pPr>
      <w:r>
        <w:rPr>
          <w:rFonts w:ascii="Arial" w:cs="Arial" w:eastAsia="Arial" w:hAnsi="Arial"/>
          <w:sz w:val="18"/>
          <w:szCs w:val="18"/>
          <w:color w:val="auto"/>
        </w:rPr>
        <w:t>The Company has included equity-based compensation expense as part of cost of revenue and operating expenses in the accompanying Condensed Consolidated Statements of Income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56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80" w:type="dxa"/>
            <w:vAlign w:val="bottom"/>
            <w:gridSpan w:val="2"/>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w w:val="74"/>
              </w:rPr>
              <w:t>thousands)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920" w:type="dxa"/>
            <w:vAlign w:val="bottom"/>
            <w:shd w:val="clear" w:color="auto" w:fill="CFF0FC"/>
          </w:tcPr>
          <w:p>
            <w:pPr>
              <w:jc w:val="right"/>
              <w:ind w:right="737"/>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4"/>
              </w:rPr>
              <w:t>2,243</w:t>
            </w:r>
          </w:p>
        </w:tc>
        <w:tc>
          <w:tcPr>
            <w:tcW w:w="1220" w:type="dxa"/>
            <w:vAlign w:val="bottom"/>
            <w:gridSpan w:val="3"/>
            <w:shd w:val="clear" w:color="auto" w:fill="CFF0FC"/>
          </w:tcPr>
          <w:p>
            <w:pPr>
              <w:jc w:val="right"/>
              <w:ind w:right="768"/>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692</w:t>
            </w:r>
          </w:p>
        </w:tc>
        <w:tc>
          <w:tcPr>
            <w:tcW w:w="6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3,708</w:t>
            </w:r>
          </w:p>
        </w:tc>
        <w:tc>
          <w:tcPr>
            <w:tcW w:w="600" w:type="dxa"/>
            <w:vAlign w:val="bottom"/>
            <w:gridSpan w:val="3"/>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1,366</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4"/>
              </w:rPr>
              <w:t>2,502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1,481</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2,704</w:t>
            </w:r>
          </w:p>
        </w:tc>
        <w:tc>
          <w:tcPr>
            <w:tcW w:w="100" w:type="dxa"/>
            <w:vAlign w:val="bottom"/>
          </w:tcPr>
          <w:p>
            <w:pPr>
              <w:spacing w:after="0"/>
              <w:rPr>
                <w:sz w:val="17"/>
                <w:szCs w:val="17"/>
                <w:color w:val="auto"/>
              </w:rPr>
            </w:pPr>
          </w:p>
        </w:tc>
      </w:tr>
      <w:tr>
        <w:trPr>
          <w:trHeight w:val="203"/>
        </w:trPr>
        <w:tc>
          <w:tcPr>
            <w:tcW w:w="48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and marketing</w:t>
            </w:r>
          </w:p>
        </w:tc>
        <w:tc>
          <w:tcPr>
            <w:tcW w:w="9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4"/>
              </w:rPr>
              <w:t>1,080</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620</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1,046</w:t>
            </w:r>
          </w:p>
        </w:tc>
        <w:tc>
          <w:tcPr>
            <w:tcW w:w="100" w:type="dxa"/>
            <w:vAlign w:val="bottom"/>
            <w:shd w:val="clear" w:color="auto" w:fill="CFF0FC"/>
          </w:tcPr>
          <w:p>
            <w:pPr>
              <w:spacing w:after="0"/>
              <w:rPr>
                <w:sz w:val="17"/>
                <w:szCs w:val="17"/>
                <w:color w:val="auto"/>
              </w:rPr>
            </w:pPr>
          </w:p>
        </w:tc>
      </w:tr>
      <w:tr>
        <w:trPr>
          <w:trHeight w:val="203"/>
        </w:trPr>
        <w:tc>
          <w:tcPr>
            <w:tcW w:w="480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4"/>
              </w:rPr>
              <w:t>2,205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733</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3,610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1,372</w:t>
            </w:r>
          </w:p>
        </w:tc>
        <w:tc>
          <w:tcPr>
            <w:tcW w:w="100" w:type="dxa"/>
            <w:vAlign w:val="bottom"/>
          </w:tcPr>
          <w:p>
            <w:pPr>
              <w:spacing w:after="0"/>
              <w:rPr>
                <w:sz w:val="17"/>
                <w:szCs w:val="17"/>
                <w:color w:val="auto"/>
              </w:rPr>
            </w:pPr>
          </w:p>
        </w:tc>
      </w:tr>
      <w:tr>
        <w:trPr>
          <w:trHeight w:val="236"/>
        </w:trPr>
        <w:tc>
          <w:tcPr>
            <w:tcW w:w="48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ind w:right="737"/>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8,030</w:t>
            </w:r>
          </w:p>
        </w:tc>
        <w:tc>
          <w:tcPr>
            <w:tcW w:w="12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gridSpan w:val="2"/>
            <w:shd w:val="clear" w:color="auto" w:fill="CFF0FC"/>
          </w:tcPr>
          <w:p>
            <w:pPr>
              <w:jc w:val="right"/>
              <w:ind w:right="768"/>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3,526</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13,646</w:t>
            </w:r>
          </w:p>
        </w:tc>
        <w:tc>
          <w:tcPr>
            <w:tcW w:w="10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6,488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88"/>
        </w:trPr>
        <w:tc>
          <w:tcPr>
            <w:tcW w:w="48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8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-488315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-471170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-488315</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-471170</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-488315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-471170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Provision for Income Taxes</w:t>
      </w:r>
    </w:p>
    <w:p>
      <w:pPr>
        <w:spacing w:after="0" w:line="9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5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Company recorded consolidated provision for income taxes of $2.7 million and $51.1 million for the three and six months ended June 30, 2022, respectively, compared with $23.6 million and $90.1 million for the three and six months ended June 30, 2021, respectively. The Company’s effective tax rates were 19% and 24% for the three and six months ended June 30, 2022, respectively, compared with 24% and 25% or the three and six months ended June 30, 2021, respectively. The decrease in the effective tax rate for the three and six months ended June 30, 2022, relative to 2021, was primarily attributable to international restructuring.</w:t>
      </w:r>
    </w:p>
    <w:p>
      <w:pPr>
        <w:spacing w:after="0" w:line="189"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auto"/>
        </w:rPr>
        <w:t>The Company is not currently under examination by any major income tax jurisdiction. During 2022, the statutes of limitations will lapse on the Company's 2018 federal tax year and certain 2017 and 2018 state tax years. The Company does not believe the federal or state statute lapses or any other event will significantly impact the balance of unrecognized tax benefits in the next twelve months. The net balance of unrecognized tax benefits was not material to the interim financial statements for the three and six months ended June 30, 2022 and 2021.</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calculation of basic and diluted income per share for the three and six months ended June 30, 2022 and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6"/>
          </w:tcPr>
          <w:p>
            <w:pPr>
              <w:jc w:val="right"/>
              <w:ind w:right="175"/>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 attributable to Fulgent</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11,537</w:t>
            </w:r>
          </w:p>
        </w:tc>
        <w:tc>
          <w:tcPr>
            <w:tcW w:w="1140" w:type="dxa"/>
            <w:vAlign w:val="bottom"/>
            <w:gridSpan w:val="3"/>
            <w:shd w:val="clear" w:color="auto" w:fill="CFF0FC"/>
          </w:tcPr>
          <w:p>
            <w:pPr>
              <w:jc w:val="right"/>
              <w:ind w:right="679"/>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79,812</w:t>
            </w:r>
          </w:p>
        </w:tc>
        <w:tc>
          <w:tcPr>
            <w:tcW w:w="100" w:type="dxa"/>
            <w:vAlign w:val="bottom"/>
            <w:shd w:val="clear" w:color="auto" w:fill="CFF0FC"/>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165,516</w:t>
            </w:r>
          </w:p>
        </w:tc>
        <w:tc>
          <w:tcPr>
            <w:tcW w:w="660" w:type="dxa"/>
            <w:vAlign w:val="bottom"/>
            <w:gridSpan w:val="3"/>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280,503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64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Weighted-average common shares—outstanding, basic</w:t>
            </w: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30,362</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87"/>
              </w:rPr>
              <w:t>29,150</w:t>
            </w:r>
          </w:p>
        </w:tc>
        <w:tc>
          <w:tcPr>
            <w:tcW w:w="100" w:type="dxa"/>
            <w:vAlign w:val="bottom"/>
            <w:tcBorders>
              <w:top w:val="single" w:sz="8" w:color="CFF0FC"/>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30,298</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28,991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common shares—outstanding, diluted</w:t>
            </w: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31,189</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87"/>
              </w:rPr>
              <w:t>30,830</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31,225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30,809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640" w:type="dxa"/>
            <w:vAlign w:val="bottom"/>
          </w:tcPr>
          <w:p>
            <w:pPr>
              <w:ind w:left="20"/>
              <w:spacing w:after="0" w:line="183" w:lineRule="exact"/>
              <w:rPr>
                <w:sz w:val="20"/>
                <w:szCs w:val="20"/>
                <w:color w:val="auto"/>
              </w:rPr>
            </w:pPr>
            <w:r>
              <w:rPr>
                <w:rFonts w:ascii="Arial" w:cs="Arial" w:eastAsia="Arial" w:hAnsi="Arial"/>
                <w:sz w:val="18"/>
                <w:szCs w:val="18"/>
                <w:color w:val="auto"/>
              </w:rPr>
              <w:t>Net income per common share, basic</w:t>
            </w: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3" w:lineRule="exact"/>
              <w:rPr>
                <w:sz w:val="20"/>
                <w:szCs w:val="20"/>
                <w:color w:val="auto"/>
              </w:rPr>
            </w:pPr>
            <w:r>
              <w:rPr>
                <w:rFonts w:ascii="Arial" w:cs="Arial" w:eastAsia="Arial" w:hAnsi="Arial"/>
                <w:sz w:val="18"/>
                <w:szCs w:val="18"/>
                <w:color w:val="auto"/>
              </w:rPr>
              <w:t>0.38</w:t>
            </w:r>
          </w:p>
        </w:tc>
        <w:tc>
          <w:tcPr>
            <w:tcW w:w="1140" w:type="dxa"/>
            <w:vAlign w:val="bottom"/>
            <w:gridSpan w:val="3"/>
          </w:tcPr>
          <w:p>
            <w:pPr>
              <w:jc w:val="right"/>
              <w:ind w:right="679"/>
              <w:spacing w:after="0" w:line="183"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83" w:lineRule="exact"/>
              <w:rPr>
                <w:sz w:val="20"/>
                <w:szCs w:val="20"/>
                <w:color w:val="auto"/>
              </w:rPr>
            </w:pPr>
            <w:r>
              <w:rPr>
                <w:rFonts w:ascii="Arial" w:cs="Arial" w:eastAsia="Arial" w:hAnsi="Arial"/>
                <w:sz w:val="18"/>
                <w:szCs w:val="18"/>
                <w:color w:val="auto"/>
              </w:rPr>
              <w:t>2.74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5.46</w:t>
            </w:r>
          </w:p>
        </w:tc>
        <w:tc>
          <w:tcPr>
            <w:tcW w:w="660" w:type="dxa"/>
            <w:vAlign w:val="bottom"/>
            <w:gridSpan w:val="3"/>
          </w:tcPr>
          <w:p>
            <w:pPr>
              <w:jc w:val="right"/>
              <w:ind w:right="170"/>
              <w:spacing w:after="0" w:line="18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8"/>
                <w:szCs w:val="18"/>
                <w:color w:val="auto"/>
              </w:rPr>
              <w:t>9.68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income per common share, diluted</w:t>
            </w: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0.37</w:t>
            </w:r>
          </w:p>
        </w:tc>
        <w:tc>
          <w:tcPr>
            <w:tcW w:w="280" w:type="dxa"/>
            <w:vAlign w:val="bottom"/>
            <w:tcBorders>
              <w:bottom w:val="single" w:sz="8" w:color="CFF0FC"/>
            </w:tcBorders>
            <w:gridSpan w:val="2"/>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9"/>
              <w:spacing w:after="0" w:line="18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2.59</w:t>
            </w:r>
          </w:p>
        </w:tc>
        <w:tc>
          <w:tcPr>
            <w:tcW w:w="100" w:type="dxa"/>
            <w:vAlign w:val="bottom"/>
            <w:tcBorders>
              <w:bottom w:val="single" w:sz="8" w:color="CFF0FC"/>
            </w:tcBorders>
            <w:shd w:val="clear" w:color="auto" w:fill="CFF0FC"/>
          </w:tcPr>
          <w:p>
            <w:pPr>
              <w:spacing w:after="0"/>
              <w:rPr>
                <w:sz w:val="19"/>
                <w:szCs w:val="19"/>
                <w:color w:val="auto"/>
              </w:rPr>
            </w:pPr>
          </w:p>
        </w:tc>
        <w:tc>
          <w:tcPr>
            <w:tcW w:w="260" w:type="dxa"/>
            <w:vAlign w:val="bottom"/>
            <w:vMerge w:val="continue"/>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5.30</w:t>
            </w:r>
          </w:p>
        </w:tc>
        <w:tc>
          <w:tcPr>
            <w:tcW w:w="300" w:type="dxa"/>
            <w:vAlign w:val="bottom"/>
            <w:tcBorders>
              <w:bottom w:val="single" w:sz="8" w:color="CFF0FC"/>
            </w:tcBorders>
            <w:gridSpan w:val="2"/>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9.10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-642620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-624840</wp:posOffset>
            </wp:positionV>
            <wp:extent cx="774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-642620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-624840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-642620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-624840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-334010</wp:posOffset>
            </wp:positionV>
            <wp:extent cx="7747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-316230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-334010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-316230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securities have been excluded from the calculation of diluted income per share because their effect would have been anti-dilutive: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210"/>
        </w:trPr>
        <w:tc>
          <w:tcPr>
            <w:tcW w:w="4540" w:type="dxa"/>
            <w:vAlign w:val="bottom"/>
          </w:tcPr>
          <w:p>
            <w:pPr>
              <w:spacing w:after="0"/>
              <w:rPr>
                <w:sz w:val="18"/>
                <w:szCs w:val="18"/>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8"/>
                <w:szCs w:val="18"/>
                <w:color w:val="auto"/>
              </w:rPr>
            </w:pPr>
          </w:p>
        </w:tc>
        <w:tc>
          <w:tcPr>
            <w:tcW w:w="15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169"/>
        </w:trPr>
        <w:tc>
          <w:tcPr>
            <w:tcW w:w="4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3"/>
        </w:trPr>
        <w:tc>
          <w:tcPr>
            <w:tcW w:w="55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Options</w:t>
            </w: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7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r>
      <w:tr>
        <w:trPr>
          <w:trHeight w:val="230"/>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420" w:type="dxa"/>
            <w:vAlign w:val="bottom"/>
          </w:tcPr>
          <w:p>
            <w:pPr>
              <w:jc w:val="right"/>
              <w:spacing w:after="0"/>
              <w:rPr>
                <w:sz w:val="20"/>
                <w:szCs w:val="20"/>
                <w:color w:val="auto"/>
              </w:rPr>
            </w:pPr>
            <w:r>
              <w:rPr>
                <w:rFonts w:ascii="Arial" w:cs="Arial" w:eastAsia="Arial" w:hAnsi="Arial"/>
                <w:sz w:val="18"/>
                <w:szCs w:val="18"/>
                <w:color w:val="auto"/>
              </w:rPr>
              <w:t>858</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379</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r>
    </w:tbl>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anti-dilutive shares described above were calculated using the treasury stock method.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Parties</w:t>
      </w:r>
    </w:p>
    <w:p>
      <w:pPr>
        <w:spacing w:after="0" w:line="10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$253,000 and $1.0 million in revenue from AHMC in the three and six months ended June 30, 2022, respectively. The Company recognized $738,000 and $1.9 million in revenue in the three and six months ended June 30, 2021, respectively. As of June 30, 2022 and December 31, 2021, $220,000 and $556,000, respectively, was owed to the Company by AHMC, which is included in trade accounts receivable, net, in the accompanying Condensed Consolidated Balance Sheets, in connection with this relationship.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ind w:right="100" w:firstLine="509"/>
        <w:spacing w:after="0" w:line="271" w:lineRule="auto"/>
        <w:rPr>
          <w:sz w:val="20"/>
          <w:szCs w:val="20"/>
          <w:color w:val="auto"/>
        </w:rPr>
      </w:pPr>
      <w:r>
        <w:rPr>
          <w:rFonts w:ascii="Arial" w:cs="Arial" w:eastAsia="Arial" w:hAnsi="Arial"/>
          <w:sz w:val="16"/>
          <w:szCs w:val="16"/>
          <w:color w:val="auto"/>
        </w:rPr>
        <w:t>The Company and Fulgent Pharma LLC, the Company’s former subsidiary, are party to shared services arrangements where research and development, administrative services and office space and equipment are provided between the companies, on an arms-length basis. Ming Hsieh is the Manager and a member of Fulgent Pharma LLC. The cost of research and development services rendered by Fulgent Pharma LLC for the Company was not significant in the three and six months ended June 30, 2022. During the three and six months ended June 30, 2021, the cost of research and development services rendered by Fulgent Pharma LLC for the Company was $97,000 and $205,000, respectively. Amounts for services performed by the Company for Fulgent Pharma LLC were not significant during the three and six months ended June 30, 2022 and 2021. As of June 30, 2022, $54,000 was owed to the Company by Fulgent Pharma LLC, which was included in other current assets in the accompanying Condensed Consolidated Balance Sheets, in connection with these relationships. As of December 31, 2021, $679,000, was owed to Fulgent Pharma LLC by the Company, which was included in other current liabilities in the accompanying Condensed Consolidated Balance Sheets, in connection with these relationships.</w:t>
      </w:r>
    </w:p>
    <w:p>
      <w:pPr>
        <w:spacing w:after="0" w:line="169"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Chief Executive Officer and Chairman of the Company’s board of directors, Ming Hsieh, is the owner of PTJ Associates Inc., or PTJ. PTJ provides flight services to the Company on an arms-length basis. During the three and six months ended June 30, 2022, the Company incurred $99,000 and $235,000, respectively, in expenses for flights between California and Texas to transport employees and supplies. Such expenses were not significant in the three and six months ended June 30, 2021. As of June 30, 2022 and December 31, 2021, $67,000 and zero, respectively, was owed to PTJ by the Company, which was included in accounts payable in the accompanying Condensed Consolidated Balance Sheets, in connection with this relationship. Ming Hsieh is also on the board of directors and a 20% owner of ANP Technologies, Inc., or ANP. The Company purchased COVID-19 antigen rapid tests kits from ANP. During the three and six months ended June 30, 2022, the Company purchased a total of $90,000 and $160,000 of COVID-19 antigen rapid tests kits, respectively. The Company did not incur such expense in the three and six months ended June 30, 2021. As of June 30, 2022 and December 31, 2021, zero was owed to ANP by the Company in connection with this relationship.</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Goodwill and Acquisition-Related Intangibles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Summaries of goodwill and intangibles balances assets as of June 30, 2022 and December 31, 2021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6"/>
                <w:szCs w:val="16"/>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Weighted-Average Amortization Period</w:t>
            </w:r>
          </w:p>
        </w:tc>
        <w:tc>
          <w:tcPr>
            <w:tcW w:w="3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9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3960" w:type="dxa"/>
            <w:vAlign w:val="bottom"/>
          </w:tcPr>
          <w:p>
            <w:pPr>
              <w:spacing w:after="0"/>
              <w:rPr>
                <w:sz w:val="3"/>
                <w:szCs w:val="3"/>
                <w:color w:val="auto"/>
              </w:rPr>
            </w:pPr>
          </w:p>
        </w:tc>
        <w:tc>
          <w:tcPr>
            <w:tcW w:w="3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Goodwill</w:t>
            </w:r>
          </w:p>
        </w:tc>
        <w:tc>
          <w:tcPr>
            <w:tcW w:w="36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121,354</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50,897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9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Royalty-free technology</w:t>
            </w:r>
          </w:p>
        </w:tc>
        <w:tc>
          <w:tcPr>
            <w:tcW w:w="36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5"/>
              </w:rPr>
              <w:t>10 Years</w:t>
            </w:r>
          </w:p>
        </w:tc>
        <w:tc>
          <w:tcPr>
            <w:tcW w:w="36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5,524</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(645 )</w:t>
            </w:r>
          </w:p>
        </w:tc>
        <w:tc>
          <w:tcPr>
            <w:tcW w:w="28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(387 )</w:t>
            </w: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Royalty-free technology, net</w:t>
            </w:r>
          </w:p>
        </w:tc>
        <w:tc>
          <w:tcPr>
            <w:tcW w:w="36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4,879</w:t>
            </w: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6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5"/>
              </w:rPr>
              <w:t>13 Years</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82,284</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(2,999 )</w:t>
            </w:r>
          </w:p>
        </w:tc>
        <w:tc>
          <w:tcPr>
            <w:tcW w:w="28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(1,125 )</w:t>
            </w: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Customer relationships, net</w:t>
            </w:r>
          </w:p>
        </w:tc>
        <w:tc>
          <w:tcPr>
            <w:tcW w:w="36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79,285</w:t>
            </w: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27,720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 name</w:t>
            </w:r>
          </w:p>
        </w:tc>
        <w:tc>
          <w:tcPr>
            <w:tcW w:w="36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8 Years</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3,790</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(164 )</w:t>
            </w:r>
          </w:p>
        </w:tc>
        <w:tc>
          <w:tcPr>
            <w:tcW w:w="28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Trade name, net</w:t>
            </w:r>
          </w:p>
        </w:tc>
        <w:tc>
          <w:tcPr>
            <w:tcW w:w="36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3,626</w:t>
            </w: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In-place lease intangible assets</w:t>
            </w:r>
          </w:p>
        </w:tc>
        <w:tc>
          <w:tcPr>
            <w:tcW w:w="36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5 Years</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360</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In-place lease intangible assets, net</w:t>
            </w:r>
          </w:p>
        </w:tc>
        <w:tc>
          <w:tcPr>
            <w:tcW w:w="36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360</w:t>
            </w: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Laboratory information system platform</w:t>
            </w:r>
          </w:p>
        </w:tc>
        <w:tc>
          <w:tcPr>
            <w:tcW w:w="36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5 Years</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1,860</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(341 )</w:t>
            </w:r>
          </w:p>
        </w:tc>
        <w:tc>
          <w:tcPr>
            <w:tcW w:w="28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Laboratory information system platform, net</w:t>
            </w:r>
          </w:p>
        </w:tc>
        <w:tc>
          <w:tcPr>
            <w:tcW w:w="36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1,519</w:t>
            </w: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Purchased patent</w:t>
            </w:r>
          </w:p>
        </w:tc>
        <w:tc>
          <w:tcPr>
            <w:tcW w:w="36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5"/>
              </w:rPr>
              <w:t>10 Years</w:t>
            </w:r>
          </w:p>
        </w:tc>
        <w:tc>
          <w:tcPr>
            <w:tcW w:w="3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(4 )</w:t>
            </w:r>
          </w:p>
        </w:tc>
        <w:tc>
          <w:tcPr>
            <w:tcW w:w="280" w:type="dxa"/>
            <w:vAlign w:val="bottom"/>
          </w:tcPr>
          <w:p>
            <w:pPr>
              <w:spacing w:after="0"/>
              <w:rPr>
                <w:sz w:val="17"/>
                <w:szCs w:val="17"/>
                <w:color w:val="auto"/>
              </w:rPr>
            </w:pPr>
          </w:p>
        </w:tc>
        <w:tc>
          <w:tcPr>
            <w:tcW w:w="13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Purchased patent, net</w:t>
            </w:r>
          </w:p>
        </w:tc>
        <w:tc>
          <w:tcPr>
            <w:tcW w:w="36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3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w:t>
            </w: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20"/>
              <w:spacing w:after="0" w:line="182" w:lineRule="exact"/>
              <w:rPr>
                <w:sz w:val="20"/>
                <w:szCs w:val="20"/>
                <w:color w:val="auto"/>
              </w:rPr>
            </w:pPr>
            <w:r>
              <w:rPr>
                <w:rFonts w:ascii="Arial" w:cs="Arial" w:eastAsia="Arial" w:hAnsi="Arial"/>
                <w:sz w:val="18"/>
                <w:szCs w:val="18"/>
                <w:color w:val="auto"/>
              </w:rPr>
              <w:t>Total intangible assets, net</w:t>
            </w:r>
          </w:p>
        </w:tc>
        <w:tc>
          <w:tcPr>
            <w:tcW w:w="364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89,695</w:t>
            </w:r>
          </w:p>
        </w:tc>
        <w:tc>
          <w:tcPr>
            <w:tcW w:w="3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35,914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640" w:type="dxa"/>
            <w:vAlign w:val="bottom"/>
            <w:vMerge w:val="restart"/>
          </w:tcPr>
          <w:p>
            <w:pPr>
              <w:jc w:val="right"/>
              <w:ind w:right="1792"/>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6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96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-3796665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-3779520</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-630555</wp:posOffset>
            </wp:positionV>
            <wp:extent cx="7747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-630555</wp:posOffset>
            </wp:positionV>
            <wp:extent cx="685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 w:name="page23"/>
    <w:bookmarkEnd w:id="22"/>
    <w:p>
      <w:pPr>
        <w:ind w:right="160" w:firstLine="509"/>
        <w:spacing w:after="0" w:line="291" w:lineRule="auto"/>
        <w:rPr>
          <w:sz w:val="20"/>
          <w:szCs w:val="20"/>
          <w:color w:val="auto"/>
        </w:rPr>
      </w:pPr>
      <w:r>
        <w:rPr>
          <w:rFonts w:ascii="Arial" w:cs="Arial" w:eastAsia="Arial" w:hAnsi="Arial"/>
          <w:sz w:val="17"/>
          <w:szCs w:val="17"/>
          <w:color w:val="auto"/>
        </w:rPr>
        <w:t>During the three months ended June 30, 2022, the Company recorded $71.6 million of goodwill and $56.6 million of intangibles attributable to the acquisition of Inform Diagnostics. See Note 15, Business Combinations, to the Company's condensed consolidated financial statements.</w:t>
      </w:r>
    </w:p>
    <w:p>
      <w:pPr>
        <w:spacing w:after="0" w:line="147"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Based on the carrying value of intangible assets recorded as of June 30, 2022, and assuming no subsequent impairment of the underlying assets, the annual amortization expense for intangible assets is expected to be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1454"/>
              <w:spacing w:after="0"/>
              <w:rPr>
                <w:sz w:val="20"/>
                <w:szCs w:val="20"/>
                <w:color w:val="auto"/>
              </w:rPr>
            </w:pPr>
            <w:r>
              <w:rPr>
                <w:rFonts w:ascii="Arial" w:cs="Arial" w:eastAsia="Arial" w:hAnsi="Arial"/>
                <w:sz w:val="14"/>
                <w:szCs w:val="14"/>
                <w:b w:val="1"/>
                <w:bCs w:val="1"/>
                <w:color w:val="auto"/>
              </w:rPr>
              <w:t>Amounts</w:t>
            </w:r>
          </w:p>
        </w:tc>
        <w:tc>
          <w:tcPr>
            <w:tcW w:w="100" w:type="dxa"/>
            <w:vAlign w:val="bottom"/>
          </w:tcPr>
          <w:p>
            <w:pPr>
              <w:spacing w:after="0"/>
              <w:rPr>
                <w:sz w:val="16"/>
                <w:szCs w:val="16"/>
                <w:color w:val="auto"/>
              </w:rPr>
            </w:pPr>
          </w:p>
        </w:tc>
      </w:tr>
      <w:tr>
        <w:trPr>
          <w:trHeight w:val="169"/>
        </w:trPr>
        <w:tc>
          <w:tcPr>
            <w:tcW w:w="7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tcPr>
          <w:p>
            <w:pPr>
              <w:jc w:val="right"/>
              <w:ind w:right="129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Year Ending December 31,</w:t>
            </w:r>
          </w:p>
        </w:tc>
        <w:tc>
          <w:tcPr>
            <w:tcW w:w="740" w:type="dxa"/>
            <w:vAlign w:val="bottom"/>
            <w:shd w:val="clear" w:color="auto" w:fill="CFF0FC"/>
          </w:tcPr>
          <w:p>
            <w:pPr>
              <w:spacing w:after="0"/>
              <w:rPr>
                <w:sz w:val="17"/>
                <w:szCs w:val="17"/>
                <w:color w:val="auto"/>
              </w:rPr>
            </w:pPr>
          </w:p>
        </w:tc>
        <w:tc>
          <w:tcPr>
            <w:tcW w:w="2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2022 (remaining 6 months)</w:t>
            </w:r>
          </w:p>
        </w:tc>
        <w:tc>
          <w:tcPr>
            <w:tcW w:w="740" w:type="dxa"/>
            <w:vAlign w:val="bottom"/>
          </w:tcPr>
          <w:p>
            <w:pPr>
              <w:spacing w:after="0"/>
              <w:rPr>
                <w:sz w:val="17"/>
                <w:szCs w:val="17"/>
                <w:color w:val="auto"/>
              </w:rPr>
            </w:pP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3,959</w:t>
            </w: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2023</w:t>
            </w:r>
          </w:p>
        </w:tc>
        <w:tc>
          <w:tcPr>
            <w:tcW w:w="740" w:type="dxa"/>
            <w:vAlign w:val="bottom"/>
            <w:shd w:val="clear" w:color="auto" w:fill="CFF0FC"/>
          </w:tcPr>
          <w:p>
            <w:pPr>
              <w:spacing w:after="0"/>
              <w:rPr>
                <w:sz w:val="17"/>
                <w:szCs w:val="17"/>
                <w:color w:val="auto"/>
              </w:rPr>
            </w:pPr>
          </w:p>
        </w:tc>
        <w:tc>
          <w:tcPr>
            <w:tcW w:w="2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7,848</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740" w:type="dxa"/>
            <w:vAlign w:val="bottom"/>
          </w:tcPr>
          <w:p>
            <w:pPr>
              <w:spacing w:after="0"/>
              <w:rPr>
                <w:sz w:val="17"/>
                <w:szCs w:val="17"/>
                <w:color w:val="auto"/>
              </w:rPr>
            </w:pP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7,848</w:t>
            </w: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2025</w:t>
            </w:r>
          </w:p>
        </w:tc>
        <w:tc>
          <w:tcPr>
            <w:tcW w:w="740" w:type="dxa"/>
            <w:vAlign w:val="bottom"/>
            <w:shd w:val="clear" w:color="auto" w:fill="CFF0FC"/>
          </w:tcPr>
          <w:p>
            <w:pPr>
              <w:spacing w:after="0"/>
              <w:rPr>
                <w:sz w:val="17"/>
                <w:szCs w:val="17"/>
                <w:color w:val="auto"/>
              </w:rPr>
            </w:pPr>
          </w:p>
        </w:tc>
        <w:tc>
          <w:tcPr>
            <w:tcW w:w="2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7,848</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740" w:type="dxa"/>
            <w:vAlign w:val="bottom"/>
          </w:tcPr>
          <w:p>
            <w:pPr>
              <w:spacing w:after="0"/>
              <w:rPr>
                <w:sz w:val="17"/>
                <w:szCs w:val="17"/>
                <w:color w:val="auto"/>
              </w:rPr>
            </w:pPr>
          </w:p>
        </w:tc>
        <w:tc>
          <w:tcPr>
            <w:tcW w:w="2880" w:type="dxa"/>
            <w:vAlign w:val="bottom"/>
          </w:tcPr>
          <w:p>
            <w:pPr>
              <w:jc w:val="right"/>
              <w:spacing w:after="0" w:line="202" w:lineRule="exact"/>
              <w:rPr>
                <w:sz w:val="20"/>
                <w:szCs w:val="20"/>
                <w:color w:val="auto"/>
              </w:rPr>
            </w:pPr>
            <w:r>
              <w:rPr>
                <w:rFonts w:ascii="Arial" w:cs="Arial" w:eastAsia="Arial" w:hAnsi="Arial"/>
                <w:sz w:val="18"/>
                <w:szCs w:val="18"/>
                <w:color w:val="auto"/>
              </w:rPr>
              <w:t>7,534</w:t>
            </w:r>
          </w:p>
        </w:tc>
        <w:tc>
          <w:tcPr>
            <w:tcW w:w="100" w:type="dxa"/>
            <w:vAlign w:val="bottom"/>
          </w:tcPr>
          <w:p>
            <w:pPr>
              <w:spacing w:after="0"/>
              <w:rPr>
                <w:sz w:val="17"/>
                <w:szCs w:val="17"/>
                <w:color w:val="auto"/>
              </w:rPr>
            </w:pPr>
          </w:p>
        </w:tc>
      </w:tr>
      <w:tr>
        <w:trPr>
          <w:trHeight w:val="203"/>
        </w:trPr>
        <w:tc>
          <w:tcPr>
            <w:tcW w:w="75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2027</w:t>
            </w:r>
          </w:p>
        </w:tc>
        <w:tc>
          <w:tcPr>
            <w:tcW w:w="740" w:type="dxa"/>
            <w:vAlign w:val="bottom"/>
            <w:shd w:val="clear" w:color="auto" w:fill="CFF0FC"/>
          </w:tcPr>
          <w:p>
            <w:pPr>
              <w:spacing w:after="0"/>
              <w:rPr>
                <w:sz w:val="17"/>
                <w:szCs w:val="17"/>
                <w:color w:val="auto"/>
              </w:rPr>
            </w:pPr>
          </w:p>
        </w:tc>
        <w:tc>
          <w:tcPr>
            <w:tcW w:w="2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7,221</w:t>
            </w:r>
          </w:p>
        </w:tc>
        <w:tc>
          <w:tcPr>
            <w:tcW w:w="100" w:type="dxa"/>
            <w:vAlign w:val="bottom"/>
            <w:shd w:val="clear" w:color="auto" w:fill="CFF0FC"/>
          </w:tcPr>
          <w:p>
            <w:pPr>
              <w:spacing w:after="0"/>
              <w:rPr>
                <w:sz w:val="17"/>
                <w:szCs w:val="17"/>
                <w:color w:val="auto"/>
              </w:rPr>
            </w:pPr>
          </w:p>
        </w:tc>
      </w:tr>
      <w:tr>
        <w:trPr>
          <w:trHeight w:val="203"/>
        </w:trPr>
        <w:tc>
          <w:tcPr>
            <w:tcW w:w="75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47,437</w:t>
            </w:r>
          </w:p>
        </w:tc>
        <w:tc>
          <w:tcPr>
            <w:tcW w:w="100" w:type="dxa"/>
            <w:vAlign w:val="bottom"/>
          </w:tcPr>
          <w:p>
            <w:pPr>
              <w:spacing w:after="0"/>
              <w:rPr>
                <w:sz w:val="17"/>
                <w:szCs w:val="17"/>
                <w:color w:val="auto"/>
              </w:rPr>
            </w:pPr>
          </w:p>
        </w:tc>
      </w:tr>
      <w:tr>
        <w:trPr>
          <w:trHeight w:val="236"/>
        </w:trPr>
        <w:tc>
          <w:tcPr>
            <w:tcW w:w="752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FF0FC"/>
          </w:tcPr>
          <w:p>
            <w:pPr>
              <w:jc w:val="right"/>
              <w:ind w:right="550"/>
              <w:spacing w:after="0" w:line="182" w:lineRule="exact"/>
              <w:rPr>
                <w:sz w:val="20"/>
                <w:szCs w:val="20"/>
                <w:color w:val="auto"/>
              </w:rPr>
            </w:pPr>
            <w:r>
              <w:rPr>
                <w:rFonts w:ascii="Arial" w:cs="Arial" w:eastAsia="Arial" w:hAnsi="Arial"/>
                <w:sz w:val="18"/>
                <w:szCs w:val="18"/>
                <w:color w:val="auto"/>
                <w:w w:val="79"/>
              </w:rPr>
              <w:t>$</w:t>
            </w:r>
          </w:p>
        </w:tc>
        <w:tc>
          <w:tcPr>
            <w:tcW w:w="2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89,695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Business Combinations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 Diagnostics</w:t>
      </w:r>
    </w:p>
    <w:p>
      <w:pPr>
        <w:spacing w:after="0" w:line="104" w:lineRule="exact"/>
        <w:rPr>
          <w:sz w:val="20"/>
          <w:szCs w:val="20"/>
          <w:color w:val="auto"/>
        </w:rPr>
      </w:pPr>
    </w:p>
    <w:p>
      <w:pPr>
        <w:ind w:right="180" w:firstLine="494"/>
        <w:spacing w:after="0" w:line="257" w:lineRule="auto"/>
        <w:rPr>
          <w:sz w:val="20"/>
          <w:szCs w:val="20"/>
          <w:color w:val="auto"/>
        </w:rPr>
      </w:pPr>
      <w:r>
        <w:rPr>
          <w:rFonts w:ascii="Arial" w:cs="Arial" w:eastAsia="Arial" w:hAnsi="Arial"/>
          <w:sz w:val="17"/>
          <w:szCs w:val="17"/>
          <w:color w:val="auto"/>
        </w:rPr>
        <w:t>On April 26, 2022, the Company completed the acquisition of 100% of the outstanding equity of Symphony Buyer, Inc., or Inform Diagnostics, a leading national independent pathology laboratory based in Irving, Texas. Under the terms of the Agreement and Plan of Merger, dated April 16, 2022, or the Merger Agreement, the total purchase price payable to the securityholders of Symphony Buyer, Inc. was approximately $170 million, as adjusted for closing cash, closing indebtedness, closing working capital, closing transaction expenses and other transaction matters. With the addition of Inform Diagnostics, the Company will further expand the Company’s genomic testing footprint and extend its test menu into breast pathology, gastrointestinal pathology, dermatopathology, urologic pathology, neuropathology, and hematopathology.</w:t>
      </w:r>
    </w:p>
    <w:p>
      <w:pPr>
        <w:spacing w:after="0" w:line="175" w:lineRule="exact"/>
        <w:rPr>
          <w:sz w:val="20"/>
          <w:szCs w:val="20"/>
          <w:color w:val="auto"/>
        </w:rPr>
      </w:pPr>
    </w:p>
    <w:p>
      <w:pPr>
        <w:ind w:right="480" w:firstLine="494"/>
        <w:spacing w:after="0" w:line="259" w:lineRule="auto"/>
        <w:rPr>
          <w:sz w:val="20"/>
          <w:szCs w:val="20"/>
          <w:color w:val="auto"/>
        </w:rPr>
      </w:pPr>
      <w:r>
        <w:rPr>
          <w:rFonts w:ascii="Arial" w:cs="Arial" w:eastAsia="Arial" w:hAnsi="Arial"/>
          <w:sz w:val="17"/>
          <w:szCs w:val="17"/>
          <w:color w:val="auto"/>
        </w:rPr>
        <w:t>The financial results of Inform Diagnostics are included in the condensed consolidated financial statements from the date of acquisition. The Company allocated the purchase price to tangible and identified intangible assets acquired and liabilities assumed based on estimated fair values. As additional information becomes available, the Company may further update the preliminary purchase price allocation during the remainder of the measurement period (up to one year from the acquisition date). The following tables summarizes the consideration paid and the amounts of the assets acquired and liabilities assumed recognized at the acquisition date:</w:t>
      </w:r>
    </w:p>
    <w:p>
      <w:pPr>
        <w:spacing w:after="0" w:line="206"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15240</wp:posOffset>
            </wp:positionV>
            <wp:extent cx="10541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8"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(in thousands)</w:t>
      </w:r>
    </w:p>
    <w:p>
      <w:pPr>
        <w:sectPr>
          <w:pgSz w:w="11900" w:h="16838" w:orient="portrait"/>
          <w:cols w:equalWidth="0" w:num="1">
            <w:col w:w="11240"/>
          </w:cols>
          <w:pgMar w:left="320" w:top="341"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Cash, net of cash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46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Recognized amounts of identifiable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8"/>
          <w:szCs w:val="18"/>
          <w:color w:val="auto"/>
        </w:rPr>
        <w:t>Fixed assets</w:t>
      </w:r>
    </w:p>
    <w:p>
      <w:pPr>
        <w:ind w:left="20"/>
        <w:spacing w:after="0" w:line="235" w:lineRule="auto"/>
        <w:rPr>
          <w:sz w:val="20"/>
          <w:szCs w:val="20"/>
          <w:color w:val="auto"/>
        </w:rPr>
      </w:pPr>
      <w:r>
        <w:rPr>
          <w:rFonts w:ascii="Arial" w:cs="Arial" w:eastAsia="Arial" w:hAnsi="Arial"/>
          <w:sz w:val="18"/>
          <w:szCs w:val="18"/>
          <w:color w:val="auto"/>
        </w:rPr>
        <w:t>ROU assets -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ROU assets - finance</w:t>
      </w:r>
    </w:p>
    <w:p>
      <w:pPr>
        <w:ind w:left="20"/>
        <w:spacing w:after="0" w:line="235" w:lineRule="auto"/>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Other long-term assets</w:t>
      </w:r>
    </w:p>
    <w:p>
      <w:pPr>
        <w:ind w:left="20"/>
        <w:spacing w:after="0" w:line="234" w:lineRule="auto"/>
        <w:rPr>
          <w:sz w:val="20"/>
          <w:szCs w:val="20"/>
          <w:color w:val="auto"/>
        </w:rPr>
      </w:pPr>
      <w:r>
        <w:rPr>
          <w:rFonts w:ascii="Arial" w:cs="Arial" w:eastAsia="Arial" w:hAnsi="Arial"/>
          <w:sz w:val="18"/>
          <w:szCs w:val="18"/>
          <w:color w:val="auto"/>
        </w:rPr>
        <w:t>Identifiable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18"/>
          <w:szCs w:val="18"/>
          <w:color w:val="auto"/>
        </w:rPr>
        <w:t>Operating lease liabilities</w:t>
      </w:r>
    </w:p>
    <w:p>
      <w:pPr>
        <w:ind w:left="20"/>
        <w:spacing w:after="0" w:line="235" w:lineRule="auto"/>
        <w:rPr>
          <w:sz w:val="20"/>
          <w:szCs w:val="20"/>
          <w:color w:val="auto"/>
        </w:rPr>
      </w:pPr>
      <w:r>
        <w:rPr>
          <w:rFonts w:ascii="Arial" w:cs="Arial" w:eastAsia="Arial" w:hAnsi="Arial"/>
          <w:sz w:val="18"/>
          <w:szCs w:val="18"/>
          <w:color w:val="auto"/>
        </w:rPr>
        <w:t>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Income tax payable</w:t>
      </w:r>
    </w:p>
    <w:p>
      <w:pPr>
        <w:ind w:left="20"/>
        <w:spacing w:after="0" w:line="227" w:lineRule="auto"/>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060" w:hanging="1055"/>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137,755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80" w:hanging="1075"/>
        <w:spacing w:after="0"/>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(15,024 )</w:t>
      </w:r>
    </w:p>
    <w:p>
      <w:pPr>
        <w:spacing w:after="0" w:line="46" w:lineRule="exact"/>
        <w:rPr>
          <w:rFonts w:ascii="Arial" w:cs="Arial" w:eastAsia="Arial" w:hAnsi="Arial"/>
          <w:sz w:val="15"/>
          <w:szCs w:val="15"/>
          <w:color w:val="auto"/>
        </w:rPr>
      </w:pPr>
    </w:p>
    <w:p>
      <w:pPr>
        <w:ind w:left="1140"/>
        <w:spacing w:after="0" w:line="234" w:lineRule="auto"/>
        <w:rPr>
          <w:rFonts w:ascii="Arial" w:cs="Arial" w:eastAsia="Arial" w:hAnsi="Arial"/>
          <w:sz w:val="15"/>
          <w:szCs w:val="15"/>
          <w:color w:val="auto"/>
        </w:rPr>
      </w:pPr>
      <w:r>
        <w:rPr>
          <w:rFonts w:ascii="Arial" w:cs="Arial" w:eastAsia="Arial" w:hAnsi="Arial"/>
          <w:sz w:val="18"/>
          <w:szCs w:val="18"/>
          <w:color w:val="auto"/>
        </w:rPr>
        <w:t>20,967</w:t>
      </w:r>
    </w:p>
    <w:p>
      <w:pPr>
        <w:ind w:left="1140"/>
        <w:spacing w:after="0" w:line="234" w:lineRule="auto"/>
        <w:rPr>
          <w:rFonts w:ascii="Arial" w:cs="Arial" w:eastAsia="Arial" w:hAnsi="Arial"/>
          <w:sz w:val="15"/>
          <w:szCs w:val="15"/>
          <w:color w:val="auto"/>
        </w:rPr>
      </w:pPr>
      <w:r>
        <w:rPr>
          <w:rFonts w:ascii="Arial" w:cs="Arial" w:eastAsia="Arial" w:hAnsi="Arial"/>
          <w:sz w:val="18"/>
          <w:szCs w:val="18"/>
          <w:color w:val="auto"/>
        </w:rPr>
        <w:t>12,653</w:t>
      </w:r>
    </w:p>
    <w:p>
      <w:pPr>
        <w:ind w:left="1240"/>
        <w:spacing w:after="0" w:line="234" w:lineRule="auto"/>
        <w:rPr>
          <w:rFonts w:ascii="Arial" w:cs="Arial" w:eastAsia="Arial" w:hAnsi="Arial"/>
          <w:sz w:val="15"/>
          <w:szCs w:val="15"/>
          <w:color w:val="auto"/>
        </w:rPr>
      </w:pPr>
      <w:r>
        <w:rPr>
          <w:rFonts w:ascii="Arial" w:cs="Arial" w:eastAsia="Arial" w:hAnsi="Arial"/>
          <w:sz w:val="18"/>
          <w:szCs w:val="18"/>
          <w:color w:val="auto"/>
        </w:rPr>
        <w:t>1,183</w:t>
      </w:r>
    </w:p>
    <w:p>
      <w:pPr>
        <w:ind w:left="1240"/>
        <w:spacing w:after="0" w:line="234" w:lineRule="auto"/>
        <w:rPr>
          <w:rFonts w:ascii="Arial" w:cs="Arial" w:eastAsia="Arial" w:hAnsi="Arial"/>
          <w:sz w:val="15"/>
          <w:szCs w:val="15"/>
          <w:color w:val="auto"/>
        </w:rPr>
      </w:pPr>
      <w:r>
        <w:rPr>
          <w:rFonts w:ascii="Arial" w:cs="Arial" w:eastAsia="Arial" w:hAnsi="Arial"/>
          <w:sz w:val="18"/>
          <w:szCs w:val="18"/>
          <w:color w:val="auto"/>
        </w:rPr>
        <w:t>3,446</w:t>
      </w:r>
    </w:p>
    <w:p>
      <w:pPr>
        <w:ind w:left="1240"/>
        <w:spacing w:after="0" w:line="234" w:lineRule="auto"/>
        <w:rPr>
          <w:rFonts w:ascii="Arial" w:cs="Arial" w:eastAsia="Arial" w:hAnsi="Arial"/>
          <w:sz w:val="15"/>
          <w:szCs w:val="15"/>
          <w:color w:val="auto"/>
        </w:rPr>
      </w:pPr>
      <w:r>
        <w:rPr>
          <w:rFonts w:ascii="Arial" w:cs="Arial" w:eastAsia="Arial" w:hAnsi="Arial"/>
          <w:sz w:val="18"/>
          <w:szCs w:val="18"/>
          <w:color w:val="auto"/>
        </w:rPr>
        <w:t>4,711</w:t>
      </w:r>
    </w:p>
    <w:p>
      <w:pPr>
        <w:ind w:left="1140"/>
        <w:spacing w:after="0" w:line="234" w:lineRule="auto"/>
        <w:rPr>
          <w:rFonts w:ascii="Arial" w:cs="Arial" w:eastAsia="Arial" w:hAnsi="Arial"/>
          <w:sz w:val="15"/>
          <w:szCs w:val="15"/>
          <w:color w:val="auto"/>
        </w:rPr>
      </w:pPr>
      <w:r>
        <w:rPr>
          <w:rFonts w:ascii="Arial" w:cs="Arial" w:eastAsia="Arial" w:hAnsi="Arial"/>
          <w:sz w:val="18"/>
          <w:szCs w:val="18"/>
          <w:color w:val="auto"/>
        </w:rPr>
        <w:t>56,560</w:t>
      </w:r>
    </w:p>
    <w:p>
      <w:pPr>
        <w:jc w:val="right"/>
        <w:ind w:right="40"/>
        <w:spacing w:after="0" w:line="235" w:lineRule="auto"/>
        <w:rPr>
          <w:sz w:val="20"/>
          <w:szCs w:val="20"/>
          <w:color w:val="auto"/>
        </w:rPr>
      </w:pPr>
      <w:r>
        <w:rPr>
          <w:rFonts w:ascii="Arial" w:cs="Arial" w:eastAsia="Arial" w:hAnsi="Arial"/>
          <w:sz w:val="18"/>
          <w:szCs w:val="18"/>
          <w:color w:val="auto"/>
        </w:rPr>
        <w:t>(12,653 )</w:t>
      </w:r>
    </w:p>
    <w:p>
      <w:pPr>
        <w:jc w:val="right"/>
        <w:ind w:right="40"/>
        <w:spacing w:after="0" w:line="235" w:lineRule="auto"/>
        <w:rPr>
          <w:sz w:val="20"/>
          <w:szCs w:val="20"/>
          <w:color w:val="auto"/>
        </w:rPr>
      </w:pPr>
      <w:r>
        <w:rPr>
          <w:rFonts w:ascii="Arial" w:cs="Arial" w:eastAsia="Arial" w:hAnsi="Arial"/>
          <w:sz w:val="18"/>
          <w:szCs w:val="18"/>
          <w:color w:val="auto"/>
        </w:rPr>
        <w:t>(1,183 )</w:t>
      </w:r>
    </w:p>
    <w:p>
      <w:pPr>
        <w:jc w:val="right"/>
        <w:ind w:right="40"/>
        <w:spacing w:after="0" w:line="235" w:lineRule="auto"/>
        <w:rPr>
          <w:sz w:val="20"/>
          <w:szCs w:val="20"/>
          <w:color w:val="auto"/>
        </w:rPr>
      </w:pPr>
      <w:r>
        <w:rPr>
          <w:rFonts w:ascii="Arial" w:cs="Arial" w:eastAsia="Arial" w:hAnsi="Arial"/>
          <w:sz w:val="18"/>
          <w:szCs w:val="18"/>
          <w:color w:val="auto"/>
        </w:rPr>
        <w:t>(40 )</w:t>
      </w:r>
    </w:p>
    <w:p>
      <w:pPr>
        <w:jc w:val="right"/>
        <w:ind w:right="40"/>
        <w:spacing w:after="0" w:line="233" w:lineRule="auto"/>
        <w:rPr>
          <w:sz w:val="20"/>
          <w:szCs w:val="20"/>
          <w:color w:val="auto"/>
        </w:rPr>
      </w:pPr>
      <w:r>
        <w:rPr>
          <w:rFonts w:ascii="Arial" w:cs="Arial" w:eastAsia="Arial" w:hAnsi="Arial"/>
          <w:sz w:val="18"/>
          <w:szCs w:val="18"/>
          <w:color w:val="auto"/>
        </w:rPr>
        <w:t>(4,449 )</w:t>
      </w:r>
    </w:p>
    <w:p>
      <w:pPr>
        <w:spacing w:after="0" w:line="1" w:lineRule="exact"/>
        <w:rPr>
          <w:sz w:val="20"/>
          <w:szCs w:val="20"/>
          <w:color w:val="auto"/>
        </w:rPr>
      </w:pPr>
    </w:p>
    <w:p>
      <w:pPr>
        <w:sectPr>
          <w:pgSz w:w="11900" w:h="16838" w:orient="portrait"/>
          <w:cols w:equalWidth="0" w:num="2">
            <w:col w:w="8760" w:space="720"/>
            <w:col w:w="1760"/>
          </w:cols>
          <w:pgMar w:left="320" w:top="34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9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Recognized amounts of identifiable assets acquired and liabilities assumed, net</w:t>
            </w:r>
          </w:p>
        </w:tc>
        <w:tc>
          <w:tcPr>
            <w:tcW w:w="5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66,171</w:t>
            </w:r>
          </w:p>
        </w:tc>
        <w:tc>
          <w:tcPr>
            <w:tcW w:w="100" w:type="dxa"/>
            <w:vAlign w:val="bottom"/>
            <w:shd w:val="clear" w:color="auto" w:fill="CFF0FC"/>
          </w:tcPr>
          <w:p>
            <w:pPr>
              <w:spacing w:after="0"/>
              <w:rPr>
                <w:sz w:val="17"/>
                <w:szCs w:val="17"/>
                <w:color w:val="auto"/>
              </w:rPr>
            </w:pPr>
          </w:p>
        </w:tc>
      </w:tr>
      <w:tr>
        <w:trPr>
          <w:trHeight w:val="203"/>
        </w:trPr>
        <w:tc>
          <w:tcPr>
            <w:tcW w:w="948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5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71,584</w:t>
            </w:r>
          </w:p>
        </w:tc>
        <w:tc>
          <w:tcPr>
            <w:tcW w:w="100" w:type="dxa"/>
            <w:vAlign w:val="bottom"/>
          </w:tcPr>
          <w:p>
            <w:pPr>
              <w:spacing w:after="0"/>
              <w:rPr>
                <w:sz w:val="17"/>
                <w:szCs w:val="17"/>
                <w:color w:val="auto"/>
              </w:rPr>
            </w:pPr>
          </w:p>
        </w:tc>
      </w:tr>
      <w:tr>
        <w:trPr>
          <w:trHeight w:val="236"/>
        </w:trPr>
        <w:tc>
          <w:tcPr>
            <w:tcW w:w="94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580" w:type="dxa"/>
            <w:vAlign w:val="bottom"/>
            <w:tcBorders>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137,755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15"/>
        </w:trPr>
        <w:tc>
          <w:tcPr>
            <w:tcW w:w="9480" w:type="dxa"/>
            <w:vAlign w:val="bottom"/>
          </w:tcPr>
          <w:p>
            <w:pPr>
              <w:jc w:val="right"/>
              <w:ind w:right="367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94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23" w:name="page24"/>
    <w:bookmarkEnd w:id="23"/>
    <w:p>
      <w:pPr>
        <w:ind w:right="220" w:firstLine="494"/>
        <w:spacing w:after="0" w:line="291" w:lineRule="auto"/>
        <w:rPr>
          <w:sz w:val="20"/>
          <w:szCs w:val="20"/>
          <w:color w:val="auto"/>
        </w:rPr>
      </w:pPr>
      <w:r>
        <w:rPr>
          <w:rFonts w:ascii="Arial" w:cs="Arial" w:eastAsia="Arial" w:hAnsi="Arial"/>
          <w:sz w:val="17"/>
          <w:szCs w:val="17"/>
          <w:color w:val="auto"/>
        </w:rPr>
        <w:t>The goodwill of $71.6 million arising from the acquisition is attributed to the expected synergies, assembled workforce, other benefits that will be potentially generated from the combination and deferred tax. The goodwill recognized is not deductible for tax purposes.</w:t>
      </w:r>
    </w:p>
    <w:p>
      <w:pPr>
        <w:spacing w:after="0" w:line="147" w:lineRule="exact"/>
        <w:rPr>
          <w:sz w:val="20"/>
          <w:szCs w:val="20"/>
          <w:color w:val="auto"/>
        </w:rPr>
      </w:pPr>
    </w:p>
    <w:p>
      <w:pPr>
        <w:ind w:right="340" w:firstLine="494"/>
        <w:spacing w:after="0" w:line="248" w:lineRule="auto"/>
        <w:rPr>
          <w:sz w:val="20"/>
          <w:szCs w:val="20"/>
          <w:color w:val="auto"/>
        </w:rPr>
      </w:pPr>
      <w:r>
        <w:rPr>
          <w:rFonts w:ascii="Arial" w:cs="Arial" w:eastAsia="Arial" w:hAnsi="Arial"/>
          <w:sz w:val="18"/>
          <w:szCs w:val="18"/>
          <w:color w:val="auto"/>
        </w:rPr>
        <w:t>The identified intangible assets acquired consisted of $53.5 million customer relationships with an estimated amortization life of 14 years, $2.7 million trade name with an estimated amortization life of 7 years, and $360,000 in-place lease intangible asset to be amortized over the remaining lease term of 5 years.</w:t>
      </w:r>
    </w:p>
    <w:p>
      <w:pPr>
        <w:spacing w:after="0" w:line="182"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fair value of the customer relationship was estimated using the Multiperiod Excess Earnings Method, or MPEEM, of the income approach. Under the MPEEM, an intangible asset’s fair value is equal to the present value of the incremental after-tax cash flows attributable only to the subject intangible asset after deducting contributory asset charges. The incremental after-tax cash flows attributable to the customer relationships are then discounted to their present value at a risk-adjusted rate of return. The fair value of the trade name was estimated using the relief from royalty, or RFR, method. The RFR method estimates the portion of the Company's earnings attributable to an intangible asset based on the royalty rate the Company would have paid for the use of the asset if it did not own it. The fair value of in-place lease intangible asset was estimated using the discounted cash flow under the income approach.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customer relationships and trade name are amortized on a straight-line basis over their estimated useful lives.</w:t>
      </w:r>
    </w:p>
    <w:p>
      <w:pPr>
        <w:spacing w:after="0" w:line="188" w:lineRule="exact"/>
        <w:rPr>
          <w:sz w:val="20"/>
          <w:szCs w:val="20"/>
          <w:color w:val="auto"/>
        </w:rPr>
      </w:pPr>
    </w:p>
    <w:p>
      <w:pPr>
        <w:ind w:right="460" w:firstLine="494"/>
        <w:spacing w:after="0" w:line="261" w:lineRule="auto"/>
        <w:rPr>
          <w:sz w:val="20"/>
          <w:szCs w:val="20"/>
          <w:color w:val="auto"/>
        </w:rPr>
      </w:pPr>
      <w:r>
        <w:rPr>
          <w:rFonts w:ascii="Arial" w:cs="Arial" w:eastAsia="Arial" w:hAnsi="Arial"/>
          <w:sz w:val="18"/>
          <w:szCs w:val="18"/>
          <w:color w:val="auto"/>
        </w:rPr>
        <w:t>Revenue and operating loss from the Inform Diagnostics acquisition since the acquisition date are $23.7 million and $7.1 million, respectively, which are included in the accompanying Condensed Consolidated Statements of Income.</w:t>
      </w:r>
    </w:p>
    <w:p>
      <w:pPr>
        <w:spacing w:after="0" w:line="171" w:lineRule="exact"/>
        <w:rPr>
          <w:sz w:val="20"/>
          <w:szCs w:val="20"/>
          <w:color w:val="auto"/>
        </w:rPr>
      </w:pPr>
    </w:p>
    <w:p>
      <w:pPr>
        <w:ind w:right="320" w:firstLine="494"/>
        <w:spacing w:after="0" w:line="248" w:lineRule="auto"/>
        <w:rPr>
          <w:sz w:val="20"/>
          <w:szCs w:val="20"/>
          <w:color w:val="auto"/>
        </w:rPr>
      </w:pPr>
      <w:r>
        <w:rPr>
          <w:rFonts w:ascii="Arial" w:cs="Arial" w:eastAsia="Arial" w:hAnsi="Arial"/>
          <w:sz w:val="18"/>
          <w:szCs w:val="18"/>
          <w:color w:val="auto"/>
        </w:rPr>
        <w:t>The transaction costs associated with the acquisition of Inform Diagnostics consisted primarily of legal, regulatory and financial advisory fees of approximately $5.2 million and $6.4 million for the three and six months ended June 30, 2022, respectively. These transaction costs were expensed as incurred as selling, general and administrative expense in the respective periods.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08" w:lineRule="exact"/>
        <w:rPr>
          <w:sz w:val="20"/>
          <w:szCs w:val="20"/>
          <w:color w:val="auto"/>
        </w:rPr>
      </w:pPr>
    </w:p>
    <w:p>
      <w:pPr>
        <w:ind w:right="60" w:firstLine="494"/>
        <w:spacing w:after="0" w:line="291" w:lineRule="auto"/>
        <w:rPr>
          <w:sz w:val="20"/>
          <w:szCs w:val="20"/>
          <w:color w:val="auto"/>
        </w:rPr>
      </w:pPr>
      <w:r>
        <w:rPr>
          <w:rFonts w:ascii="Arial" w:cs="Arial" w:eastAsia="Arial" w:hAnsi="Arial"/>
          <w:sz w:val="17"/>
          <w:szCs w:val="17"/>
          <w:color w:val="auto"/>
        </w:rPr>
        <w:t>The following unaudited pro forma financial information summarizes the combined results of operations of Fulgent and Inform Diagnostics as if the companies had been combined as of the beginning of 2021. The pro forma financial information has been adjusted for the following:</w:t>
      </w:r>
    </w:p>
    <w:p>
      <w:pPr>
        <w:spacing w:after="0" w:line="147" w:lineRule="exact"/>
        <w:rPr>
          <w:sz w:val="20"/>
          <w:szCs w:val="20"/>
          <w:color w:val="auto"/>
        </w:rPr>
      </w:pPr>
    </w:p>
    <w:p>
      <w:pPr>
        <w:ind w:right="840" w:firstLine="494"/>
        <w:spacing w:after="0" w:line="324" w:lineRule="auto"/>
        <w:rPr>
          <w:sz w:val="20"/>
          <w:szCs w:val="20"/>
          <w:color w:val="auto"/>
        </w:rPr>
      </w:pPr>
      <w:r>
        <w:rPr>
          <w:rFonts w:ascii="Arial" w:cs="Arial" w:eastAsia="Arial" w:hAnsi="Arial"/>
          <w:sz w:val="16"/>
          <w:szCs w:val="16"/>
          <w:i w:val="1"/>
          <w:iCs w:val="1"/>
          <w:color w:val="auto"/>
        </w:rPr>
        <w:t xml:space="preserve">Acquisition-related costs </w:t>
      </w:r>
      <w:r>
        <w:rPr>
          <w:rFonts w:ascii="Arial" w:cs="Arial" w:eastAsia="Arial" w:hAnsi="Arial"/>
          <w:sz w:val="16"/>
          <w:szCs w:val="16"/>
          <w:color w:val="auto"/>
        </w:rPr>
        <w:t>- Acquisition-related costs incurred by both Fulgent and Inform Diagnostics were excluded from the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Fulgent, and total costs were $8.2 million and $9.5 million for the three and six months ended June 30, 2022, respectively.</w:t>
      </w:r>
    </w:p>
    <w:p>
      <w:pPr>
        <w:spacing w:after="0" w:line="124" w:lineRule="exact"/>
        <w:rPr>
          <w:sz w:val="20"/>
          <w:szCs w:val="20"/>
          <w:color w:val="auto"/>
        </w:rPr>
      </w:pPr>
    </w:p>
    <w:p>
      <w:pPr>
        <w:ind w:right="40" w:firstLine="494"/>
        <w:spacing w:after="0" w:line="243" w:lineRule="auto"/>
        <w:rPr>
          <w:sz w:val="20"/>
          <w:szCs w:val="20"/>
          <w:color w:val="auto"/>
        </w:rPr>
      </w:pPr>
      <w:r>
        <w:rPr>
          <w:rFonts w:ascii="Arial" w:cs="Arial" w:eastAsia="Arial" w:hAnsi="Arial"/>
          <w:sz w:val="18"/>
          <w:szCs w:val="18"/>
          <w:color w:val="auto"/>
        </w:rPr>
        <w:t>Other adjustments to the net income attributable to Fulgent were $172,000 and $690,000 for three and six months ended June 30, 2022, respectively, and $517,000 and $1.0 million for the three and six months ended June 30, 2021, respectively. Other adjustments to revenue were $196,000 and $962,000 for the three and six months ended June 30, 2022, respectively, and $1.0 million and $1.7 million were added back to revenue for the three and six months ended June 30, 2021, respectively.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w w:val="95"/>
              </w:rPr>
              <w:t>Three Months Ended June 30,</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tcPr>
          <w:p>
            <w:pPr>
              <w:spacing w:after="0"/>
              <w:rPr>
                <w:sz w:val="16"/>
                <w:szCs w:val="16"/>
                <w:color w:val="auto"/>
              </w:rPr>
            </w:pPr>
          </w:p>
        </w:tc>
      </w:tr>
      <w:tr>
        <w:trPr>
          <w:trHeight w:val="210"/>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r>
      <w:tr>
        <w:trPr>
          <w:trHeight w:val="169"/>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thousands)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133,720</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193,156</w:t>
            </w:r>
          </w:p>
        </w:tc>
        <w:tc>
          <w:tcPr>
            <w:tcW w:w="6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486,027</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589,851</w:t>
            </w:r>
          </w:p>
        </w:tc>
        <w:tc>
          <w:tcPr>
            <w:tcW w:w="100" w:type="dxa"/>
            <w:vAlign w:val="bottom"/>
            <w:shd w:val="clear" w:color="auto" w:fill="CFF0FC"/>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Net income attributable to Fulgent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10,461</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83,271</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162,317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282,703</w:t>
            </w:r>
          </w:p>
        </w:tc>
        <w:tc>
          <w:tcPr>
            <w:tcW w:w="100" w:type="dxa"/>
            <w:vAlign w:val="bottom"/>
          </w:tcPr>
          <w:p>
            <w:pPr>
              <w:spacing w:after="0"/>
              <w:rPr>
                <w:sz w:val="19"/>
                <w:szCs w:val="19"/>
                <w:color w:val="auto"/>
              </w:rPr>
            </w:pPr>
          </w:p>
        </w:tc>
      </w:tr>
      <w:tr>
        <w:trPr>
          <w:trHeight w:val="229"/>
        </w:trPr>
        <w:tc>
          <w:tcPr>
            <w:tcW w:w="6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earnings per common share attributable to Fulgent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6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FF0FC"/>
          </w:tcPr>
          <w:p>
            <w:pPr>
              <w:spacing w:after="0"/>
              <w:rPr>
                <w:sz w:val="19"/>
                <w:szCs w:val="19"/>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Diluted earnings per common share attributable to Fulgent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0.34</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2.70</w:t>
            </w: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 Repurchase Program</w:t>
      </w:r>
    </w:p>
    <w:p>
      <w:pPr>
        <w:spacing w:after="0" w:line="108" w:lineRule="exact"/>
        <w:rPr>
          <w:sz w:val="20"/>
          <w:szCs w:val="20"/>
          <w:color w:val="auto"/>
        </w:rPr>
      </w:pPr>
    </w:p>
    <w:p>
      <w:pPr>
        <w:ind w:right="40" w:firstLine="494"/>
        <w:spacing w:after="0" w:line="241" w:lineRule="auto"/>
        <w:rPr>
          <w:sz w:val="20"/>
          <w:szCs w:val="20"/>
          <w:color w:val="auto"/>
        </w:rPr>
      </w:pPr>
      <w:r>
        <w:rPr>
          <w:rFonts w:ascii="Arial" w:cs="Arial" w:eastAsia="Arial" w:hAnsi="Arial"/>
          <w:sz w:val="18"/>
          <w:szCs w:val="18"/>
          <w:color w:val="auto"/>
        </w:rPr>
        <w:t>In March 2022, the Company's Board authorized a $250.0 million stock repurchase program. Under the stock repurchase program, the Company may repurchase shares from time to time in the open market or in privately negotiated transactions. The stock repurchase program has no expiration from the date of authorization. During the three months ended June 30, 2022, the Company repurchased 215,000 shares of its common stock at an aggregate cost of $10.6 million under the stock repurchase program. As of June 30, 2022, a total of approximately $239.4 million remained available for future repurchases of its common stock under the stock repurchase program.</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Securities and Exchange Commission in preparing this discussion and analysis, we presume that readers have access to and have read the discussion and analysis of our financial condition and results of operations included in our annual report on Form 10-K for our fiscal year ended December 31, 2021 filed with the U.S. Securities and Exchange Commission, or SEC, on February 28, 2022, or the 2021 Annual Report. As used in this discussion and analysis and elsewhere in this report, unless the context otherwise requires, the terms “Fulgent,” the “Company,” “we,” “us” and “our” refer to Fulgent Genetics, Inc. and its consolidated subsidiaries.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04" w:lineRule="exact"/>
        <w:rPr>
          <w:sz w:val="20"/>
          <w:szCs w:val="20"/>
          <w:color w:val="auto"/>
        </w:rPr>
      </w:pPr>
    </w:p>
    <w:p>
      <w:pPr>
        <w:spacing w:after="0" w:line="267" w:lineRule="auto"/>
        <w:rPr>
          <w:sz w:val="20"/>
          <w:szCs w:val="20"/>
          <w:color w:val="auto"/>
        </w:rPr>
      </w:pPr>
      <w:r>
        <w:rPr>
          <w:rFonts w:ascii="Arial" w:cs="Arial" w:eastAsia="Arial" w:hAnsi="Arial"/>
          <w:sz w:val="16"/>
          <w:szCs w:val="16"/>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 of the 2021 Annual Report and under “Item 1A. Risk Factors” in Part II of this Quarterly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are a technology company offering large-scale COVID-19 testing services, molecular diagnostic testing services and comprehensive genetic testing designed to provide physicians and patients with clinically actionable diagnostic information to improve the quality of patient care. A cornerstone of our business is our ability to provide expansive options and flexibility for all clients’ unique testing needs. To this end, we have developed a proprietary technology platform allowing us to offer a broad and flexible test menu and to continually expand and improve our proprietary genetic reference library, while maintaining accessible pricing, high accuracy and competitive turnaround times. Combining next generation sequencing, or NGS, with our technology platform, we perform full-gene sequencing with deletion/duplication analysis in single-gene tests; pre-established, multi-gene, disease-specific panels; and customized panels that can be tailored to meet specific customer needs.</w:t>
      </w:r>
    </w:p>
    <w:p>
      <w:pPr>
        <w:spacing w:after="0" w:line="180"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technology platform, which integrates sophisticated data comparison and suppression algorithms, adaptive learning software, in comparison to our competitors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5" w:name="page26"/>
    <w:bookmarkEnd w:id="25"/>
    <w:p>
      <w:pPr>
        <w:ind w:right="20" w:firstLine="509"/>
        <w:spacing w:after="0" w:line="270" w:lineRule="auto"/>
        <w:rPr>
          <w:sz w:val="20"/>
          <w:szCs w:val="20"/>
          <w:color w:val="auto"/>
        </w:rPr>
      </w:pPr>
      <w:r>
        <w:rPr>
          <w:rFonts w:ascii="Arial" w:cs="Arial" w:eastAsia="Arial" w:hAnsi="Arial"/>
          <w:sz w:val="16"/>
          <w:szCs w:val="16"/>
          <w:color w:val="auto"/>
        </w:rPr>
        <w:t>We offer tests at competitive prices, averaging approximately $98 per billable test delivered in the six months ended June 30, 2022, and at a low cost to us, averaging approximately $30 per billable test delivered in the six months ended June 30, 2022. We delivered over 1.3 million and approximately 4.6 million billable tests in the three and six months ended June 30, 2022, respectively, compared to approximately 1.6 million and over 5.3 million billable tests delivered in the three and six months ended June 30, 2021, respectively. We recorded revenue and net income of $125.3 million and $11.5 million, respectively, in the three months ended June 30, 2022, compared to revenue and net income of $153.6 million and $79.8 million, respectively, in three months ended June 30, 2021. We recorded revenue and net income of $445.6 million and $165.5 million, respectively, in the six months ended June 30, 2022, compared to revenue and net income of $513.0 million and $280.5 million, respectively, in six months ended June 30, 2021. As of June 30, 2022, an aggregate of over 19.0 million billable tests have been delivered to approximately 3,000 customers since launching our first commercial genetic tests in 2013. We have experienced compound quarterly growth of 4% in the number of billable tests delivered in our last eight completed fiscal quarters. We achieved profitability in the first half of 2017, and in the second and the third quarter of 2019, the second, third and fourth quarters of 2020, each quarter of 2021, and the first half of 2022, but we have recorded losses in all other periods since our inception.</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COVID-19 Considerations</w:t>
      </w:r>
    </w:p>
    <w:p>
      <w:pPr>
        <w:spacing w:after="0" w:line="108" w:lineRule="exact"/>
        <w:rPr>
          <w:sz w:val="20"/>
          <w:szCs w:val="20"/>
          <w:color w:val="auto"/>
        </w:rPr>
      </w:pPr>
    </w:p>
    <w:p>
      <w:pPr>
        <w:ind w:right="20" w:firstLine="509"/>
        <w:spacing w:after="0" w:line="206" w:lineRule="exact"/>
        <w:rPr>
          <w:sz w:val="20"/>
          <w:szCs w:val="20"/>
          <w:color w:val="auto"/>
        </w:rPr>
      </w:pPr>
      <w:r>
        <w:rPr>
          <w:rFonts w:ascii="Arial" w:cs="Arial" w:eastAsia="Arial" w:hAnsi="Arial"/>
          <w:sz w:val="16"/>
          <w:szCs w:val="16"/>
          <w:color w:val="auto"/>
        </w:rPr>
        <w:t>During the first half of 2022, and for the entirety of the COVID-19 pandemic to such point, we continued to operate as an essential business in response to COVID-19. There has been strong demand for accurate COVID-19 testing with rapid turn-around times as private businesses, municipalities and healthcare providers began to increasingly rely on diagnostic testing to continue operations and as a tool to aide containment efforts, and as result we have recognized significant revenue growth in connection with sales of our COVID-19 tests. The duration of the ongoing COVID-19 pandemic and continuing market for COVID-19 diagnostic tests remains subject to a number of uncertainties, including uncertainties regarding the newly emerging viral variants, the success of global vaccine distribution efforts, the effectiveness of vaccines on new viral variants and customer and consumer preferences regarding the use of rapid testing. Our ability to continue to operate as currently planned, including our ability to continue to offer our COVID</w:t>
      </w:r>
      <w:r>
        <w:rPr>
          <w:rFonts w:ascii="MS PGothic" w:cs="MS PGothic" w:eastAsia="MS PGothic" w:hAnsi="MS PGothic"/>
          <w:sz w:val="16"/>
          <w:szCs w:val="16"/>
          <w:color w:val="auto"/>
        </w:rPr>
        <w:t>‑</w:t>
      </w:r>
      <w:r>
        <w:rPr>
          <w:rFonts w:ascii="Arial" w:cs="Arial" w:eastAsia="Arial" w:hAnsi="Arial"/>
          <w:sz w:val="16"/>
          <w:szCs w:val="16"/>
          <w:color w:val="auto"/>
        </w:rPr>
        <w:t>19 tests with accurate results and competitive turn-around times without any significant negative operational impact from the COVID-19 pandemic will depend in part on our, and any of our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and suppliers’ ability to protect our respective employees and supply chains.</w:t>
      </w:r>
    </w:p>
    <w:p>
      <w:pPr>
        <w:spacing w:after="0" w:line="18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COVID-19 pandemic has not negatively impacted the Company’s liquidity position as of June 30, 2022, and in the first half of 2022 and 2021, the COVID-19 pandemic did not have a negative impact on our consolidated operating results. We have not incurred any material impairments of our assets or a significant change in the fair value of our assets due to the COVID-19 pandemic as of June 30, 2022.</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additional information on risk factors related to the COVID-19 pandemic or other risks that could impact our results, please refer to “Item 1A.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Part I of the 2021 Annual Report and “Item 1A. Risk Factors” in Part II of this Quarterly Report.</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Risks and Uncertainties and Other Factors Affecting Our Performance</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Our business and prospects are exposed to numerous risks and uncertainties. For more information, see “Item 1A. Risk Factors” in Part I of the 2021 Annual Report and “Item 1A. Risk Factors” in Part II of this Quarterly Report. In addition, our performance in any period is affected by a number of other factors. See the description of some of the material factors affecting our performance in “Item 7. Management’s Discussion and Analysis of Financial Condition and Results of Operations” of the 2021 Annual Report.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table below summarizes our results of operations for the periods indicated. For a financial overview relating to our results of operations, including general descriptions of the make-up of material line items of our statement of income data, see “Item 7. Management’s Discussion and Analysis of Financial Condition and Results of Operations” of the 2021 Annual Report.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32"/>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9"/>
        </w:trPr>
        <w:tc>
          <w:tcPr>
            <w:tcW w:w="31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60" w:type="dxa"/>
            <w:vAlign w:val="bottom"/>
            <w:gridSpan w:val="11"/>
          </w:tcPr>
          <w:p>
            <w:pPr>
              <w:jc w:val="right"/>
              <w:spacing w:after="0"/>
              <w:rPr>
                <w:sz w:val="20"/>
                <w:szCs w:val="20"/>
                <w:color w:val="auto"/>
              </w:rPr>
            </w:pPr>
            <w:r>
              <w:rPr>
                <w:rFonts w:ascii="Arial" w:cs="Arial" w:eastAsia="Arial" w:hAnsi="Arial"/>
                <w:sz w:val="14"/>
                <w:szCs w:val="14"/>
                <w:b w:val="1"/>
                <w:bCs w:val="1"/>
                <w:color w:val="auto"/>
              </w:rPr>
              <w:t>(dollars and billable tests in thousands, except per billable test data)</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w w:val="95"/>
              </w:rPr>
              <w:t>125,341</w:t>
            </w:r>
          </w:p>
        </w:tc>
        <w:tc>
          <w:tcPr>
            <w:tcW w:w="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w w:val="98"/>
              </w:rPr>
              <w:t>153,616</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(28,275 )</w:t>
            </w:r>
          </w:p>
        </w:tc>
        <w:tc>
          <w:tcPr>
            <w:tcW w:w="84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(18%)</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w w:val="95"/>
              </w:rPr>
              <w:t>445,609</w:t>
            </w: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513,045</w:t>
            </w:r>
          </w:p>
        </w:tc>
        <w:tc>
          <w:tcPr>
            <w:tcW w:w="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(67,436 )</w:t>
            </w:r>
          </w:p>
        </w:tc>
        <w:tc>
          <w:tcPr>
            <w:tcW w:w="720" w:type="dxa"/>
            <w:vAlign w:val="bottom"/>
            <w:gridSpan w:val="2"/>
            <w:shd w:val="clear" w:color="auto" w:fill="CFF0FC"/>
          </w:tcPr>
          <w:p>
            <w:pPr>
              <w:jc w:val="center"/>
              <w:ind w:left="91"/>
              <w:spacing w:after="0" w:line="202" w:lineRule="exact"/>
              <w:rPr>
                <w:sz w:val="20"/>
                <w:szCs w:val="20"/>
                <w:color w:val="auto"/>
              </w:rPr>
            </w:pPr>
            <w:r>
              <w:rPr>
                <w:rFonts w:ascii="Arial" w:cs="Arial" w:eastAsia="Arial" w:hAnsi="Arial"/>
                <w:sz w:val="18"/>
                <w:szCs w:val="18"/>
                <w:color w:val="auto"/>
                <w:w w:val="95"/>
              </w:rPr>
              <w:t>(13%)</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60,065</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35,858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24,207</w:t>
            </w:r>
          </w:p>
        </w:tc>
        <w:tc>
          <w:tcPr>
            <w:tcW w:w="8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68%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w w:val="95"/>
              </w:rPr>
              <w:t>137,790</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109,933</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27,857</w:t>
            </w:r>
          </w:p>
        </w:tc>
        <w:tc>
          <w:tcPr>
            <w:tcW w:w="720" w:type="dxa"/>
            <w:vAlign w:val="bottom"/>
            <w:gridSpan w:val="2"/>
          </w:tcPr>
          <w:p>
            <w:pPr>
              <w:jc w:val="center"/>
              <w:ind w:left="51"/>
              <w:spacing w:after="0" w:line="202" w:lineRule="exact"/>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65,276</w:t>
            </w:r>
          </w:p>
        </w:tc>
        <w:tc>
          <w:tcPr>
            <w:tcW w:w="10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w w:val="98"/>
              </w:rPr>
              <w:t>117,758</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(52,482 )</w:t>
            </w:r>
          </w:p>
        </w:tc>
        <w:tc>
          <w:tcPr>
            <w:tcW w:w="840" w:type="dxa"/>
            <w:vAlign w:val="bottom"/>
            <w:tcBorders>
              <w:bottom w:val="single" w:sz="8" w:color="CFF0FC"/>
            </w:tcBorders>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(45%)</w:t>
            </w: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w w:val="95"/>
              </w:rPr>
              <w:t>307,819</w:t>
            </w:r>
          </w:p>
        </w:tc>
        <w:tc>
          <w:tcPr>
            <w:tcW w:w="1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403,112</w:t>
            </w:r>
          </w:p>
        </w:tc>
        <w:tc>
          <w:tcPr>
            <w:tcW w:w="1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(95,293 )</w:t>
            </w:r>
          </w:p>
        </w:tc>
        <w:tc>
          <w:tcPr>
            <w:tcW w:w="720" w:type="dxa"/>
            <w:vAlign w:val="bottom"/>
            <w:tcBorders>
              <w:bottom w:val="single" w:sz="8" w:color="CFF0FC"/>
            </w:tcBorders>
            <w:gridSpan w:val="2"/>
            <w:shd w:val="clear" w:color="auto" w:fill="CFF0FC"/>
          </w:tcPr>
          <w:p>
            <w:pPr>
              <w:jc w:val="center"/>
              <w:ind w:left="91"/>
              <w:spacing w:after="0" w:line="196" w:lineRule="exact"/>
              <w:rPr>
                <w:sz w:val="20"/>
                <w:szCs w:val="20"/>
                <w:color w:val="auto"/>
              </w:rPr>
            </w:pPr>
            <w:r>
              <w:rPr>
                <w:rFonts w:ascii="Arial" w:cs="Arial" w:eastAsia="Arial" w:hAnsi="Arial"/>
                <w:sz w:val="18"/>
                <w:szCs w:val="18"/>
                <w:color w:val="auto"/>
                <w:w w:val="95"/>
              </w:rPr>
              <w:t>(24%)</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6,905</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5,312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1,593</w:t>
            </w:r>
          </w:p>
        </w:tc>
        <w:tc>
          <w:tcPr>
            <w:tcW w:w="84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88"/>
              </w:rPr>
              <w:t>30%</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12,894</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10,734</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2,160</w:t>
            </w:r>
          </w:p>
        </w:tc>
        <w:tc>
          <w:tcPr>
            <w:tcW w:w="720" w:type="dxa"/>
            <w:vAlign w:val="bottom"/>
            <w:gridSpan w:val="2"/>
            <w:shd w:val="clear" w:color="auto" w:fill="CFF0FC"/>
          </w:tcPr>
          <w:p>
            <w:pPr>
              <w:jc w:val="center"/>
              <w:ind w:left="51"/>
              <w:spacing w:after="0" w:line="202" w:lineRule="exact"/>
              <w:rPr>
                <w:sz w:val="20"/>
                <w:szCs w:val="20"/>
                <w:color w:val="auto"/>
              </w:rPr>
            </w:pPr>
            <w:r>
              <w:rPr>
                <w:rFonts w:ascii="Arial" w:cs="Arial" w:eastAsia="Arial" w:hAnsi="Arial"/>
                <w:sz w:val="18"/>
                <w:szCs w:val="18"/>
                <w:color w:val="auto"/>
                <w:w w:val="94"/>
              </w:rPr>
              <w:t>20%</w:t>
            </w:r>
          </w:p>
        </w:tc>
        <w:tc>
          <w:tcPr>
            <w:tcW w:w="0" w:type="dxa"/>
            <w:vAlign w:val="bottom"/>
          </w:tcPr>
          <w:p>
            <w:pPr>
              <w:spacing w:after="0"/>
              <w:rPr>
                <w:sz w:val="1"/>
                <w:szCs w:val="1"/>
                <w:color w:val="auto"/>
              </w:rPr>
            </w:pPr>
          </w:p>
        </w:tc>
      </w:tr>
      <w:tr>
        <w:trPr>
          <w:trHeight w:val="203"/>
        </w:trPr>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Selling and marketing</w:t>
            </w:r>
          </w:p>
        </w:tc>
        <w:tc>
          <w:tcPr>
            <w:tcW w:w="18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10,866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5,219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5,647</w:t>
            </w:r>
          </w:p>
        </w:tc>
        <w:tc>
          <w:tcPr>
            <w:tcW w:w="8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108%</w:t>
            </w:r>
          </w:p>
        </w:tc>
        <w:tc>
          <w:tcPr>
            <w:tcW w:w="16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18,806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10,227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8,579</w:t>
            </w:r>
          </w:p>
        </w:tc>
        <w:tc>
          <w:tcPr>
            <w:tcW w:w="720" w:type="dxa"/>
            <w:vAlign w:val="bottom"/>
            <w:gridSpan w:val="2"/>
          </w:tcPr>
          <w:p>
            <w:pPr>
              <w:jc w:val="center"/>
              <w:ind w:left="51"/>
              <w:spacing w:after="0" w:line="202" w:lineRule="exact"/>
              <w:rPr>
                <w:sz w:val="20"/>
                <w:szCs w:val="20"/>
                <w:color w:val="auto"/>
              </w:rPr>
            </w:pPr>
            <w:r>
              <w:rPr>
                <w:rFonts w:ascii="Arial" w:cs="Arial" w:eastAsia="Arial" w:hAnsi="Arial"/>
                <w:sz w:val="18"/>
                <w:szCs w:val="18"/>
                <w:color w:val="auto"/>
                <w:w w:val="94"/>
              </w:rPr>
              <w:t>84%</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30,240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8,329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21,911</w:t>
            </w:r>
          </w:p>
        </w:tc>
        <w:tc>
          <w:tcPr>
            <w:tcW w:w="84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263%</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56,015</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16,331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39,684</w:t>
            </w:r>
          </w:p>
        </w:tc>
        <w:tc>
          <w:tcPr>
            <w:tcW w:w="720" w:type="dxa"/>
            <w:vAlign w:val="bottom"/>
            <w:gridSpan w:val="2"/>
            <w:shd w:val="clear" w:color="auto" w:fill="CFF0FC"/>
          </w:tcPr>
          <w:p>
            <w:pPr>
              <w:jc w:val="center"/>
              <w:ind w:left="51"/>
              <w:spacing w:after="0" w:line="202" w:lineRule="exact"/>
              <w:rPr>
                <w:sz w:val="20"/>
                <w:szCs w:val="20"/>
                <w:color w:val="auto"/>
              </w:rPr>
            </w:pPr>
            <w:r>
              <w:rPr>
                <w:rFonts w:ascii="Arial" w:cs="Arial" w:eastAsia="Arial" w:hAnsi="Arial"/>
                <w:sz w:val="18"/>
                <w:szCs w:val="18"/>
                <w:color w:val="auto"/>
                <w:w w:val="91"/>
              </w:rPr>
              <w:t>243%</w:t>
            </w:r>
          </w:p>
        </w:tc>
        <w:tc>
          <w:tcPr>
            <w:tcW w:w="0" w:type="dxa"/>
            <w:vAlign w:val="bottom"/>
          </w:tcPr>
          <w:p>
            <w:pPr>
              <w:spacing w:after="0"/>
              <w:rPr>
                <w:sz w:val="1"/>
                <w:szCs w:val="1"/>
                <w:color w:val="auto"/>
              </w:rPr>
            </w:pPr>
          </w:p>
        </w:tc>
      </w:tr>
      <w:tr>
        <w:trPr>
          <w:trHeight w:val="203"/>
        </w:trPr>
        <w:tc>
          <w:tcPr>
            <w:tcW w:w="31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1,575</w:t>
            </w:r>
          </w:p>
        </w:tc>
        <w:tc>
          <w:tcPr>
            <w:tcW w:w="84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2,481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2,481</w:t>
            </w:r>
          </w:p>
        </w:tc>
        <w:tc>
          <w:tcPr>
            <w:tcW w:w="720" w:type="dxa"/>
            <w:vAlign w:val="bottom"/>
            <w:gridSpan w:val="2"/>
          </w:tcPr>
          <w:p>
            <w:pPr>
              <w:jc w:val="center"/>
              <w:ind w:lef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1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Restructuring costs</w:t>
            </w: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2,896</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2,896</w:t>
            </w:r>
          </w:p>
        </w:tc>
        <w:tc>
          <w:tcPr>
            <w:tcW w:w="840" w:type="dxa"/>
            <w:vAlign w:val="bottom"/>
            <w:tcBorders>
              <w:bottom w:val="single" w:sz="8" w:color="CFF0FC"/>
            </w:tcBorders>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2,896</w:t>
            </w:r>
          </w:p>
        </w:tc>
        <w:tc>
          <w:tcPr>
            <w:tcW w:w="1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2,896</w:t>
            </w:r>
          </w:p>
        </w:tc>
        <w:tc>
          <w:tcPr>
            <w:tcW w:w="720" w:type="dxa"/>
            <w:vAlign w:val="bottom"/>
            <w:tcBorders>
              <w:bottom w:val="single" w:sz="8" w:color="CFF0FC"/>
            </w:tcBorders>
            <w:gridSpan w:val="2"/>
            <w:shd w:val="clear" w:color="auto" w:fill="CFF0FC"/>
          </w:tcPr>
          <w:p>
            <w:pPr>
              <w:jc w:val="center"/>
              <w:ind w:lef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140" w:type="dxa"/>
            <w:vAlign w:val="bottom"/>
          </w:tcPr>
          <w:p>
            <w:pPr>
              <w:ind w:left="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52,482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18,860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33,622</w:t>
            </w:r>
          </w:p>
        </w:tc>
        <w:tc>
          <w:tcPr>
            <w:tcW w:w="84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1"/>
              </w:rPr>
              <w:t>178%</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93,092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37,292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55,800</w:t>
            </w:r>
          </w:p>
        </w:tc>
        <w:tc>
          <w:tcPr>
            <w:tcW w:w="720" w:type="dxa"/>
            <w:vAlign w:val="bottom"/>
            <w:gridSpan w:val="2"/>
          </w:tcPr>
          <w:p>
            <w:pPr>
              <w:jc w:val="center"/>
              <w:ind w:left="51"/>
              <w:spacing w:after="0" w:line="196" w:lineRule="exact"/>
              <w:rPr>
                <w:sz w:val="20"/>
                <w:szCs w:val="20"/>
                <w:color w:val="auto"/>
              </w:rPr>
            </w:pPr>
            <w:r>
              <w:rPr>
                <w:rFonts w:ascii="Arial" w:cs="Arial" w:eastAsia="Arial" w:hAnsi="Arial"/>
                <w:sz w:val="18"/>
                <w:szCs w:val="18"/>
                <w:color w:val="auto"/>
                <w:w w:val="91"/>
              </w:rPr>
              <w:t>150%</w:t>
            </w:r>
          </w:p>
        </w:tc>
        <w:tc>
          <w:tcPr>
            <w:tcW w:w="0" w:type="dxa"/>
            <w:vAlign w:val="bottom"/>
          </w:tcPr>
          <w:p>
            <w:pPr>
              <w:spacing w:after="0"/>
              <w:rPr>
                <w:sz w:val="1"/>
                <w:szCs w:val="1"/>
                <w:color w:val="auto"/>
              </w:rPr>
            </w:pPr>
          </w:p>
        </w:tc>
      </w:tr>
      <w:tr>
        <w:trPr>
          <w:trHeight w:val="196"/>
        </w:trPr>
        <w:tc>
          <w:tcPr>
            <w:tcW w:w="3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12,794</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98,898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(86,104 )</w:t>
            </w:r>
          </w:p>
        </w:tc>
        <w:tc>
          <w:tcPr>
            <w:tcW w:w="840" w:type="dxa"/>
            <w:vAlign w:val="bottom"/>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(87%)</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w w:val="95"/>
              </w:rPr>
              <w:t>214,727</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365,820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(151,093 )</w:t>
            </w:r>
          </w:p>
        </w:tc>
        <w:tc>
          <w:tcPr>
            <w:tcW w:w="720" w:type="dxa"/>
            <w:vAlign w:val="bottom"/>
            <w:gridSpan w:val="2"/>
            <w:shd w:val="clear" w:color="auto" w:fill="CFF0FC"/>
          </w:tcPr>
          <w:p>
            <w:pPr>
              <w:jc w:val="center"/>
              <w:ind w:left="91"/>
              <w:spacing w:after="0" w:line="196" w:lineRule="exact"/>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Interest and other income, net</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958</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604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354</w:t>
            </w:r>
          </w:p>
        </w:tc>
        <w:tc>
          <w:tcPr>
            <w:tcW w:w="8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59%</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1,003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886</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117</w:t>
            </w:r>
          </w:p>
        </w:tc>
        <w:tc>
          <w:tcPr>
            <w:tcW w:w="720" w:type="dxa"/>
            <w:vAlign w:val="bottom"/>
            <w:gridSpan w:val="2"/>
          </w:tcPr>
          <w:p>
            <w:pPr>
              <w:jc w:val="center"/>
              <w:ind w:left="51"/>
              <w:spacing w:after="0" w:line="202" w:lineRule="exact"/>
              <w:rPr>
                <w:sz w:val="20"/>
                <w:szCs w:val="20"/>
                <w:color w:val="auto"/>
              </w:rPr>
            </w:pPr>
            <w:r>
              <w:rPr>
                <w:rFonts w:ascii="Arial" w:cs="Arial" w:eastAsia="Arial" w:hAnsi="Arial"/>
                <w:sz w:val="18"/>
                <w:szCs w:val="18"/>
                <w:color w:val="auto"/>
                <w:w w:val="94"/>
              </w:rPr>
              <w:t>13%</w:t>
            </w:r>
          </w:p>
        </w:tc>
        <w:tc>
          <w:tcPr>
            <w:tcW w:w="0" w:type="dxa"/>
            <w:vAlign w:val="bottom"/>
          </w:tcPr>
          <w:p>
            <w:pPr>
              <w:spacing w:after="0"/>
              <w:rPr>
                <w:sz w:val="1"/>
                <w:szCs w:val="1"/>
                <w:color w:val="auto"/>
              </w:rPr>
            </w:pPr>
          </w:p>
        </w:tc>
      </w:tr>
      <w:tr>
        <w:trPr>
          <w:trHeight w:val="156"/>
        </w:trPr>
        <w:tc>
          <w:tcPr>
            <w:tcW w:w="31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w w:val="95"/>
              </w:rPr>
              <w:t>Income before income taxes and gain on</w:t>
            </w:r>
          </w:p>
        </w:tc>
        <w:tc>
          <w:tcPr>
            <w:tcW w:w="1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13,752</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99,502</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(85,750 )</w:t>
            </w:r>
          </w:p>
        </w:tc>
        <w:tc>
          <w:tcPr>
            <w:tcW w:w="840" w:type="dxa"/>
            <w:vAlign w:val="bottom"/>
            <w:gridSpan w:val="2"/>
            <w:vMerge w:val="restart"/>
            <w:shd w:val="clear" w:color="auto" w:fill="CFF0FC"/>
          </w:tcPr>
          <w:p>
            <w:pPr>
              <w:jc w:val="center"/>
              <w:spacing w:after="0"/>
              <w:rPr>
                <w:sz w:val="20"/>
                <w:szCs w:val="20"/>
                <w:color w:val="auto"/>
              </w:rPr>
            </w:pPr>
            <w:r>
              <w:rPr>
                <w:rFonts w:ascii="Arial" w:cs="Arial" w:eastAsia="Arial" w:hAnsi="Arial"/>
                <w:sz w:val="18"/>
                <w:szCs w:val="18"/>
                <w:color w:val="auto"/>
                <w:w w:val="91"/>
              </w:rPr>
              <w:t>(86%)</w:t>
            </w: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w w:val="95"/>
              </w:rPr>
              <w:t>215,730</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366,706</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(150,976 )</w:t>
            </w:r>
          </w:p>
        </w:tc>
        <w:tc>
          <w:tcPr>
            <w:tcW w:w="720" w:type="dxa"/>
            <w:vAlign w:val="bottom"/>
            <w:gridSpan w:val="2"/>
            <w:vMerge w:val="restart"/>
            <w:shd w:val="clear" w:color="auto" w:fill="CFF0FC"/>
          </w:tcPr>
          <w:p>
            <w:pPr>
              <w:jc w:val="center"/>
              <w:ind w:left="91"/>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method investment</w:t>
            </w: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2,653</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23,589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(20,936 )</w:t>
            </w:r>
          </w:p>
        </w:tc>
        <w:tc>
          <w:tcPr>
            <w:tcW w:w="8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(89%)</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51,074</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90,102</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(39,028 )</w:t>
            </w:r>
          </w:p>
        </w:tc>
        <w:tc>
          <w:tcPr>
            <w:tcW w:w="720" w:type="dxa"/>
            <w:vAlign w:val="bottom"/>
            <w:gridSpan w:val="2"/>
          </w:tcPr>
          <w:p>
            <w:pPr>
              <w:jc w:val="center"/>
              <w:ind w:left="91"/>
              <w:spacing w:after="0" w:line="202" w:lineRule="exact"/>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156"/>
        </w:trPr>
        <w:tc>
          <w:tcPr>
            <w:tcW w:w="314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color w:val="auto"/>
              </w:rPr>
              <w:t>Income before gain on equity method</w:t>
            </w:r>
          </w:p>
        </w:tc>
        <w:tc>
          <w:tcPr>
            <w:tcW w:w="180" w:type="dxa"/>
            <w:vAlign w:val="bottom"/>
            <w:shd w:val="clear" w:color="auto" w:fill="CFF0FC"/>
          </w:tcPr>
          <w:p>
            <w:pPr>
              <w:spacing w:after="0"/>
              <w:rPr>
                <w:sz w:val="13"/>
                <w:szCs w:val="13"/>
                <w:color w:val="auto"/>
              </w:rPr>
            </w:pPr>
          </w:p>
        </w:tc>
        <w:tc>
          <w:tcPr>
            <w:tcW w:w="78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11,099</w:t>
            </w:r>
          </w:p>
        </w:tc>
        <w:tc>
          <w:tcPr>
            <w:tcW w:w="1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75,913</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(64,814 )</w:t>
            </w:r>
          </w:p>
        </w:tc>
        <w:tc>
          <w:tcPr>
            <w:tcW w:w="840" w:type="dxa"/>
            <w:vAlign w:val="bottom"/>
            <w:gridSpan w:val="2"/>
            <w:vMerge w:val="restart"/>
            <w:shd w:val="clear" w:color="auto" w:fill="CFF0FC"/>
          </w:tcPr>
          <w:p>
            <w:pPr>
              <w:jc w:val="center"/>
              <w:spacing w:after="0"/>
              <w:rPr>
                <w:sz w:val="20"/>
                <w:szCs w:val="20"/>
                <w:color w:val="auto"/>
              </w:rPr>
            </w:pPr>
            <w:r>
              <w:rPr>
                <w:rFonts w:ascii="Arial" w:cs="Arial" w:eastAsia="Arial" w:hAnsi="Arial"/>
                <w:sz w:val="18"/>
                <w:szCs w:val="18"/>
                <w:color w:val="auto"/>
                <w:w w:val="91"/>
              </w:rPr>
              <w:t>(85%)</w:t>
            </w:r>
          </w:p>
        </w:tc>
        <w:tc>
          <w:tcPr>
            <w:tcW w:w="160" w:type="dxa"/>
            <w:vAlign w:val="bottom"/>
            <w:shd w:val="clear" w:color="auto" w:fill="CFF0FC"/>
          </w:tcPr>
          <w:p>
            <w:pPr>
              <w:spacing w:after="0"/>
              <w:rPr>
                <w:sz w:val="13"/>
                <w:szCs w:val="13"/>
                <w:color w:val="auto"/>
              </w:rPr>
            </w:pPr>
          </w:p>
        </w:tc>
        <w:tc>
          <w:tcPr>
            <w:tcW w:w="76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w w:val="95"/>
              </w:rPr>
              <w:t>164,656</w:t>
            </w: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276,604</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(111,948 )</w:t>
            </w:r>
          </w:p>
        </w:tc>
        <w:tc>
          <w:tcPr>
            <w:tcW w:w="720" w:type="dxa"/>
            <w:vAlign w:val="bottom"/>
            <w:gridSpan w:val="2"/>
            <w:vMerge w:val="restart"/>
            <w:shd w:val="clear" w:color="auto" w:fill="CFF0FC"/>
          </w:tcPr>
          <w:p>
            <w:pPr>
              <w:jc w:val="center"/>
              <w:ind w:left="91"/>
              <w:spacing w:after="0"/>
              <w:rPr>
                <w:sz w:val="20"/>
                <w:szCs w:val="20"/>
                <w:color w:val="auto"/>
              </w:rPr>
            </w:pPr>
            <w:r>
              <w:rPr>
                <w:rFonts w:ascii="Arial" w:cs="Arial" w:eastAsia="Arial" w:hAnsi="Arial"/>
                <w:sz w:val="18"/>
                <w:szCs w:val="18"/>
                <w:color w:val="auto"/>
                <w:w w:val="95"/>
              </w:rPr>
              <w:t>(40%)</w:t>
            </w:r>
          </w:p>
        </w:tc>
        <w:tc>
          <w:tcPr>
            <w:tcW w:w="0" w:type="dxa"/>
            <w:vAlign w:val="bottom"/>
          </w:tcPr>
          <w:p>
            <w:pPr>
              <w:spacing w:after="0"/>
              <w:rPr>
                <w:sz w:val="1"/>
                <w:szCs w:val="1"/>
                <w:color w:val="auto"/>
              </w:rPr>
            </w:pPr>
          </w:p>
        </w:tc>
      </w:tr>
      <w:tr>
        <w:trPr>
          <w:trHeight w:val="216"/>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w:t>
            </w:r>
          </w:p>
        </w:tc>
        <w:tc>
          <w:tcPr>
            <w:tcW w:w="180" w:type="dxa"/>
            <w:vAlign w:val="bottom"/>
            <w:shd w:val="clear" w:color="auto" w:fill="CFF0FC"/>
          </w:tcPr>
          <w:p>
            <w:pPr>
              <w:spacing w:after="0"/>
              <w:rPr>
                <w:sz w:val="18"/>
                <w:szCs w:val="18"/>
                <w:color w:val="auto"/>
              </w:rPr>
            </w:pPr>
          </w:p>
        </w:tc>
        <w:tc>
          <w:tcPr>
            <w:tcW w:w="7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vMerge w:val="continue"/>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Arial" w:cs="Arial" w:eastAsia="Arial" w:hAnsi="Arial"/>
                <w:sz w:val="18"/>
                <w:szCs w:val="18"/>
                <w:color w:val="auto"/>
              </w:rPr>
              <w:t>Gain on equity method investment</w:t>
            </w:r>
          </w:p>
        </w:tc>
        <w:tc>
          <w:tcPr>
            <w:tcW w:w="180" w:type="dxa"/>
            <w:vAlign w:val="bottom"/>
          </w:tcPr>
          <w:p>
            <w:pPr>
              <w:spacing w:after="0"/>
              <w:rPr>
                <w:sz w:val="14"/>
                <w:szCs w:val="14"/>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(3,734 )</w:t>
            </w:r>
          </w:p>
        </w:tc>
        <w:tc>
          <w:tcPr>
            <w:tcW w:w="840" w:type="dxa"/>
            <w:vAlign w:val="bottom"/>
            <w:gridSpan w:val="2"/>
          </w:tcPr>
          <w:p>
            <w:pPr>
              <w:jc w:val="center"/>
              <w:spacing w:after="0" w:line="162" w:lineRule="exact"/>
              <w:rPr>
                <w:sz w:val="20"/>
                <w:szCs w:val="20"/>
                <w:color w:val="auto"/>
              </w:rPr>
            </w:pPr>
            <w:r>
              <w:rPr>
                <w:rFonts w:ascii="Arial" w:cs="Arial" w:eastAsia="Arial" w:hAnsi="Arial"/>
                <w:sz w:val="18"/>
                <w:szCs w:val="18"/>
                <w:color w:val="auto"/>
                <w:w w:val="92"/>
              </w:rPr>
              <w:t>(100%</w:t>
            </w:r>
          </w:p>
        </w:tc>
        <w:tc>
          <w:tcPr>
            <w:tcW w:w="160" w:type="dxa"/>
            <w:vAlign w:val="bottom"/>
          </w:tcPr>
          <w:p>
            <w:pPr>
              <w:spacing w:after="0"/>
              <w:rPr>
                <w:sz w:val="14"/>
                <w:szCs w:val="14"/>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3,734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(3,734 )</w:t>
            </w:r>
          </w:p>
        </w:tc>
        <w:tc>
          <w:tcPr>
            <w:tcW w:w="720" w:type="dxa"/>
            <w:vAlign w:val="bottom"/>
            <w:gridSpan w:val="2"/>
          </w:tcPr>
          <w:p>
            <w:pPr>
              <w:jc w:val="center"/>
              <w:ind w:left="111"/>
              <w:spacing w:after="0" w:line="162" w:lineRule="exact"/>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03"/>
        </w:trPr>
        <w:tc>
          <w:tcPr>
            <w:tcW w:w="3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720" w:type="dxa"/>
            <w:vAlign w:val="bottom"/>
            <w:gridSpan w:val="2"/>
          </w:tcPr>
          <w:p>
            <w:pPr>
              <w:jc w:val="center"/>
              <w:ind w:left="11"/>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3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4"/>
              </w:rPr>
              <w:t>Net income from consolidated operations</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11,099</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79,647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(68,548 )</w:t>
            </w:r>
          </w:p>
        </w:tc>
        <w:tc>
          <w:tcPr>
            <w:tcW w:w="840" w:type="dxa"/>
            <w:vAlign w:val="bottom"/>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(86%)</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w w:val="95"/>
              </w:rPr>
              <w:t>164,656</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280,338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(115,682 )</w:t>
            </w:r>
          </w:p>
        </w:tc>
        <w:tc>
          <w:tcPr>
            <w:tcW w:w="720" w:type="dxa"/>
            <w:vAlign w:val="bottom"/>
            <w:gridSpan w:val="2"/>
            <w:shd w:val="clear" w:color="auto" w:fill="CFF0FC"/>
          </w:tcPr>
          <w:p>
            <w:pPr>
              <w:jc w:val="center"/>
              <w:ind w:left="91"/>
              <w:spacing w:after="0" w:line="196" w:lineRule="exact"/>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Arial" w:cs="Arial" w:eastAsia="Arial" w:hAnsi="Arial"/>
                <w:sz w:val="18"/>
                <w:szCs w:val="18"/>
                <w:color w:val="auto"/>
              </w:rPr>
              <w:t>Net loss attributable to noncontrolling</w:t>
            </w:r>
          </w:p>
        </w:tc>
        <w:tc>
          <w:tcPr>
            <w:tcW w:w="180" w:type="dxa"/>
            <w:vAlign w:val="bottom"/>
          </w:tcPr>
          <w:p>
            <w:pPr>
              <w:spacing w:after="0"/>
              <w:rPr>
                <w:sz w:val="14"/>
                <w:szCs w:val="14"/>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8"/>
                <w:szCs w:val="18"/>
                <w:color w:val="auto"/>
              </w:rPr>
              <w:t>273</w:t>
            </w:r>
          </w:p>
        </w:tc>
        <w:tc>
          <w:tcPr>
            <w:tcW w:w="8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165%</w:t>
            </w:r>
          </w:p>
        </w:tc>
        <w:tc>
          <w:tcPr>
            <w:tcW w:w="160" w:type="dxa"/>
            <w:vAlign w:val="bottom"/>
          </w:tcPr>
          <w:p>
            <w:pPr>
              <w:spacing w:after="0"/>
              <w:rPr>
                <w:sz w:val="14"/>
                <w:szCs w:val="14"/>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8"/>
                <w:szCs w:val="18"/>
                <w:color w:val="auto"/>
              </w:rPr>
              <w:t>695</w:t>
            </w:r>
          </w:p>
        </w:tc>
        <w:tc>
          <w:tcPr>
            <w:tcW w:w="720" w:type="dxa"/>
            <w:vAlign w:val="bottom"/>
            <w:gridSpan w:val="2"/>
            <w:vMerge w:val="restart"/>
          </w:tcPr>
          <w:p>
            <w:pPr>
              <w:jc w:val="center"/>
              <w:ind w:left="51"/>
              <w:spacing w:after="0"/>
              <w:rPr>
                <w:sz w:val="20"/>
                <w:szCs w:val="20"/>
                <w:color w:val="auto"/>
              </w:rPr>
            </w:pPr>
            <w:r>
              <w:rPr>
                <w:rFonts w:ascii="Arial" w:cs="Arial" w:eastAsia="Arial" w:hAnsi="Arial"/>
                <w:sz w:val="18"/>
                <w:szCs w:val="18"/>
                <w:color w:val="auto"/>
                <w:w w:val="91"/>
              </w:rPr>
              <w:t>421%</w:t>
            </w: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8"/>
                <w:szCs w:val="18"/>
                <w:color w:val="auto"/>
              </w:rPr>
              <w:t>interests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Net income attributable to Fulgent</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Arial" w:cs="Arial" w:eastAsia="Arial" w:hAnsi="Arial"/>
                <w:sz w:val="18"/>
                <w:szCs w:val="18"/>
                <w:color w:val="auto"/>
              </w:rPr>
              <w:t>11,537</w:t>
            </w:r>
          </w:p>
        </w:tc>
        <w:tc>
          <w:tcPr>
            <w:tcW w:w="360" w:type="dxa"/>
            <w:vAlign w:val="bottom"/>
            <w:tcBorders>
              <w:bottom w:val="single" w:sz="8" w:color="auto"/>
            </w:tcBorders>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52"/>
              <w:spacing w:after="0" w:line="182" w:lineRule="exact"/>
              <w:rPr>
                <w:sz w:val="20"/>
                <w:szCs w:val="20"/>
                <w:color w:val="auto"/>
              </w:rPr>
            </w:pPr>
            <w:r>
              <w:rPr>
                <w:rFonts w:ascii="Arial" w:cs="Arial" w:eastAsia="Arial" w:hAnsi="Arial"/>
                <w:sz w:val="18"/>
                <w:szCs w:val="18"/>
                <w:color w:val="auto"/>
              </w:rPr>
              <w:t>79,812</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(68,275 )</w:t>
            </w:r>
          </w:p>
        </w:tc>
        <w:tc>
          <w:tcPr>
            <w:tcW w:w="840" w:type="dxa"/>
            <w:vAlign w:val="bottom"/>
            <w:tcBorders>
              <w:bottom w:val="single" w:sz="8" w:color="CFF0FC"/>
            </w:tcBorders>
            <w:gridSpan w:val="2"/>
            <w:shd w:val="clear" w:color="auto" w:fill="CFF0FC"/>
          </w:tcPr>
          <w:p>
            <w:pPr>
              <w:jc w:val="center"/>
              <w:spacing w:after="0" w:line="182" w:lineRule="exact"/>
              <w:rPr>
                <w:sz w:val="20"/>
                <w:szCs w:val="20"/>
                <w:color w:val="auto"/>
              </w:rPr>
            </w:pPr>
            <w:r>
              <w:rPr>
                <w:rFonts w:ascii="Arial" w:cs="Arial" w:eastAsia="Arial" w:hAnsi="Arial"/>
                <w:sz w:val="18"/>
                <w:szCs w:val="18"/>
                <w:color w:val="auto"/>
                <w:w w:val="91"/>
              </w:rPr>
              <w:t>(86%)</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w w:val="95"/>
              </w:rPr>
              <w:t>165,516</w:t>
            </w:r>
          </w:p>
        </w:tc>
        <w:tc>
          <w:tcPr>
            <w:tcW w:w="420" w:type="dxa"/>
            <w:vAlign w:val="bottom"/>
            <w:tcBorders>
              <w:bottom w:val="single" w:sz="8" w:color="auto"/>
            </w:tcBorders>
            <w:gridSpan w:val="2"/>
            <w:shd w:val="clear" w:color="auto" w:fill="CFF0FC"/>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280,503</w:t>
            </w:r>
          </w:p>
        </w:tc>
        <w:tc>
          <w:tcPr>
            <w:tcW w:w="280" w:type="dxa"/>
            <w:vAlign w:val="bottom"/>
            <w:tcBorders>
              <w:bottom w:val="single" w:sz="8" w:color="auto"/>
            </w:tcBorders>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(114,987 )</w:t>
            </w:r>
          </w:p>
        </w:tc>
        <w:tc>
          <w:tcPr>
            <w:tcW w:w="720" w:type="dxa"/>
            <w:vAlign w:val="bottom"/>
            <w:tcBorders>
              <w:bottom w:val="single" w:sz="8" w:color="CFF0FC"/>
            </w:tcBorders>
            <w:gridSpan w:val="2"/>
            <w:shd w:val="clear" w:color="auto" w:fill="CFF0FC"/>
          </w:tcPr>
          <w:p>
            <w:pPr>
              <w:jc w:val="center"/>
              <w:ind w:left="91"/>
              <w:spacing w:after="0" w:line="182" w:lineRule="exact"/>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83"/>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Other Operating Data:</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Pr>
          <w:p>
            <w:pPr>
              <w:ind w:left="20"/>
              <w:spacing w:after="0" w:line="202" w:lineRule="exact"/>
              <w:rPr>
                <w:sz w:val="20"/>
                <w:szCs w:val="20"/>
                <w:color w:val="auto"/>
              </w:rPr>
            </w:pPr>
            <w:r>
              <w:rPr>
                <w:rFonts w:ascii="Arial" w:cs="Arial" w:eastAsia="Arial" w:hAnsi="Arial"/>
                <w:sz w:val="17"/>
                <w:szCs w:val="17"/>
                <w:color w:val="auto"/>
              </w:rPr>
              <w:t>Billable tests delivered</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7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1,335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(224 )</w:t>
            </w:r>
          </w:p>
        </w:tc>
        <w:tc>
          <w:tcPr>
            <w:tcW w:w="8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1"/>
              </w:rPr>
              <w:t>(14%)</w:t>
            </w:r>
          </w:p>
        </w:tc>
        <w:tc>
          <w:tcPr>
            <w:tcW w:w="16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4,559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5,333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(774 )</w:t>
            </w:r>
          </w:p>
        </w:tc>
        <w:tc>
          <w:tcPr>
            <w:tcW w:w="720" w:type="dxa"/>
            <w:vAlign w:val="bottom"/>
            <w:gridSpan w:val="2"/>
          </w:tcPr>
          <w:p>
            <w:pPr>
              <w:jc w:val="center"/>
              <w:ind w:left="91"/>
              <w:spacing w:after="0" w:line="202" w:lineRule="exact"/>
              <w:rPr>
                <w:sz w:val="20"/>
                <w:szCs w:val="20"/>
                <w:color w:val="auto"/>
              </w:rPr>
            </w:pPr>
            <w:r>
              <w:rPr>
                <w:rFonts w:ascii="Arial" w:cs="Arial" w:eastAsia="Arial" w:hAnsi="Arial"/>
                <w:sz w:val="18"/>
                <w:szCs w:val="18"/>
                <w:color w:val="auto"/>
                <w:w w:val="95"/>
              </w:rPr>
              <w:t>(15%)</w:t>
            </w:r>
          </w:p>
        </w:tc>
        <w:tc>
          <w:tcPr>
            <w:tcW w:w="0" w:type="dxa"/>
            <w:vAlign w:val="bottom"/>
          </w:tcPr>
          <w:p>
            <w:pPr>
              <w:spacing w:after="0"/>
              <w:rPr>
                <w:sz w:val="1"/>
                <w:szCs w:val="1"/>
                <w:color w:val="auto"/>
              </w:rPr>
            </w:pPr>
          </w:p>
        </w:tc>
      </w:tr>
      <w:tr>
        <w:trPr>
          <w:trHeight w:val="203"/>
        </w:trPr>
        <w:tc>
          <w:tcPr>
            <w:tcW w:w="314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w w:val="97"/>
              </w:rPr>
              <w:t>Average price per billable test delivered</w:t>
            </w:r>
            <w:r>
              <w:rPr>
                <w:rFonts w:ascii="Arial" w:cs="Arial" w:eastAsia="Arial" w:hAnsi="Arial"/>
                <w:sz w:val="23"/>
                <w:szCs w:val="23"/>
                <w:color w:val="auto"/>
                <w:w w:val="97"/>
                <w:vertAlign w:val="superscript"/>
              </w:rPr>
              <w:t>(2)</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94</w:t>
            </w:r>
          </w:p>
        </w:tc>
        <w:tc>
          <w:tcPr>
            <w:tcW w:w="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99</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c>
          <w:tcPr>
            <w:tcW w:w="84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(5%)</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98</w:t>
            </w:r>
          </w:p>
        </w:tc>
        <w:tc>
          <w:tcPr>
            <w:tcW w:w="4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96</w:t>
            </w:r>
          </w:p>
        </w:tc>
        <w:tc>
          <w:tcPr>
            <w:tcW w:w="2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720" w:type="dxa"/>
            <w:vAlign w:val="bottom"/>
            <w:gridSpan w:val="2"/>
            <w:shd w:val="clear" w:color="auto" w:fill="CFF0FC"/>
          </w:tcPr>
          <w:p>
            <w:pPr>
              <w:jc w:val="center"/>
              <w:ind w:left="71"/>
              <w:spacing w:after="0" w:line="202" w:lineRule="exact"/>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312"/>
        </w:trPr>
        <w:tc>
          <w:tcPr>
            <w:tcW w:w="3140" w:type="dxa"/>
            <w:vAlign w:val="bottom"/>
          </w:tcPr>
          <w:p>
            <w:pPr>
              <w:ind w:left="20"/>
              <w:spacing w:after="0"/>
              <w:rPr>
                <w:sz w:val="20"/>
                <w:szCs w:val="20"/>
                <w:color w:val="auto"/>
              </w:rPr>
            </w:pPr>
            <w:r>
              <w:rPr>
                <w:rFonts w:ascii="Arial" w:cs="Arial" w:eastAsia="Arial" w:hAnsi="Arial"/>
                <w:sz w:val="18"/>
                <w:szCs w:val="18"/>
                <w:color w:val="auto"/>
              </w:rPr>
              <w:t>Cost per billable test delivered</w:t>
            </w:r>
            <w:r>
              <w:rPr>
                <w:rFonts w:ascii="Arial" w:cs="Arial" w:eastAsia="Arial" w:hAnsi="Arial"/>
                <w:sz w:val="24"/>
                <w:szCs w:val="24"/>
                <w:color w:val="auto"/>
                <w:vertAlign w:val="superscript"/>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45</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8"/>
              </w:rPr>
              <w:t>96%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720" w:type="dxa"/>
            <w:vAlign w:val="bottom"/>
            <w:gridSpan w:val="2"/>
          </w:tcPr>
          <w:p>
            <w:pPr>
              <w:jc w:val="center"/>
              <w:ind w:left="51"/>
              <w:spacing w:after="0"/>
              <w:rPr>
                <w:sz w:val="20"/>
                <w:szCs w:val="20"/>
                <w:color w:val="auto"/>
              </w:rPr>
            </w:pPr>
            <w:r>
              <w:rPr>
                <w:rFonts w:ascii="Arial" w:cs="Arial" w:eastAsia="Arial" w:hAnsi="Arial"/>
                <w:sz w:val="18"/>
                <w:szCs w:val="18"/>
                <w:color w:val="auto"/>
                <w:w w:val="94"/>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-3281045</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-3281045</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-3281045</wp:posOffset>
            </wp:positionV>
            <wp:extent cx="60325"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-2500630</wp:posOffset>
            </wp:positionV>
            <wp:extent cx="685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-2500630</wp:posOffset>
            </wp:positionV>
            <wp:extent cx="685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-2500630</wp:posOffset>
            </wp:positionV>
            <wp:extent cx="685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-2500630</wp:posOffset>
            </wp:positionV>
            <wp:extent cx="5969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-2500630</wp:posOffset>
            </wp:positionV>
            <wp:extent cx="6032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-2500630</wp:posOffset>
            </wp:positionV>
            <wp:extent cx="6032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-737870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-720725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-737870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-720725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-737870</wp:posOffset>
            </wp:positionV>
            <wp:extent cx="603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-720725</wp:posOffset>
            </wp:positionV>
            <wp:extent cx="603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Percentage not meaningful.</w:t>
      </w:r>
    </w:p>
    <w:p>
      <w:pPr>
        <w:spacing w:after="0" w:line="88" w:lineRule="exact"/>
        <w:rPr>
          <w:sz w:val="20"/>
          <w:szCs w:val="20"/>
          <w:color w:val="auto"/>
        </w:rPr>
      </w:pPr>
    </w:p>
    <w:p>
      <w:pPr>
        <w:ind w:left="380" w:right="20" w:hanging="372"/>
        <w:spacing w:after="0" w:line="261" w:lineRule="auto"/>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determine the number of billable tests delivered in a period by counting the number of tests which are delivered to our customers and for which we bill our customers and recognize some amount of revenue in the period.</w:t>
      </w:r>
    </w:p>
    <w:p>
      <w:pPr>
        <w:spacing w:after="0" w:line="62" w:lineRule="exact"/>
        <w:rPr>
          <w:rFonts w:ascii="Arial" w:cs="Arial" w:eastAsia="Arial" w:hAnsi="Arial"/>
          <w:sz w:val="18"/>
          <w:szCs w:val="18"/>
          <w:color w:val="auto"/>
        </w:rPr>
      </w:pPr>
    </w:p>
    <w:p>
      <w:pPr>
        <w:ind w:left="380" w:right="60" w:hanging="372"/>
        <w:spacing w:after="0" w:line="261" w:lineRule="auto"/>
        <w:tabs>
          <w:tab w:leader="none" w:pos="366"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calculate the average price per billable test delivered by dividing the amount of revenue we recognized from the billable tests delivered in a period by the number of billable tests delivered in the same period.</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calculate cost per billable test delivered by dividing our cost of revenue in a period by the number of billable tests delivered in the same period.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Revenue decreased $28.3 million, or 18%, from $153.6 million in the three months ended June 30, 2021 to $125.3 million in the three months ended June 30, 2022, and decreased $67.4 million, or 13%, from $513.0 million in the six months ended June 30, 2021 to $445.6 million in the six months ended June 30, 2022. The decreases in revenue between periods were primarily due to decreases in the number of billable tests delivered, primarily related to decreased orders for our COVID-19 tests.</w:t>
      </w:r>
    </w:p>
    <w:p>
      <w:pPr>
        <w:spacing w:after="0" w:line="188"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auto"/>
        </w:rPr>
        <w:t>The average price of the billable tests we delivered decreased from $99 in the three months ended June 30, 2021 to $94 in the three months ended June 30, 2022, and increased from $96 in the six months ended June 30, 2021 to $98 in the six months ended June 30, 2022. The change in average price between periods was due to the mix of tests delivered and the mix of customers ordering tests in these periods, who may order tests at different rates depending on the arrangements we have negotiated with them.</w:t>
      </w:r>
    </w:p>
    <w:p>
      <w:pPr>
        <w:spacing w:after="0" w:line="18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Revenue from non-U.S. sources decreased $509,000, or 14%, from $3.8 million in the three months ended June 30, 2021 to $3.2 million in the three months ended June 30, 2022, and increased $677,000, or 12%, from $5.6 million in six months ended June 30, 2021 to $6.3 million in the six months ended June 30, 2022. The changes in revenue from non-U.S. sources between periods were due to timing of sales of core genetic testing services to customers in China and other non-US countries.</w:t>
      </w:r>
    </w:p>
    <w:p>
      <w:pPr>
        <w:spacing w:after="0" w:line="188"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The number of billable tests we delivered decreased 224,000, from 1.6 million in the three months ended June 30, 2021 to 1.3 million in the three months ended June 30, 2022, and decreased 774,000, from 5.3 million in the six months ended June 30, 2021 to 4.6 million in the six months ended June 30, 2022. The decrease was primarily attributable to the decrease of COVID-19 tests.</w:t>
      </w:r>
    </w:p>
    <w:p>
      <w:pPr>
        <w:spacing w:after="0" w:line="182"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After aggregating customers that are under common control or affiliation, two customers contributed 15% and 12% of the Company’s revenue in the three months ended June 30, 2022, respectively, and one customer contributed 23% of the Company’s revenue in the six months ended June 30, 2022. Two customers contributed 20% and 16% of the Company’s revenue for the three months ended June 30, 2021, respectively, and two customers contributed 24% and 11% of the Company’s revenue for the six months ended June 30, 2021,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0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Cost of revenue increased $24.2 million, or 68%, from $35.9 million in the three months ended June 30, 2021 to $60.1 million in the three months ended June 30, 2022. The increase was primarily due to increases of $14.1 million in personnel costs including equity-based compensation expense related to increased headcount, $3.9 million in depreciation expenses related to medical lab equipment purchased and additional depreciation expense from the entity recent acquired, $2.5 million related to allocated facility expenses, $1.9 million in consulting and outside labor costs for production, and $1.2 million in shipping and handling expense from the entity recently acquired, and partially offset by a decrease of $1.4 million in software expense related to usage of COVID-19 testing software.</w:t>
      </w:r>
    </w:p>
    <w:p>
      <w:pPr>
        <w:spacing w:after="0" w:line="18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Cost of revenue increased $27.9 million, or 25%, from $109.9 million in the six months ended June 30, 2021 to $137.8 million in the six months ended June 30, 2022. The increase was primarily due to increases of $18.3 million in personnel costs including equity-based compensation expense related to increased headcount, $9.0 million in consulting and outside labor costs for production, $5.6 million in depreciation expenses related to medical lab equipment purchased and additional depreciation expense from the entity recently acquired, and $2.4 million related to allocated facility expenses, and partially offset by decreases of $6.0 million in reagent and supply expenses related to decreased billable tests delivered, and $3.1 million in software expense related to usage of COVID-19 testing software.</w:t>
      </w:r>
    </w:p>
    <w:p>
      <w:pPr>
        <w:spacing w:after="0" w:line="189"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Cost per billable test delivered increased $22, or 96%, from $23 in the three months ended June 30, 2021 to $45 in the three months ended June 30, 2022, and increased $9, or 43%, from $21 in the six months ended June 30, 2021 to $30 in the six months ended June 30, 2022. The increase in cost per billable tests was primarily due to the mix of tests we delivered in 2022 and different cost structure of the recently acquired entity.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right="40" w:firstLine="509"/>
        <w:spacing w:after="0" w:line="241" w:lineRule="auto"/>
        <w:rPr>
          <w:sz w:val="20"/>
          <w:szCs w:val="20"/>
          <w:color w:val="auto"/>
        </w:rPr>
      </w:pPr>
      <w:r>
        <w:rPr>
          <w:rFonts w:ascii="Arial" w:cs="Arial" w:eastAsia="Arial" w:hAnsi="Arial"/>
          <w:sz w:val="18"/>
          <w:szCs w:val="18"/>
          <w:color w:val="auto"/>
        </w:rPr>
        <w:t>Our gross profit decreased $52.5 million, from $117.8 million in the three months ended June 30, 2021 to $65.3 million in the three months ended June 30, 2022, and decreased $95.3 million, from $403.1 million in the six months ended June 30, 2021 to $307.8 million in the six months ended June 30, 2022. Our gross profit as a percentage of revenue, or gross margin, decreased from 76.7% to 52.1% between three months ended June 30, 2021 and 2022, and decreased from 78.6% to 69.1% between six months ended June 30, 2021 and 2022, due to the decrease in revenue and increases in our cost per billable test and cost of revenue for reasons described above.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08"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Research and development expenses increased $1.6 million, or 30%, from $5.3 million in the three months ended June 30, 2021 to $6.9 million in the three months ended June 30, 2022. The increase was primarily due to increases of $1.7 million in personnel costs including equity-based compensation expense related to increased headcount, and $386,000 in reagent and supply expenses related to increased reagent usage for research, partially offset by a decrease of $750,000 in donations to COVID-19 research fund and colorectal cancer research made in the prior year but not in the current year.</w:t>
      </w:r>
    </w:p>
    <w:p>
      <w:pPr>
        <w:spacing w:after="0" w:line="155" w:lineRule="exact"/>
        <w:rPr>
          <w:sz w:val="20"/>
          <w:szCs w:val="20"/>
          <w:color w:val="auto"/>
        </w:rPr>
      </w:pPr>
    </w:p>
    <w:p>
      <w:pPr>
        <w:jc w:val="both"/>
        <w:ind w:right="100" w:firstLine="509"/>
        <w:spacing w:after="0" w:line="243" w:lineRule="auto"/>
        <w:rPr>
          <w:sz w:val="20"/>
          <w:szCs w:val="20"/>
          <w:color w:val="auto"/>
        </w:rPr>
      </w:pPr>
      <w:r>
        <w:rPr>
          <w:rFonts w:ascii="Arial" w:cs="Arial" w:eastAsia="Arial" w:hAnsi="Arial"/>
          <w:sz w:val="18"/>
          <w:szCs w:val="18"/>
          <w:color w:val="auto"/>
        </w:rPr>
        <w:t>Research and development expenses increased $2.2 million, or 20%, from $10.7 million in the six months ended June 30, 2021 to $12.9 million in the six months ended June 30, 2022. The increase was primarily due to increases of $3.0 million in personnel costs including equity-based compensation expense related to increased headcount, partially offset by a decrease of $750,000 in donations to COVID-19 research fund and colorectal cancer research made in the prior year but not in the current year.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Selling and marketing expenses increased $5.6 million, or 108% from $5.2 million in the three months ended June 30, 2021 to $10.9 million in the three months ended June 30, 2022. The increase was primarily due to increases of $3.5 million in personnel costs including equity-based compensation expense related to increased headcount, $1.1 million in software expense from the entity recently acquired, and $356,000 related to allocated facility expenses.</w:t>
      </w:r>
    </w:p>
    <w:p>
      <w:pPr>
        <w:spacing w:after="0" w:line="188"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Selling and marketing expenses increased $8.6 million, or 84% from $10.2 million in the six months ended June 30, 2021 to $18.8 million in the six months ended June 30, 2022. The increase was primarily due to increases of $5.4 million in personnel costs including equity-based compensation expense related to increased headcount, $1.1 million in software expense from the entity recently acquired, $1.0 million in consulting and outside labor related to marketing projects in the current period, $463,000 in travel expenses, and $385,000 related to allocated facility expenses.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0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General and administrative expenses increased $21.9 million, or 263% from $8.3 million in the three months ended June 30, 2021 to $30.2 million in the three months ended June 30, 2022. The increase was primarily due to increases of $6.4 million in personnel costs including equity-based compensation expense related to increased headcount, $5.2 million in acquisition related costs, $5.0 million in additional provision for credit losses, $1.0 million in consulting and outside labor costs, $929,000 related to allocated facility expenses, $882,000 in business insurance expenses, and $748,000 in software expenses due to increases in software and licensing related to COVID-19 tests.</w:t>
      </w:r>
    </w:p>
    <w:p>
      <w:pPr>
        <w:spacing w:after="0" w:line="17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General and administrative expenses increased $39.7 million, or 243% from $16.3 million in the six months ended June 30, 2021 to $56.0 million in the six months ended June 30, 2022. The increase was primarily due to $15.5 million in additional provision for credit losses, $9.3 million in personnel costs including equity-based compensation expense related to increased headcount, $6.4 million in acquisition related costs, $1.8 million in legal and professional fees primarily related to general corporate matters, $1.4 million in consulting and outside labor costs, $1.3 million in business insurance expenses, $976,000 related to allocated facility expenses, and $958,000 in accounting fees related to financial statement and internal control audits.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of intangible assets represents amortization expenses on the intangible assets arising from the business combinations and a purchased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patent.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w:t>
      </w:r>
    </w:p>
    <w:p>
      <w:pPr>
        <w:spacing w:after="0" w:line="108" w:lineRule="exact"/>
        <w:rPr>
          <w:sz w:val="20"/>
          <w:szCs w:val="20"/>
          <w:color w:val="auto"/>
        </w:rPr>
      </w:pPr>
    </w:p>
    <w:p>
      <w:pPr>
        <w:ind w:right="120" w:firstLine="554"/>
        <w:spacing w:after="0" w:line="261" w:lineRule="auto"/>
        <w:rPr>
          <w:sz w:val="20"/>
          <w:szCs w:val="20"/>
          <w:color w:val="auto"/>
        </w:rPr>
      </w:pPr>
      <w:r>
        <w:rPr>
          <w:rFonts w:ascii="Arial" w:cs="Arial" w:eastAsia="Arial" w:hAnsi="Arial"/>
          <w:sz w:val="18"/>
          <w:szCs w:val="18"/>
          <w:color w:val="auto"/>
        </w:rPr>
        <w:t>Restructuring expenses represent one-time employee termination benefits provided to employees associated with an entity newly acquired that are involuntarily terminated.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08"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Net interest income was $874,000 and $566,000 in the three months ended June 30, 2022 and 2021, respectively, and $824,000 and $796,000 in the six months ended June 30, 2022 and 2021, respectively. This interest income related to interest earned on various investments in marketable securities including realized and holding gain (loss) on marketable equity securities, net of interest expenses incurred for our notes payable and margin loan.</w:t>
      </w:r>
    </w:p>
    <w:p>
      <w:pPr>
        <w:spacing w:after="0" w:line="147"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Other income (expense) was not significant in the three or six months ended June 30, 2022 and 2021, respectively. The primary components of other income (expense) were rental income net of rental expenses and foreign currency exchange gain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08"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Provision for income taxes were $2.7 million and $51.1 million for the three and six months ended June 30, 2022, respectively, and $23.6 million and $90.1 million for the three and six months ended June 30, 2021, respectively. The effective tax rate was 19% and 24% for the three months ended June 30, 2022 and 2021, respectively. The effective tax rate was 24% and 25% for the six months ended June 30, 2022 and 2021, respectively. The decrease in the effective tax rate for the three months and six months ended June 30, 2022, relative to 2021, was primarily attributable to international restructuring.</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loss attributable to noncontrolling interest represents net loss attributable to the minority shareholders from entities not wholly owned.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Sources of Cash</w:t>
      </w:r>
    </w:p>
    <w:p>
      <w:pPr>
        <w:spacing w:after="0" w:line="216"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had $931.0 million and $935.5 million in cash, cash equivalents and marketable securities as of June 30, 2022 and December 31, 2021, respectively. Our marketable securities primarily consist of corporate bonds, municipal bonds, and U.S. government, U.S. agency debt securities, and U.S. treasury bills as of June 30, 2022 and December 31, 2021.</w:t>
      </w:r>
    </w:p>
    <w:p>
      <w:pPr>
        <w:spacing w:after="0" w:line="182"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Our primary uses of cash are to fund our operations as we continue to invest in and seek to grow our business. Cash used to fund operating expenses is impacted by the timing of our expense payments, as reflected in the changes in our outstanding accounts payable and accrued expenses.</w:t>
      </w:r>
    </w:p>
    <w:p>
      <w:pPr>
        <w:spacing w:after="0" w:line="124"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We believe our existing cash, cash equivalent, short-term marketable securities, along with cash from operations, will be sufficient to meet our anticipated cash requirements for at least the next 12 months. Cash provided by operations has significantly contributed to our ability to meet our liquidity needs, including paying for capital expenditures, and we anticipate that cash from our operations will continue to play a meaningful role in our ability to meet our liquidity requirements and pursue our business plans and strategies during the next 12 months and in the longer term.</w:t>
      </w:r>
    </w:p>
    <w:p>
      <w:pPr>
        <w:spacing w:after="0" w:line="17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However, our expectations regarding the cash that may be provided by our operations and our cash needs in future periods could turn out to be wrong. For instance, cash provided by our operations has in the past experienced fluctuations from period to period, which we expect may continue in the future. These fluctuations can occur because of a variety of factors, including, among others, factors relating to the ongoing COVID-19 pandemic, including demand for our COVID-19 tests, the amount and timing of sales of billable tests, the prices we charge for our tests due to changes in product mix, customer mix, general price degradation for tests, funding of government programs from which we receive government funding,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ind w:right="40" w:firstLine="509"/>
        <w:spacing w:after="0" w:line="269"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7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8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6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199,537</w:t>
            </w: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309,290</w:t>
            </w:r>
          </w:p>
        </w:tc>
        <w:tc>
          <w:tcPr>
            <w:tcW w:w="100" w:type="dxa"/>
            <w:vAlign w:val="bottom"/>
            <w:shd w:val="clear" w:color="auto" w:fill="CFF0FC"/>
          </w:tcPr>
          <w:p>
            <w:pPr>
              <w:spacing w:after="0"/>
              <w:rPr>
                <w:sz w:val="17"/>
                <w:szCs w:val="17"/>
                <w:color w:val="auto"/>
              </w:rPr>
            </w:pPr>
          </w:p>
        </w:tc>
      </w:tr>
      <w:tr>
        <w:trPr>
          <w:trHeight w:val="203"/>
        </w:trPr>
        <w:tc>
          <w:tcPr>
            <w:tcW w:w="676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(213,004 )</w:t>
            </w:r>
          </w:p>
        </w:tc>
        <w:tc>
          <w:tcPr>
            <w:tcW w:w="820" w:type="dxa"/>
            <w:vAlign w:val="bottom"/>
          </w:tcPr>
          <w:p>
            <w:pPr>
              <w:jc w:val="right"/>
              <w:ind w:right="6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(371,496 )</w:t>
            </w:r>
          </w:p>
        </w:tc>
      </w:tr>
      <w:tr>
        <w:trPr>
          <w:trHeight w:val="203"/>
        </w:trPr>
        <w:tc>
          <w:tcPr>
            <w:tcW w:w="67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(used in) provided by financing activities</w:t>
            </w:r>
          </w:p>
        </w:tc>
        <w:tc>
          <w:tcPr>
            <w:tcW w:w="4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(12,086 )</w:t>
            </w:r>
          </w:p>
        </w:tc>
        <w:tc>
          <w:tcPr>
            <w:tcW w:w="820" w:type="dxa"/>
            <w:vAlign w:val="bottom"/>
            <w:shd w:val="clear" w:color="auto" w:fill="CFF0FC"/>
          </w:tcPr>
          <w:p>
            <w:pPr>
              <w:jc w:val="right"/>
              <w:ind w:right="6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75,240</w:t>
            </w:r>
          </w:p>
        </w:tc>
        <w:tc>
          <w:tcPr>
            <w:tcW w:w="100" w:type="dxa"/>
            <w:vAlign w:val="bottom"/>
            <w:shd w:val="clear" w:color="auto" w:fill="CFF0FC"/>
          </w:tcPr>
          <w:p>
            <w:pPr>
              <w:spacing w:after="0"/>
              <w:rPr>
                <w:sz w:val="17"/>
                <w:szCs w:val="17"/>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100" w:firstLine="509"/>
        <w:spacing w:after="0" w:line="254" w:lineRule="auto"/>
        <w:rPr>
          <w:sz w:val="20"/>
          <w:szCs w:val="20"/>
          <w:color w:val="auto"/>
        </w:rPr>
      </w:pPr>
      <w:r>
        <w:rPr>
          <w:rFonts w:ascii="Arial" w:cs="Arial" w:eastAsia="Arial" w:hAnsi="Arial"/>
          <w:sz w:val="17"/>
          <w:szCs w:val="17"/>
          <w:color w:val="auto"/>
        </w:rPr>
        <w:t>Cash provided by operating activities in the six months ended June 30, 2022 was $199.5 million. The difference between net income and cash provided by operating activities for the period was primarily due to the effects of $18.7 million in provision for credit losses, $13.6 million in equity-based compensation expenses, $13.0 million in the depreciation and amortization, $3.2 million in amortization of premium of marketable securities, $1.7 million in noncash lease expense, $1.0 million in unrecognized tax benefits, and partially offset by a negative impact of $7.6 million increased deferred tax assets. Cash provided by operating activities decreased between periods primarily due to decreases of $10.3 million in accounts payable related to timing of payments, $1.7 million in operating and finance lease liabilities, and an increase of $1.9 million in other current and long-term assets primary related to increased prepaid insurance premium, and partially offset by an increase of $2.0 million in income tax payable due to the timing of the payment and a decrease of $1.8 million in trade accounts receivable due to timing of collections.</w:t>
      </w:r>
    </w:p>
    <w:p>
      <w:pPr>
        <w:spacing w:after="0" w:line="181"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Cash provided by operating activities in the six months ended June 30, 2021 was $309.3 million. The difference between net income and cash provided by operating activities for the period was primarily due to the effects of $6.5 million in equity-based compensation expenses and $4.3 million in the depreciation and amortization. Cash provided by operating activities increased between periods primarily due to an increase of $44.7 million in customer deposit due to payments received from customers in excess of their outstanding trade accounts receivable balances, and a decrease of $32.5 million in trade receivable due to timing of payments, and partially offset by the negative impact of decreases of $26.9 million in income tax payable due to the estimated tax payments made during the current period, $19.7 million in contract liabilities due to timing of payments, $10.3 million in accounts payable due to the timing of payments, and an increase of $6.0 million in other current and long-term assets related to additions in reagents and supplies.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used in investing activities in the six months ended June 30, 2022 was $213.0 million, which primarily related to $245.5 million on purchase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 marketable securities and $137.8 million payment related to acquisition of Inform Diagnostics, $15.0 million investment in private equity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$10.0 million contingent consideration payment made in current period related to a business combination in 2021, purchase of $8.6 million of fixed assets,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and partially offset by proceeds of $133.4 million from sale of marketable securities and $70.4 million related to maturities of marketable securities.</w:t>
      </w:r>
    </w:p>
    <w:p>
      <w:pPr>
        <w:spacing w:after="0" w:line="207"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Cash used in investing activities in the six months ended June 30, 2021 was $371.5 million, which primarily related to purchases of $424.8 million of marketable securities, $18.5 million related to a business acquisition, and purchase of $14.4 million of fixed assets consisting mainly of medical laboratory equipment and building construction, partially offset by $51.7 million related to sales of marketable securities and proceeds of $34.5 million related to maturities of marketable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Cash used in financing activities in the six months ended June 30, 2022 was $12.1 million, which primarily related to $10.6 million repurchase of common stock and $930,000 related to common stock withholding for employee tax obligations.</w:t>
      </w:r>
    </w:p>
    <w:p>
      <w:pPr>
        <w:spacing w:after="0" w:line="171"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Cash provided by financing activities in the six months ended June 30, 2021 was $75.2 million, which primarily represents net proceeds from an equity distribution agreement we entered in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0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In March 2022, our Board authorized a $250.0 million stock repurchase program. The stock repurchase program has no expiration from the date of authorization. Under the stock repurchase program, the Company may repurchase shares from time to time in the open market or in privately negotiated transactions.</w:t>
      </w:r>
    </w:p>
    <w:p>
      <w:pPr>
        <w:spacing w:after="0" w:line="182"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During the three months ended June 30, 2022, we repurchased approximately $10.6 million of our common stock under our stock repurchase programs. As of June 30, 2022, a total of approximately $239.4 million remained available for future repurchases of our common stock under our stock repurchase programs.</w:t>
      </w:r>
    </w:p>
    <w:p>
      <w:pPr>
        <w:spacing w:after="0" w:line="286"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08"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There have been no material changes to our critical accounting policies or estimates from the information provided in Item 7, “Management’s Discussion and Analysis of Financial Condition and Results of Operations”, included in the 2021 Annual Report.</w:t>
      </w:r>
    </w:p>
    <w:p>
      <w:pPr>
        <w:spacing w:after="0" w:line="275"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See Note 2, Summary of Significant Accounting Policies, to our condensed consolidated financial statements included in this report for information about recent accounting pronouncements.</w:t>
      </w:r>
    </w:p>
    <w:p>
      <w:pPr>
        <w:spacing w:after="0" w:line="275"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did not have during the periods presented, and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required.</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June 30, 2022. Based on this evaluation, our Chief Executive Officer and Chief Financial Officer concluded that our disclosure controls and procedures were effective as of June 30, 2022.</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There have not been any changes in our internal control (as required by Rule 13a-15(b) under the Exchange Act) over the financial reporting during the three months ended June 30, 2022 that have materially affected or are reasonably likely to materially affect our internal control over financial reporting.</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2" w:name="page33"/>
    <w:bookmarkEnd w:id="32"/>
    <w:p>
      <w:pPr>
        <w:jc w:val="center"/>
        <w:ind w:right="-139"/>
        <w:spacing w:after="0"/>
        <w:rPr>
          <w:sz w:val="20"/>
          <w:szCs w:val="20"/>
          <w:color w:val="auto"/>
        </w:rPr>
      </w:pPr>
      <w:r>
        <w:rPr>
          <w:rFonts w:ascii="Arial" w:cs="Arial" w:eastAsia="Arial" w:hAnsi="Arial"/>
          <w:sz w:val="18"/>
          <w:szCs w:val="18"/>
          <w:b w:val="1"/>
          <w:bCs w:val="1"/>
          <w:color w:val="auto"/>
        </w:rPr>
        <w:t>Inherent Limitations on Disclosure Controls and Procedures and Internal Control over Financial Reporting</w:t>
      </w:r>
    </w:p>
    <w:p>
      <w:pPr>
        <w:spacing w:after="0" w:line="10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8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and our properties are not presently subject, to any legal proceedings that, in the opinion of management, would have a material effect on our business. Regardless of outcome, litigation can have an adverse impact on us due to defense and settlement costs, diversion of management resources, negative publicity and reputational harm, among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Except as set forth below, there have been no material changes to the risk factors set forth in Part I, Item 1A of the 2021 Annual Report.</w:t>
      </w:r>
    </w:p>
    <w:p>
      <w:pPr>
        <w:spacing w:after="0" w:line="327" w:lineRule="exact"/>
        <w:rPr>
          <w:sz w:val="20"/>
          <w:szCs w:val="20"/>
          <w:color w:val="auto"/>
        </w:rPr>
      </w:pPr>
    </w:p>
    <w:p>
      <w:pPr>
        <w:ind w:right="960"/>
        <w:spacing w:after="0" w:line="266" w:lineRule="auto"/>
        <w:rPr>
          <w:sz w:val="20"/>
          <w:szCs w:val="20"/>
          <w:color w:val="auto"/>
        </w:rPr>
      </w:pPr>
      <w:r>
        <w:rPr>
          <w:rFonts w:ascii="Arial" w:cs="Arial" w:eastAsia="Arial" w:hAnsi="Arial"/>
          <w:sz w:val="18"/>
          <w:szCs w:val="18"/>
          <w:b w:val="1"/>
          <w:bCs w:val="1"/>
          <w:color w:val="auto"/>
        </w:rPr>
        <w:t>We may be required to modify our business practices, pay fines, incur significant expenses or experience losses due to litigation and/or governmental investigations.</w:t>
      </w:r>
    </w:p>
    <w:p>
      <w:pPr>
        <w:spacing w:after="0" w:line="58"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From time to time and in the ordinary course of our business, we may be subject to litigation or governmental investigation on a variety of matters in the United States or foreign jurisdictions, including, without limitation, regulatory, intellectual property, product liability, antitrust, consumer, false claims, whistleblower, Qui Tam,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 or CIDs, and other types of information requests from government authorities. We have received a CID issued by the U.S. Department of Justice pursuant to the False Claims Act related to its investigation of allegations of medically unnecessary laboratory testing, improper billing for laboratory testing, and remuneration received or provided in violation of the Anti-Kickback Statute and the Stark Law. This CID requests information and records relating to certain of our customers named in the CID which represent a small portion of our revenues. On June 29, 2022, we became aware that the SEC is conducting a non-public investigation when we received a subpoena requesting information regarding certain of our Exchange Act reports for 2018 through the first quarter of 2020. We are fully cooperating with both the SEC and the U.S. Department of Justice to promptly respond to the requests for information in the CID and the SEC subpoena, and do not presently expect this CID, the SEC subpoena or any resulting or related investigations to have a material adverse impact on our business. However, we cannot predict when the investigations will be resolved, the outcome of the investigations or its potential impact on our business which may ultimately be greater than we expect. In addition, responding to this CID and SEC subpoena, and any litigation or government investigation generally, diverts the attention of our management team and diverts resources from our core business. As such, the time and attention of our management team in responding to these matters may limit their time available to devote to our business, and we may also incur significant expenses or experience losses in relation to these matters. As a result of these matters, we may also be required to alter the conduct of our operations or be subject to other penalties. Any of these circumstances may adversely affect our business, prospects, reputation and results of operations.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16"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To date, we have used $43.9 million of the net proceeds from sales of our common stock, of which, $4.5 million was used for contributions to FF Gene Biotech prior to the FF Gene Biotech acquisition and $39.4 million was used to fund the Company’s operations. All other net proceeds from sales of our common stock are invested in investment-grade and interest-bearing securities, such as corporate bonds, municipal bonds, and U.S. government and U.S. agency debt securities. There has been no material change in the planned use of proceeds from the sales of our common stock from that described in the Prospectus.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on Share Repurchases</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number of shares of common stock repurchased by the Company during the second quarter of 2022 and the average price paid per share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(c) Total Number of</w:t>
            </w:r>
          </w:p>
        </w:tc>
        <w:tc>
          <w:tcPr>
            <w:tcW w:w="26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(d) Maximum Dollar</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9"/>
              </w:rPr>
              <w:t>(a) Total Number of</w:t>
            </w:r>
          </w:p>
        </w:tc>
        <w:tc>
          <w:tcPr>
            <w:tcW w:w="28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(b) Average Price Paid</w:t>
            </w:r>
          </w:p>
        </w:tc>
        <w:tc>
          <w:tcPr>
            <w:tcW w:w="24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 As</w:t>
            </w:r>
          </w:p>
        </w:tc>
        <w:tc>
          <w:tcPr>
            <w:tcW w:w="26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Value that May Yet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580" w:type="dxa"/>
            <w:vAlign w:val="bottom"/>
            <w:vMerge w:val="restart"/>
          </w:tcPr>
          <w:p>
            <w:pPr>
              <w:ind w:left="2080"/>
              <w:spacing w:after="0" w:line="149" w:lineRule="exact"/>
              <w:rPr>
                <w:sz w:val="20"/>
                <w:szCs w:val="20"/>
                <w:color w:val="auto"/>
              </w:rPr>
            </w:pPr>
            <w:r>
              <w:rPr>
                <w:rFonts w:ascii="Arial" w:cs="Arial" w:eastAsia="Arial" w:hAnsi="Arial"/>
                <w:sz w:val="14"/>
                <w:szCs w:val="14"/>
                <w:b w:val="1"/>
                <w:bCs w:val="1"/>
                <w:color w:val="auto"/>
              </w:rPr>
              <w:t>Period</w:t>
            </w:r>
          </w:p>
        </w:tc>
        <w:tc>
          <w:tcPr>
            <w:tcW w:w="16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5"/>
                <w:szCs w:val="5"/>
                <w:color w:val="auto"/>
              </w:rPr>
            </w:pPr>
          </w:p>
        </w:tc>
        <w:tc>
          <w:tcPr>
            <w:tcW w:w="13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9"/>
              </w:rPr>
              <w:t>Shares Purchased</w:t>
            </w: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Per Share (1)</w:t>
            </w:r>
          </w:p>
        </w:tc>
        <w:tc>
          <w:tcPr>
            <w:tcW w:w="2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vMerge w:val="restart"/>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4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May 2022 (5/1/2022 - 5/31/2022)</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49.56</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4"/>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248,515,000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June 2022 (6/1/2022 - 6/30/2022)</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185,000</w:t>
            </w:r>
          </w:p>
        </w:tc>
        <w:tc>
          <w:tcPr>
            <w:tcW w:w="4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48.97</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185,000</w:t>
            </w:r>
          </w:p>
        </w:tc>
        <w:tc>
          <w:tcPr>
            <w:tcW w:w="460" w:type="dxa"/>
            <w:vAlign w:val="bottom"/>
            <w:gridSpan w:val="2"/>
          </w:tcPr>
          <w:p>
            <w:pPr>
              <w:jc w:val="right"/>
              <w:ind w:right="24"/>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239,429,000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215,000</w:t>
            </w:r>
          </w:p>
        </w:tc>
        <w:tc>
          <w:tcPr>
            <w:tcW w:w="480" w:type="dxa"/>
            <w:vAlign w:val="bottom"/>
            <w:tcBorders>
              <w:bottom w:val="single" w:sz="8" w:color="CFF0FC"/>
            </w:tcBorders>
            <w:gridSpan w:val="2"/>
            <w:shd w:val="clear" w:color="auto" w:fill="CFF0FC"/>
          </w:tcPr>
          <w:p>
            <w:pPr>
              <w:ind w:left="280"/>
              <w:spacing w:after="0" w:line="18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49.05</w:t>
            </w:r>
          </w:p>
        </w:tc>
        <w:tc>
          <w:tcPr>
            <w:tcW w:w="2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215,000</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-24765</wp:posOffset>
            </wp:positionV>
            <wp:extent cx="7747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774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 Includes commissions for the shares repurchased under the stock repurchase program.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On August 1, 2022, the board of directors of the Company appointed Dr. Michael Nohaile and Dr. Leonard E. Post to serve as members of the board of directors. Following the appointments of Dr. Nohaile and Dr. Post to the board of directors, the Company reconstituted its committees as set indicated in the chart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Director</w:t>
            </w:r>
          </w:p>
        </w:tc>
        <w:tc>
          <w:tcPr>
            <w:tcW w:w="28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Audit</w:t>
            </w:r>
          </w:p>
        </w:tc>
        <w:tc>
          <w:tcPr>
            <w:tcW w:w="28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26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Nominating &amp; Governance</w:t>
            </w:r>
          </w:p>
        </w:tc>
      </w:tr>
      <w:tr>
        <w:trPr>
          <w:trHeight w:val="196"/>
        </w:trPr>
        <w:tc>
          <w:tcPr>
            <w:tcW w:w="2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John Bolger</w:t>
            </w:r>
          </w:p>
        </w:tc>
        <w:tc>
          <w:tcPr>
            <w:tcW w:w="280" w:type="dxa"/>
            <w:vAlign w:val="bottom"/>
            <w:shd w:val="clear" w:color="auto" w:fill="CFF0FC"/>
          </w:tcPr>
          <w:p>
            <w:pPr>
              <w:spacing w:after="0"/>
              <w:rPr>
                <w:sz w:val="17"/>
                <w:szCs w:val="17"/>
                <w:color w:val="auto"/>
              </w:rPr>
            </w:pPr>
          </w:p>
        </w:tc>
        <w:tc>
          <w:tcPr>
            <w:tcW w:w="26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Chair</w:t>
            </w:r>
          </w:p>
        </w:tc>
        <w:tc>
          <w:tcPr>
            <w:tcW w:w="280" w:type="dxa"/>
            <w:vAlign w:val="bottom"/>
            <w:shd w:val="clear" w:color="auto" w:fill="CFF0FC"/>
          </w:tcPr>
          <w:p>
            <w:pPr>
              <w:spacing w:after="0"/>
              <w:rPr>
                <w:sz w:val="17"/>
                <w:szCs w:val="17"/>
                <w:color w:val="auto"/>
              </w:rPr>
            </w:pPr>
          </w:p>
        </w:tc>
        <w:tc>
          <w:tcPr>
            <w:tcW w:w="26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X</w:t>
            </w:r>
          </w:p>
        </w:tc>
        <w:tc>
          <w:tcPr>
            <w:tcW w:w="260" w:type="dxa"/>
            <w:vAlign w:val="bottom"/>
            <w:shd w:val="clear" w:color="auto" w:fill="CFF0FC"/>
          </w:tcPr>
          <w:p>
            <w:pPr>
              <w:spacing w:after="0"/>
              <w:rPr>
                <w:sz w:val="17"/>
                <w:szCs w:val="17"/>
                <w:color w:val="auto"/>
              </w:rPr>
            </w:pPr>
          </w:p>
        </w:tc>
        <w:tc>
          <w:tcPr>
            <w:tcW w:w="260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X</w:t>
            </w: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color w:val="auto"/>
              </w:rPr>
              <w:t>Linda Marsh</w:t>
            </w:r>
          </w:p>
        </w:tc>
        <w:tc>
          <w:tcPr>
            <w:tcW w:w="280" w:type="dxa"/>
            <w:vAlign w:val="bottom"/>
          </w:tcPr>
          <w:p>
            <w:pPr>
              <w:spacing w:after="0"/>
              <w:rPr>
                <w:sz w:val="17"/>
                <w:szCs w:val="17"/>
                <w:color w:val="auto"/>
              </w:rPr>
            </w:pPr>
          </w:p>
        </w:tc>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280" w:type="dxa"/>
            <w:vAlign w:val="bottom"/>
          </w:tcPr>
          <w:p>
            <w:pPr>
              <w:spacing w:after="0"/>
              <w:rPr>
                <w:sz w:val="17"/>
                <w:szCs w:val="17"/>
                <w:color w:val="auto"/>
              </w:rPr>
            </w:pPr>
          </w:p>
        </w:tc>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92"/>
              </w:rPr>
              <w:t>Chair</w:t>
            </w:r>
          </w:p>
        </w:tc>
        <w:tc>
          <w:tcPr>
            <w:tcW w:w="260" w:type="dxa"/>
            <w:vAlign w:val="bottom"/>
          </w:tcPr>
          <w:p>
            <w:pPr>
              <w:spacing w:after="0"/>
              <w:rPr>
                <w:sz w:val="17"/>
                <w:szCs w:val="17"/>
                <w:color w:val="auto"/>
              </w:rPr>
            </w:pPr>
          </w:p>
        </w:tc>
        <w:tc>
          <w:tcPr>
            <w:tcW w:w="260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Michael Nohaile</w:t>
            </w:r>
          </w:p>
        </w:tc>
        <w:tc>
          <w:tcPr>
            <w:tcW w:w="280" w:type="dxa"/>
            <w:vAlign w:val="bottom"/>
            <w:shd w:val="clear" w:color="auto" w:fill="CFF0FC"/>
          </w:tcPr>
          <w:p>
            <w:pPr>
              <w:spacing w:after="0"/>
              <w:rPr>
                <w:sz w:val="17"/>
                <w:szCs w:val="17"/>
                <w:color w:val="auto"/>
              </w:rPr>
            </w:pPr>
          </w:p>
        </w:tc>
        <w:tc>
          <w:tcPr>
            <w:tcW w:w="26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280" w:type="dxa"/>
            <w:vAlign w:val="bottom"/>
            <w:shd w:val="clear" w:color="auto" w:fill="CFF0FC"/>
          </w:tcPr>
          <w:p>
            <w:pPr>
              <w:spacing w:after="0"/>
              <w:rPr>
                <w:sz w:val="17"/>
                <w:szCs w:val="17"/>
                <w:color w:val="auto"/>
              </w:rPr>
            </w:pPr>
          </w:p>
        </w:tc>
        <w:tc>
          <w:tcPr>
            <w:tcW w:w="26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c>
          <w:tcPr>
            <w:tcW w:w="260" w:type="dxa"/>
            <w:vAlign w:val="bottom"/>
            <w:shd w:val="clear" w:color="auto" w:fill="CFF0FC"/>
          </w:tcPr>
          <w:p>
            <w:pPr>
              <w:spacing w:after="0"/>
              <w:rPr>
                <w:sz w:val="17"/>
                <w:szCs w:val="17"/>
                <w:color w:val="auto"/>
              </w:rPr>
            </w:pPr>
          </w:p>
        </w:tc>
        <w:tc>
          <w:tcPr>
            <w:tcW w:w="260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9"/>
              </w:rPr>
              <w:t>X</w:t>
            </w: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Leonard Post</w:t>
            </w:r>
          </w:p>
        </w:tc>
        <w:tc>
          <w:tcPr>
            <w:tcW w:w="2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0" w:type="dxa"/>
            <w:vAlign w:val="bottom"/>
          </w:tcPr>
          <w:p>
            <w:pPr>
              <w:jc w:val="center"/>
              <w:spacing w:after="0"/>
              <w:rPr>
                <w:sz w:val="20"/>
                <w:szCs w:val="20"/>
                <w:color w:val="auto"/>
              </w:rPr>
            </w:pPr>
            <w:r>
              <w:rPr>
                <w:rFonts w:ascii="Arial" w:cs="Arial" w:eastAsia="Arial" w:hAnsi="Arial"/>
                <w:sz w:val="18"/>
                <w:szCs w:val="18"/>
                <w:color w:val="auto"/>
                <w:w w:val="92"/>
              </w:rPr>
              <w:t>Chair</w:t>
            </w:r>
          </w:p>
        </w:tc>
      </w:tr>
    </w:tbl>
    <w:p>
      <w:pPr>
        <w:spacing w:after="0" w:line="188"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Dr. Nohaile and Dr. Post will receive compensation for their service as members of the Company’s board of directors in accordance with the Company’s Amended and Restated Non-Employee Director Compensation Policy filed as Exhibit 10.39 of the 2021 Annual Report, as may be amended from time to time.</w:t>
      </w:r>
    </w:p>
    <w:p>
      <w:pPr>
        <w:spacing w:after="0" w:line="18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Also, in connection with their appointments to the board of directors, Dr. Nohaile and Dr. Post, each, entered into an indemnification agreement, or the Indemnification Agreement, with the Company. The Indemnification Agreement is substantially the same as the form of indemnification agreement that the Company has entered into with its other directors, a copy of which was filed as Exhibit 10.1 to the Company’s Registration Statement on Form S-1 (File No. 333-213469), filed with the SEC on September 2, 2016. The Indemnification Agreement provides that the Company will indemnify the relevant director for certain expenses, including attorneys’ fees, judgments, fines and settlement amounts incurred by him in any action or proceeding arising out of his service as a director.</w:t>
      </w:r>
    </w:p>
    <w:p>
      <w:pPr>
        <w:spacing w:after="0" w:line="189" w:lineRule="exact"/>
        <w:rPr>
          <w:sz w:val="20"/>
          <w:szCs w:val="20"/>
          <w:color w:val="auto"/>
        </w:rPr>
      </w:pPr>
    </w:p>
    <w:p>
      <w:pPr>
        <w:jc w:val="both"/>
        <w:ind w:right="40" w:firstLine="509"/>
        <w:spacing w:after="0" w:line="262" w:lineRule="auto"/>
        <w:rPr>
          <w:sz w:val="20"/>
          <w:szCs w:val="20"/>
          <w:color w:val="auto"/>
        </w:rPr>
      </w:pPr>
      <w:r>
        <w:rPr>
          <w:rFonts w:ascii="Arial" w:cs="Arial" w:eastAsia="Arial" w:hAnsi="Arial"/>
          <w:sz w:val="17"/>
          <w:szCs w:val="17"/>
          <w:color w:val="auto"/>
        </w:rPr>
        <w:t>There are no arrangements or understandings between Dr. Nohaile and any other persons pursuant to which Dr. Nohaile was elected as a director of the Company, and there are no arrangements or understandings between Dr. Post and any other persons pursuant to which Dr. Post was elected as a director of the Company. Dr. Nohaile and Dr. Post will serve as directors of the Company until the next annual meeting of stockholders of the Company or until the earlier of their respective death, resignation removal or election or appointment of their respective successors.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6 is set forth on the Exhibit Index that immediately precedes the signature page to this report and is incorporated herein by reference.</w:t>
      </w:r>
    </w:p>
    <w:p>
      <w:pPr>
        <w:spacing w:after="0" w:line="17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445" w:right="1159" w:bottom="1440" w:gutter="0" w:footer="0" w:header="0"/>
        </w:sectPr>
      </w:pPr>
    </w:p>
    <w:bookmarkStart w:id="36" w:name="page37"/>
    <w:bookmarkEnd w:id="36"/>
    <w:p>
      <w:pPr>
        <w:jc w:val="center"/>
        <w:ind w:right="-91"/>
        <w:spacing w:after="0"/>
        <w:rPr>
          <w:sz w:val="20"/>
          <w:szCs w:val="20"/>
          <w:color w:val="auto"/>
        </w:rPr>
      </w:pPr>
      <w:r>
        <w:rPr>
          <w:rFonts w:ascii="Arial" w:cs="Arial" w:eastAsia="Arial" w:hAnsi="Arial"/>
          <w:sz w:val="18"/>
          <w:szCs w:val="18"/>
          <w:b w:val="1"/>
          <w:bCs w:val="1"/>
          <w:color w:val="auto"/>
        </w:rPr>
        <w:t>EXHIBIT INDEX</w:t>
      </w:r>
    </w:p>
    <w:p>
      <w:pPr>
        <w:spacing w:after="0" w:line="207" w:lineRule="exact"/>
        <w:rPr>
          <w:sz w:val="20"/>
          <w:szCs w:val="20"/>
          <w:color w:val="auto"/>
        </w:rPr>
      </w:pPr>
    </w:p>
    <w:tbl>
      <w:tblPr>
        <w:tblLayout w:type="fixed"/>
        <w:tblInd w:w="12" w:type="dxa"/>
        <w:tblCellMar>
          <w:top w:w="0" w:type="dxa"/>
          <w:left w:w="0" w:type="dxa"/>
          <w:bottom w:w="0" w:type="dxa"/>
          <w:right w:w="0" w:type="dxa"/>
        </w:tblCellMar>
      </w:tblPr>
      <w:tr>
        <w:trPr>
          <w:trHeight w:val="176"/>
        </w:trPr>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Incorporated by Reference</w:t>
            </w:r>
          </w:p>
        </w:tc>
      </w:tr>
      <w:tr>
        <w:trPr>
          <w:trHeight w:val="148"/>
        </w:trPr>
        <w:tc>
          <w:tcPr>
            <w:tcW w:w="9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Exhibit No.</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560" w:type="dxa"/>
            <w:vAlign w:val="bottom"/>
            <w:gridSpan w:val="15"/>
          </w:tcPr>
          <w:p>
            <w:pPr>
              <w:ind w:left="1220"/>
              <w:spacing w:after="0" w:line="149" w:lineRule="exact"/>
              <w:rPr>
                <w:sz w:val="20"/>
                <w:szCs w:val="20"/>
                <w:color w:val="auto"/>
              </w:rPr>
            </w:pPr>
            <w:r>
              <w:rPr>
                <w:rFonts w:ascii="Arial" w:cs="Arial" w:eastAsia="Arial" w:hAnsi="Arial"/>
                <w:sz w:val="14"/>
                <w:szCs w:val="14"/>
                <w:b w:val="1"/>
                <w:bCs w:val="1"/>
                <w:color w:val="auto"/>
              </w:rPr>
              <w:t>Exhibit Title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Filed with this</w:t>
            </w:r>
          </w:p>
        </w:tc>
        <w:tc>
          <w:tcPr>
            <w:tcW w:w="6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7"/>
              </w:rPr>
              <w:t>Form</w:t>
            </w:r>
          </w:p>
        </w:tc>
        <w:tc>
          <w:tcPr>
            <w:tcW w:w="140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Form No.</w:t>
            </w:r>
          </w:p>
        </w:tc>
        <w:tc>
          <w:tcPr>
            <w:tcW w:w="84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Date Filed</w:t>
            </w:r>
          </w:p>
        </w:tc>
      </w:tr>
      <w:tr>
        <w:trPr>
          <w:trHeight w:val="186"/>
        </w:trPr>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7"/>
              </w:rPr>
              <w:t>Form 10-Q</w:t>
            </w:r>
          </w:p>
        </w:tc>
        <w:tc>
          <w:tcPr>
            <w:tcW w:w="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4"/>
                <w:szCs w:val="14"/>
                <w:color w:val="auto"/>
              </w:rPr>
              <w:t>3.1</w:t>
            </w:r>
          </w:p>
        </w:tc>
        <w:tc>
          <w:tcPr>
            <w:tcW w:w="3780" w:type="dxa"/>
            <w:vAlign w:val="bottom"/>
            <w:tcBorders>
              <w:bottom w:val="single" w:sz="8" w:color="0000FF"/>
            </w:tcBorders>
            <w:gridSpan w:val="5"/>
          </w:tcPr>
          <w:p>
            <w:pPr>
              <w:spacing w:after="0"/>
              <w:rPr>
                <w:rFonts w:ascii="Arial" w:cs="Arial" w:eastAsia="Arial" w:hAnsi="Arial"/>
                <w:sz w:val="14"/>
                <w:szCs w:val="14"/>
                <w:color w:val="0000FF"/>
                <w:w w:val="93"/>
              </w:rPr>
            </w:pPr>
            <w:hyperlink r:id="rId329">
              <w:r>
                <w:rPr>
                  <w:rFonts w:ascii="Arial" w:cs="Arial" w:eastAsia="Arial" w:hAnsi="Arial"/>
                  <w:sz w:val="14"/>
                  <w:szCs w:val="14"/>
                  <w:color w:val="0000FF"/>
                  <w:w w:val="93"/>
                </w:rPr>
                <w:t>Certificate of Incorporation of the registrant, dated May 13, 2016.</w:t>
              </w:r>
            </w:hyperlink>
          </w:p>
        </w:tc>
        <w:tc>
          <w:tcPr>
            <w:tcW w:w="20" w:type="dxa"/>
            <w:vAlign w:val="bottom"/>
            <w:tcBorders>
              <w:bottom w:val="single" w:sz="8" w:color="0000EE"/>
            </w:tcBorders>
          </w:tcPr>
          <w:p>
            <w:pPr>
              <w:spacing w:after="0"/>
              <w:rPr>
                <w:sz w:val="24"/>
                <w:szCs w:val="24"/>
                <w:color w:val="auto"/>
              </w:rPr>
            </w:pPr>
          </w:p>
        </w:tc>
        <w:tc>
          <w:tcPr>
            <w:tcW w:w="2180" w:type="dxa"/>
            <w:vAlign w:val="bottom"/>
            <w:gridSpan w:val="12"/>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10-Q</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8/14/2017</w:t>
            </w: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3.1.1</w:t>
            </w:r>
          </w:p>
        </w:tc>
        <w:tc>
          <w:tcPr>
            <w:tcW w:w="5560" w:type="dxa"/>
            <w:vAlign w:val="bottom"/>
            <w:tcBorders>
              <w:bottom w:val="single" w:sz="8" w:color="0000FF"/>
            </w:tcBorders>
            <w:gridSpan w:val="11"/>
          </w:tcPr>
          <w:p>
            <w:pPr>
              <w:spacing w:after="0"/>
              <w:rPr>
                <w:rFonts w:ascii="Arial" w:cs="Arial" w:eastAsia="Arial" w:hAnsi="Arial"/>
                <w:sz w:val="14"/>
                <w:szCs w:val="14"/>
                <w:color w:val="0000FF"/>
                <w:w w:val="94"/>
              </w:rPr>
            </w:pPr>
            <w:hyperlink r:id="rId330">
              <w:r>
                <w:rPr>
                  <w:rFonts w:ascii="Arial" w:cs="Arial" w:eastAsia="Arial" w:hAnsi="Arial"/>
                  <w:sz w:val="14"/>
                  <w:szCs w:val="14"/>
                  <w:color w:val="0000FF"/>
                  <w:w w:val="94"/>
                </w:rPr>
                <w:t>Certificate of Amendment to Certificate of Incorporation of the registrant, dated August 2, 2016.</w:t>
              </w:r>
            </w:hyperlink>
          </w:p>
        </w:tc>
        <w:tc>
          <w:tcPr>
            <w:tcW w:w="420" w:type="dxa"/>
            <w:vAlign w:val="bottom"/>
            <w:gridSpan w:val="7"/>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10-Q</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8/14/2017</w:t>
            </w:r>
          </w:p>
        </w:tc>
      </w:tr>
      <w:tr>
        <w:trPr>
          <w:trHeight w:val="290"/>
        </w:trPr>
        <w:tc>
          <w:tcPr>
            <w:tcW w:w="940" w:type="dxa"/>
            <w:vAlign w:val="bottom"/>
          </w:tcPr>
          <w:p>
            <w:pPr>
              <w:spacing w:after="0"/>
              <w:rPr>
                <w:sz w:val="20"/>
                <w:szCs w:val="20"/>
                <w:color w:val="auto"/>
              </w:rPr>
            </w:pPr>
            <w:r>
              <w:rPr>
                <w:rFonts w:ascii="Arial" w:cs="Arial" w:eastAsia="Arial" w:hAnsi="Arial"/>
                <w:sz w:val="14"/>
                <w:szCs w:val="14"/>
                <w:color w:val="auto"/>
              </w:rPr>
              <w:t>3.1.2</w:t>
            </w:r>
          </w:p>
        </w:tc>
        <w:tc>
          <w:tcPr>
            <w:tcW w:w="5480" w:type="dxa"/>
            <w:vAlign w:val="bottom"/>
            <w:tcBorders>
              <w:bottom w:val="single" w:sz="8" w:color="0000FF"/>
            </w:tcBorders>
            <w:gridSpan w:val="9"/>
          </w:tcPr>
          <w:p>
            <w:pPr>
              <w:spacing w:after="0"/>
              <w:rPr>
                <w:rFonts w:ascii="Arial" w:cs="Arial" w:eastAsia="Arial" w:hAnsi="Arial"/>
                <w:sz w:val="14"/>
                <w:szCs w:val="14"/>
                <w:color w:val="0000FF"/>
                <w:w w:val="94"/>
              </w:rPr>
            </w:pPr>
            <w:hyperlink r:id="rId331">
              <w:r>
                <w:rPr>
                  <w:rFonts w:ascii="Arial" w:cs="Arial" w:eastAsia="Arial" w:hAnsi="Arial"/>
                  <w:sz w:val="14"/>
                  <w:szCs w:val="14"/>
                  <w:color w:val="0000FF"/>
                  <w:w w:val="94"/>
                </w:rPr>
                <w:t>Certificate of Amendment to Certificate of Incorporation of the registrant, dated May 17, 2017.</w:t>
              </w:r>
            </w:hyperlink>
          </w:p>
        </w:tc>
        <w:tc>
          <w:tcPr>
            <w:tcW w:w="500" w:type="dxa"/>
            <w:vAlign w:val="bottom"/>
            <w:gridSpan w:val="9"/>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10-Q</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8/14/2017</w:t>
            </w: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3.2</w:t>
            </w:r>
          </w:p>
        </w:tc>
        <w:tc>
          <w:tcPr>
            <w:tcW w:w="5980" w:type="dxa"/>
            <w:vAlign w:val="bottom"/>
            <w:gridSpan w:val="18"/>
          </w:tcPr>
          <w:p>
            <w:pPr>
              <w:spacing w:after="0"/>
              <w:rPr>
                <w:rFonts w:ascii="Arial" w:cs="Arial" w:eastAsia="Arial" w:hAnsi="Arial"/>
                <w:sz w:val="14"/>
                <w:szCs w:val="14"/>
                <w:color w:val="0000FF"/>
              </w:rPr>
            </w:pPr>
            <w:hyperlink r:id="rId332">
              <w:r>
                <w:rPr>
                  <w:rFonts w:ascii="Arial" w:cs="Arial" w:eastAsia="Arial" w:hAnsi="Arial"/>
                  <w:sz w:val="14"/>
                  <w:szCs w:val="14"/>
                  <w:color w:val="0000FF"/>
                </w:rPr>
                <w:t>Bylaws of the registrant.</w:t>
              </w:r>
            </w:hyperlink>
          </w:p>
        </w:tc>
        <w:tc>
          <w:tcPr>
            <w:tcW w:w="134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w w:val="96"/>
              </w:rPr>
              <w:t>S-1/A</w:t>
            </w:r>
          </w:p>
        </w:tc>
        <w:tc>
          <w:tcPr>
            <w:tcW w:w="1400" w:type="dxa"/>
            <w:vAlign w:val="bottom"/>
          </w:tcPr>
          <w:p>
            <w:pPr>
              <w:ind w:left="380"/>
              <w:spacing w:after="0"/>
              <w:rPr>
                <w:sz w:val="20"/>
                <w:szCs w:val="20"/>
                <w:color w:val="auto"/>
              </w:rPr>
            </w:pPr>
            <w:r>
              <w:rPr>
                <w:rFonts w:ascii="Arial" w:cs="Arial" w:eastAsia="Arial" w:hAnsi="Arial"/>
                <w:sz w:val="14"/>
                <w:szCs w:val="14"/>
                <w:color w:val="auto"/>
              </w:rPr>
              <w:t>333-213469</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9/26/2016</w:t>
            </w: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10.1^</w:t>
            </w:r>
          </w:p>
        </w:tc>
        <w:tc>
          <w:tcPr>
            <w:tcW w:w="5980" w:type="dxa"/>
            <w:vAlign w:val="bottom"/>
            <w:tcBorders>
              <w:bottom w:val="single" w:sz="8" w:color="0000FF"/>
            </w:tcBorders>
            <w:gridSpan w:val="18"/>
          </w:tcPr>
          <w:p>
            <w:pPr>
              <w:spacing w:after="0"/>
              <w:rPr>
                <w:rFonts w:ascii="Arial" w:cs="Arial" w:eastAsia="Arial" w:hAnsi="Arial"/>
                <w:sz w:val="14"/>
                <w:szCs w:val="14"/>
                <w:color w:val="0000FF"/>
                <w:w w:val="94"/>
              </w:rPr>
            </w:pPr>
            <w:hyperlink r:id="rId333">
              <w:r>
                <w:rPr>
                  <w:rFonts w:ascii="Arial" w:cs="Arial" w:eastAsia="Arial" w:hAnsi="Arial"/>
                  <w:sz w:val="14"/>
                  <w:szCs w:val="14"/>
                  <w:color w:val="0000FF"/>
                  <w:w w:val="94"/>
                </w:rPr>
                <w:t>Agreement and Plan of Merger by and among Fulgent Therapeutics LLC, solely for purpose of Section</w:t>
              </w:r>
            </w:hyperlink>
          </w:p>
        </w:tc>
        <w:tc>
          <w:tcPr>
            <w:tcW w:w="1340" w:type="dxa"/>
            <w:vAlign w:val="bottom"/>
          </w:tcPr>
          <w:p>
            <w:pPr>
              <w:spacing w:after="0"/>
              <w:rPr>
                <w:sz w:val="24"/>
                <w:szCs w:val="24"/>
                <w:color w:val="auto"/>
              </w:rPr>
            </w:pPr>
          </w:p>
        </w:tc>
        <w:tc>
          <w:tcPr>
            <w:tcW w:w="600" w:type="dxa"/>
            <w:vAlign w:val="bottom"/>
          </w:tcPr>
          <w:p>
            <w:pPr>
              <w:jc w:val="center"/>
              <w:ind w:left="108"/>
              <w:spacing w:after="0"/>
              <w:rPr>
                <w:sz w:val="20"/>
                <w:szCs w:val="20"/>
                <w:color w:val="auto"/>
              </w:rPr>
            </w:pPr>
            <w:r>
              <w:rPr>
                <w:rFonts w:ascii="Arial" w:cs="Arial" w:eastAsia="Arial" w:hAnsi="Arial"/>
                <w:sz w:val="14"/>
                <w:szCs w:val="14"/>
                <w:color w:val="auto"/>
              </w:rPr>
              <w:t>8-K</w:t>
            </w:r>
          </w:p>
        </w:tc>
        <w:tc>
          <w:tcPr>
            <w:tcW w:w="1400" w:type="dxa"/>
            <w:vAlign w:val="bottom"/>
          </w:tcPr>
          <w:p>
            <w:pPr>
              <w:ind w:left="380"/>
              <w:spacing w:after="0"/>
              <w:rPr>
                <w:sz w:val="20"/>
                <w:szCs w:val="20"/>
                <w:color w:val="auto"/>
              </w:rPr>
            </w:pPr>
            <w:r>
              <w:rPr>
                <w:rFonts w:ascii="Arial" w:cs="Arial" w:eastAsia="Arial" w:hAnsi="Arial"/>
                <w:sz w:val="14"/>
                <w:szCs w:val="14"/>
                <w:color w:val="auto"/>
              </w:rPr>
              <w:t>001-37894</w:t>
            </w:r>
          </w:p>
        </w:tc>
        <w:tc>
          <w:tcPr>
            <w:tcW w:w="840" w:type="dxa"/>
            <w:vAlign w:val="bottom"/>
          </w:tcPr>
          <w:p>
            <w:pPr>
              <w:jc w:val="center"/>
              <w:ind w:left="148"/>
              <w:spacing w:after="0"/>
              <w:rPr>
                <w:sz w:val="20"/>
                <w:szCs w:val="20"/>
                <w:color w:val="auto"/>
              </w:rPr>
            </w:pPr>
            <w:r>
              <w:rPr>
                <w:rFonts w:ascii="Arial" w:cs="Arial" w:eastAsia="Arial" w:hAnsi="Arial"/>
                <w:sz w:val="14"/>
                <w:szCs w:val="14"/>
                <w:color w:val="auto"/>
                <w:w w:val="93"/>
              </w:rPr>
              <w:t>4/26/2022</w:t>
            </w:r>
          </w:p>
        </w:tc>
      </w:tr>
      <w:tr>
        <w:trPr>
          <w:trHeight w:val="128"/>
        </w:trPr>
        <w:tc>
          <w:tcPr>
            <w:tcW w:w="940" w:type="dxa"/>
            <w:vAlign w:val="bottom"/>
          </w:tcPr>
          <w:p>
            <w:pPr>
              <w:spacing w:after="0"/>
              <w:rPr>
                <w:sz w:val="11"/>
                <w:szCs w:val="11"/>
                <w:color w:val="auto"/>
              </w:rPr>
            </w:pPr>
          </w:p>
        </w:tc>
        <w:tc>
          <w:tcPr>
            <w:tcW w:w="5980" w:type="dxa"/>
            <w:vAlign w:val="bottom"/>
            <w:gridSpan w:val="18"/>
          </w:tcPr>
          <w:p>
            <w:pPr>
              <w:spacing w:after="0" w:line="129" w:lineRule="exact"/>
              <w:rPr>
                <w:rFonts w:ascii="Arial" w:cs="Arial" w:eastAsia="Arial" w:hAnsi="Arial"/>
                <w:sz w:val="14"/>
                <w:szCs w:val="14"/>
                <w:color w:val="0000FF"/>
                <w:w w:val="95"/>
              </w:rPr>
            </w:pPr>
            <w:hyperlink r:id="rId333">
              <w:r>
                <w:rPr>
                  <w:rFonts w:ascii="Arial" w:cs="Arial" w:eastAsia="Arial" w:hAnsi="Arial"/>
                  <w:sz w:val="14"/>
                  <w:szCs w:val="14"/>
                  <w:color w:val="0000FF"/>
                  <w:w w:val="95"/>
                </w:rPr>
                <w:t>6.</w:t>
              </w:r>
              <w:r>
                <w:rPr>
                  <w:rFonts w:ascii="Arial" w:cs="Arial" w:eastAsia="Arial" w:hAnsi="Arial"/>
                  <w:sz w:val="14"/>
                  <w:szCs w:val="14"/>
                  <w:u w:val="single" w:color="auto"/>
                  <w:color w:val="0000FF"/>
                  <w:w w:val="95"/>
                </w:rPr>
                <w:t>20,</w:t>
              </w:r>
              <w:r>
                <w:rPr>
                  <w:rFonts w:ascii="Arial" w:cs="Arial" w:eastAsia="Arial" w:hAnsi="Arial"/>
                  <w:sz w:val="14"/>
                  <w:szCs w:val="14"/>
                  <w:color w:val="0000FF"/>
                  <w:w w:val="95"/>
                </w:rPr>
                <w:t xml:space="preserve"> Fulgent Genetics, Inc., Ducks Acquisition Sub, Inc., Symphony Buyer, Inc., solely in its capacity</w:t>
              </w:r>
            </w:hyperlink>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5960" w:type="dxa"/>
            <w:vAlign w:val="bottom"/>
            <w:tcBorders>
              <w:top w:val="single" w:sz="8" w:color="0000FF"/>
            </w:tcBorders>
            <w:gridSpan w:val="17"/>
          </w:tcPr>
          <w:p>
            <w:pPr>
              <w:spacing w:after="0" w:line="129" w:lineRule="exact"/>
              <w:rPr>
                <w:rFonts w:ascii="Arial" w:cs="Arial" w:eastAsia="Arial" w:hAnsi="Arial"/>
                <w:sz w:val="14"/>
                <w:szCs w:val="14"/>
                <w:color w:val="0000FF"/>
                <w:w w:val="93"/>
              </w:rPr>
            </w:pPr>
            <w:hyperlink r:id="rId333">
              <w:r>
                <w:rPr>
                  <w:rFonts w:ascii="Arial" w:cs="Arial" w:eastAsia="Arial" w:hAnsi="Arial"/>
                  <w:sz w:val="14"/>
                  <w:szCs w:val="14"/>
                  <w:color w:val="0000FF"/>
                  <w:w w:val="93"/>
                </w:rPr>
                <w:t>as the representative of Symphony’s securityholders, Avista Capital Partners IV GP, L.P. and solely for</w:t>
              </w:r>
            </w:hyperlink>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5940" w:type="dxa"/>
            <w:vAlign w:val="bottom"/>
            <w:tcBorders>
              <w:top w:val="single" w:sz="8" w:color="0000FF"/>
            </w:tcBorders>
            <w:gridSpan w:val="16"/>
          </w:tcPr>
          <w:p>
            <w:pPr>
              <w:spacing w:after="0" w:line="129" w:lineRule="exact"/>
              <w:rPr>
                <w:rFonts w:ascii="Arial" w:cs="Arial" w:eastAsia="Arial" w:hAnsi="Arial"/>
                <w:sz w:val="14"/>
                <w:szCs w:val="14"/>
                <w:color w:val="0000FF"/>
                <w:w w:val="94"/>
              </w:rPr>
            </w:pPr>
            <w:hyperlink r:id="rId333">
              <w:r>
                <w:rPr>
                  <w:rFonts w:ascii="Arial" w:cs="Arial" w:eastAsia="Arial" w:hAnsi="Arial"/>
                  <w:sz w:val="14"/>
                  <w:szCs w:val="14"/>
                  <w:color w:val="0000FF"/>
                  <w:w w:val="94"/>
                </w:rPr>
                <w:t>purposes of Section 6.21, Article VIII and Section 10.14, those company stockholders set forth on the</w:t>
              </w:r>
            </w:hyperlink>
          </w:p>
        </w:tc>
        <w:tc>
          <w:tcPr>
            <w:tcW w:w="40" w:type="dxa"/>
            <w:vAlign w:val="bottom"/>
            <w:gridSpan w:val="2"/>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588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333">
              <w:r>
                <w:rPr>
                  <w:rFonts w:ascii="Arial" w:cs="Arial" w:eastAsia="Arial" w:hAnsi="Arial"/>
                  <w:sz w:val="14"/>
                  <w:szCs w:val="14"/>
                  <w:color w:val="0000FF"/>
                </w:rPr>
                <w:t>signature page thereto, dated as of April 16, 2022</w:t>
              </w:r>
              <w:r>
                <w:rPr>
                  <w:rFonts w:ascii="Arial" w:cs="Arial" w:eastAsia="Arial" w:hAnsi="Arial"/>
                  <w:sz w:val="14"/>
                  <w:szCs w:val="14"/>
                  <w:color w:val="000000"/>
                </w:rPr>
                <w:t>.</w:t>
              </w:r>
            </w:hyperlink>
          </w:p>
        </w:tc>
        <w:tc>
          <w:tcPr>
            <w:tcW w:w="100" w:type="dxa"/>
            <w:vAlign w:val="bottom"/>
            <w:gridSpan w:val="3"/>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0"/>
        </w:trPr>
        <w:tc>
          <w:tcPr>
            <w:tcW w:w="9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31.1</w:t>
            </w:r>
          </w:p>
        </w:tc>
        <w:tc>
          <w:tcPr>
            <w:tcW w:w="5980" w:type="dxa"/>
            <w:vAlign w:val="bottom"/>
            <w:gridSpan w:val="18"/>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Certification of Principal Executive Officer pursuant to Rules 13a-14(a) and 15d-14(a) under the</w:t>
              </w:r>
            </w:hyperlink>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5580" w:type="dxa"/>
            <w:vAlign w:val="bottom"/>
            <w:tcBorders>
              <w:top w:val="single" w:sz="8" w:color="0000FF"/>
            </w:tcBorders>
            <w:gridSpan w:val="12"/>
          </w:tcPr>
          <w:p>
            <w:pPr>
              <w:spacing w:after="0" w:line="129" w:lineRule="exact"/>
              <w:rPr>
                <w:rFonts w:ascii="Arial" w:cs="Arial" w:eastAsia="Arial" w:hAnsi="Arial"/>
                <w:sz w:val="14"/>
                <w:szCs w:val="14"/>
                <w:color w:val="0000FF"/>
                <w:w w:val="92"/>
              </w:rPr>
            </w:pPr>
            <w:hyperlink w:anchor="page39">
              <w:r>
                <w:rPr>
                  <w:rFonts w:ascii="Arial" w:cs="Arial" w:eastAsia="Arial" w:hAnsi="Arial"/>
                  <w:sz w:val="14"/>
                  <w:szCs w:val="14"/>
                  <w:color w:val="0000FF"/>
                  <w:w w:val="92"/>
                </w:rPr>
                <w:t>Securities Exchange Act of 1934, as adopted pursuant to Section 302 of the Sarbanes-Oxley Act</w:t>
              </w:r>
            </w:hyperlink>
          </w:p>
        </w:tc>
        <w:tc>
          <w:tcPr>
            <w:tcW w:w="400" w:type="dxa"/>
            <w:vAlign w:val="bottom"/>
            <w:gridSpan w:val="6"/>
          </w:tcPr>
          <w:p>
            <w:pPr>
              <w:jc w:val="right"/>
              <w:ind w:right="280"/>
              <w:spacing w:after="0" w:line="129" w:lineRule="exact"/>
              <w:rPr>
                <w:rFonts w:ascii="Arial" w:cs="Arial" w:eastAsia="Arial" w:hAnsi="Arial"/>
                <w:sz w:val="14"/>
                <w:szCs w:val="14"/>
                <w:color w:val="0000FF"/>
                <w:w w:val="85"/>
              </w:rPr>
            </w:pPr>
            <w:hyperlink w:anchor="page39">
              <w:r>
                <w:rPr>
                  <w:rFonts w:ascii="Arial" w:cs="Arial" w:eastAsia="Arial" w:hAnsi="Arial"/>
                  <w:sz w:val="14"/>
                  <w:szCs w:val="14"/>
                  <w:color w:val="0000FF"/>
                  <w:w w:val="85"/>
                </w:rPr>
                <w:t>of</w:t>
              </w:r>
            </w:hyperlink>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5"/>
              </w:rPr>
            </w:pPr>
            <w:hyperlink w:anchor="page39">
              <w:r>
                <w:rPr>
                  <w:rFonts w:ascii="Arial" w:cs="Arial" w:eastAsia="Arial" w:hAnsi="Arial"/>
                  <w:sz w:val="14"/>
                  <w:szCs w:val="14"/>
                  <w:color w:val="0000FF"/>
                  <w:w w:val="85"/>
                </w:rPr>
                <w:t>2002.</w:t>
              </w:r>
            </w:hyperlink>
          </w:p>
        </w:tc>
        <w:tc>
          <w:tcPr>
            <w:tcW w:w="20" w:type="dxa"/>
            <w:vAlign w:val="bottom"/>
            <w:tcBorders>
              <w:top w:val="single" w:sz="8" w:color="0000FF"/>
              <w:bottom w:val="single" w:sz="8" w:color="0000EE"/>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44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31.2</w:t>
            </w:r>
          </w:p>
        </w:tc>
        <w:tc>
          <w:tcPr>
            <w:tcW w:w="5980" w:type="dxa"/>
            <w:vAlign w:val="bottom"/>
            <w:gridSpan w:val="18"/>
          </w:tcPr>
          <w:p>
            <w:pPr>
              <w:spacing w:after="0"/>
              <w:rPr>
                <w:rFonts w:ascii="Arial" w:cs="Arial" w:eastAsia="Arial" w:hAnsi="Arial"/>
                <w:sz w:val="14"/>
                <w:szCs w:val="14"/>
                <w:color w:val="0000FF"/>
              </w:rPr>
            </w:pPr>
            <w:hyperlink w:anchor="page40">
              <w:r>
                <w:rPr>
                  <w:rFonts w:ascii="Arial" w:cs="Arial" w:eastAsia="Arial" w:hAnsi="Arial"/>
                  <w:sz w:val="14"/>
                  <w:szCs w:val="14"/>
                  <w:color w:val="0000FF"/>
                </w:rPr>
                <w:t>Certification of Principal Financial Officer pursuant to Rules 13a-14(a) and 15d-14(a) under the</w:t>
              </w:r>
            </w:hyperlink>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5540" w:type="dxa"/>
            <w:vAlign w:val="bottom"/>
            <w:tcBorders>
              <w:top w:val="single" w:sz="8" w:color="0000FF"/>
            </w:tcBorders>
            <w:gridSpan w:val="10"/>
          </w:tcPr>
          <w:p>
            <w:pPr>
              <w:spacing w:after="0" w:line="129" w:lineRule="exact"/>
              <w:rPr>
                <w:rFonts w:ascii="Arial" w:cs="Arial" w:eastAsia="Arial" w:hAnsi="Arial"/>
                <w:sz w:val="14"/>
                <w:szCs w:val="14"/>
                <w:color w:val="0000FF"/>
                <w:w w:val="92"/>
              </w:rPr>
            </w:pPr>
            <w:hyperlink w:anchor="page40">
              <w:r>
                <w:rPr>
                  <w:rFonts w:ascii="Arial" w:cs="Arial" w:eastAsia="Arial" w:hAnsi="Arial"/>
                  <w:sz w:val="14"/>
                  <w:szCs w:val="14"/>
                  <w:color w:val="0000FF"/>
                  <w:w w:val="92"/>
                </w:rPr>
                <w:t>Securities Exchange Act of 1934, as adopted pursuant to Section 302 of the Sarbanes-Oxley Act</w:t>
              </w:r>
            </w:hyperlink>
          </w:p>
        </w:tc>
        <w:tc>
          <w:tcPr>
            <w:tcW w:w="440" w:type="dxa"/>
            <w:vAlign w:val="bottom"/>
            <w:gridSpan w:val="8"/>
          </w:tcPr>
          <w:p>
            <w:pPr>
              <w:jc w:val="right"/>
              <w:ind w:right="280"/>
              <w:spacing w:after="0" w:line="129" w:lineRule="exact"/>
              <w:rPr>
                <w:rFonts w:ascii="Arial" w:cs="Arial" w:eastAsia="Arial" w:hAnsi="Arial"/>
                <w:sz w:val="14"/>
                <w:szCs w:val="14"/>
                <w:color w:val="0000FF"/>
              </w:rPr>
            </w:pPr>
            <w:hyperlink w:anchor="page40">
              <w:r>
                <w:rPr>
                  <w:rFonts w:ascii="Arial" w:cs="Arial" w:eastAsia="Arial" w:hAnsi="Arial"/>
                  <w:sz w:val="14"/>
                  <w:szCs w:val="14"/>
                  <w:color w:val="0000FF"/>
                </w:rPr>
                <w:t>of</w:t>
              </w:r>
            </w:hyperlink>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8"/>
        </w:trPr>
        <w:tc>
          <w:tcPr>
            <w:tcW w:w="940" w:type="dxa"/>
            <w:vAlign w:val="bottom"/>
          </w:tcPr>
          <w:p>
            <w:pPr>
              <w:spacing w:after="0"/>
              <w:rPr>
                <w:sz w:val="11"/>
                <w:szCs w:val="11"/>
                <w:color w:val="auto"/>
              </w:rPr>
            </w:pPr>
          </w:p>
        </w:tc>
        <w:tc>
          <w:tcPr>
            <w:tcW w:w="320" w:type="dxa"/>
            <w:vAlign w:val="bottom"/>
            <w:tcBorders>
              <w:top w:val="single" w:sz="8" w:color="0000FF"/>
              <w:bottom w:val="single" w:sz="8" w:color="0000FF"/>
            </w:tcBorders>
          </w:tcPr>
          <w:p>
            <w:pPr>
              <w:spacing w:after="0" w:line="129" w:lineRule="exact"/>
              <w:rPr>
                <w:rFonts w:ascii="Arial" w:cs="Arial" w:eastAsia="Arial" w:hAnsi="Arial"/>
                <w:sz w:val="14"/>
                <w:szCs w:val="14"/>
                <w:color w:val="0000FF"/>
                <w:w w:val="85"/>
              </w:rPr>
            </w:pPr>
            <w:hyperlink w:anchor="page40">
              <w:r>
                <w:rPr>
                  <w:rFonts w:ascii="Arial" w:cs="Arial" w:eastAsia="Arial" w:hAnsi="Arial"/>
                  <w:sz w:val="14"/>
                  <w:szCs w:val="14"/>
                  <w:color w:val="0000FF"/>
                  <w:w w:val="85"/>
                </w:rPr>
                <w:t>2002.</w:t>
              </w:r>
            </w:hyperlink>
          </w:p>
        </w:tc>
        <w:tc>
          <w:tcPr>
            <w:tcW w:w="20" w:type="dxa"/>
            <w:vAlign w:val="bottom"/>
            <w:tcBorders>
              <w:top w:val="single" w:sz="8" w:color="0000FF"/>
              <w:bottom w:val="single" w:sz="8" w:color="0000EE"/>
            </w:tcBorders>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144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1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4"/>
                <w:szCs w:val="14"/>
                <w:color w:val="auto"/>
              </w:rPr>
              <w:t>32.1*</w:t>
            </w:r>
          </w:p>
        </w:tc>
        <w:tc>
          <w:tcPr>
            <w:tcW w:w="5980" w:type="dxa"/>
            <w:vAlign w:val="bottom"/>
            <w:gridSpan w:val="18"/>
          </w:tcPr>
          <w:p>
            <w:pPr>
              <w:spacing w:after="0"/>
              <w:rPr>
                <w:rFonts w:ascii="Arial" w:cs="Arial" w:eastAsia="Arial" w:hAnsi="Arial"/>
                <w:sz w:val="14"/>
                <w:szCs w:val="14"/>
                <w:color w:val="0000FF"/>
              </w:rPr>
            </w:pPr>
            <w:hyperlink w:anchor="page41">
              <w:r>
                <w:rPr>
                  <w:rFonts w:ascii="Arial" w:cs="Arial" w:eastAsia="Arial" w:hAnsi="Arial"/>
                  <w:sz w:val="14"/>
                  <w:szCs w:val="14"/>
                  <w:color w:val="0000FF"/>
                </w:rPr>
                <w:t>Certification of Principal Executive Officer and Principal Financial Officer pursuant to 18 U.S.C.</w:t>
              </w:r>
            </w:hyperlink>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8"/>
        </w:trPr>
        <w:tc>
          <w:tcPr>
            <w:tcW w:w="940" w:type="dxa"/>
            <w:vAlign w:val="bottom"/>
          </w:tcPr>
          <w:p>
            <w:pPr>
              <w:spacing w:after="0"/>
              <w:rPr>
                <w:sz w:val="11"/>
                <w:szCs w:val="11"/>
                <w:color w:val="auto"/>
              </w:rPr>
            </w:pPr>
          </w:p>
        </w:tc>
        <w:tc>
          <w:tcPr>
            <w:tcW w:w="492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92"/>
              </w:rPr>
            </w:pPr>
            <w:hyperlink w:anchor="page41">
              <w:r>
                <w:rPr>
                  <w:rFonts w:ascii="Arial" w:cs="Arial" w:eastAsia="Arial" w:hAnsi="Arial"/>
                  <w:sz w:val="14"/>
                  <w:szCs w:val="14"/>
                  <w:color w:val="0000FF"/>
                  <w:w w:val="92"/>
                </w:rPr>
                <w:t>Section 1350, as adopted pursuant to Section 906 of the Sarbanes-Oxley Act of 2002.</w:t>
              </w:r>
            </w:hyperlink>
          </w:p>
        </w:tc>
        <w:tc>
          <w:tcPr>
            <w:tcW w:w="20" w:type="dxa"/>
            <w:vAlign w:val="bottom"/>
            <w:tcBorders>
              <w:top w:val="single" w:sz="8" w:color="0000FF"/>
              <w:bottom w:val="single" w:sz="8" w:color="0000EE"/>
            </w:tcBorders>
          </w:tcPr>
          <w:p>
            <w:pPr>
              <w:spacing w:after="0"/>
              <w:rPr>
                <w:sz w:val="11"/>
                <w:szCs w:val="11"/>
                <w:color w:val="auto"/>
              </w:rPr>
            </w:pPr>
          </w:p>
        </w:tc>
        <w:tc>
          <w:tcPr>
            <w:tcW w:w="680" w:type="dxa"/>
            <w:vAlign w:val="bottom"/>
            <w:tcBorders>
              <w:top w:val="single" w:sz="8" w:color="0000FF"/>
            </w:tcBorders>
            <w:gridSpan w:val="5"/>
          </w:tcPr>
          <w:p>
            <w:pPr>
              <w:spacing w:after="0"/>
              <w:rPr>
                <w:sz w:val="11"/>
                <w:szCs w:val="11"/>
                <w:color w:val="auto"/>
              </w:rPr>
            </w:pPr>
          </w:p>
        </w:tc>
        <w:tc>
          <w:tcPr>
            <w:tcW w:w="360" w:type="dxa"/>
            <w:vAlign w:val="bottom"/>
            <w:gridSpan w:val="5"/>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85"/>
        </w:trPr>
        <w:tc>
          <w:tcPr>
            <w:tcW w:w="940" w:type="dxa"/>
            <w:vAlign w:val="bottom"/>
          </w:tcPr>
          <w:p>
            <w:pPr>
              <w:spacing w:after="0"/>
              <w:rPr>
                <w:sz w:val="20"/>
                <w:szCs w:val="20"/>
                <w:color w:val="auto"/>
              </w:rPr>
            </w:pPr>
            <w:r>
              <w:rPr>
                <w:rFonts w:ascii="Arial" w:cs="Arial" w:eastAsia="Arial" w:hAnsi="Arial"/>
                <w:sz w:val="14"/>
                <w:szCs w:val="14"/>
                <w:color w:val="auto"/>
              </w:rPr>
              <w:t>101.INS</w:t>
            </w:r>
          </w:p>
        </w:tc>
        <w:tc>
          <w:tcPr>
            <w:tcW w:w="5980" w:type="dxa"/>
            <w:vAlign w:val="bottom"/>
            <w:gridSpan w:val="18"/>
          </w:tcPr>
          <w:p>
            <w:pPr>
              <w:spacing w:after="0"/>
              <w:rPr>
                <w:sz w:val="20"/>
                <w:szCs w:val="20"/>
                <w:color w:val="auto"/>
              </w:rPr>
            </w:pPr>
            <w:r>
              <w:rPr>
                <w:rFonts w:ascii="Arial" w:cs="Arial" w:eastAsia="Arial" w:hAnsi="Arial"/>
                <w:sz w:val="14"/>
                <w:szCs w:val="14"/>
                <w:color w:val="auto"/>
                <w:w w:val="95"/>
              </w:rPr>
              <w:t>Inline XBRL Instance Document – the instance document does not appear in the Interactive Data File</w:t>
            </w:r>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2"/>
        </w:trPr>
        <w:tc>
          <w:tcPr>
            <w:tcW w:w="940" w:type="dxa"/>
            <w:vAlign w:val="bottom"/>
          </w:tcPr>
          <w:p>
            <w:pPr>
              <w:spacing w:after="0"/>
              <w:rPr>
                <w:sz w:val="15"/>
                <w:szCs w:val="15"/>
                <w:color w:val="auto"/>
              </w:rPr>
            </w:pPr>
          </w:p>
        </w:tc>
        <w:tc>
          <w:tcPr>
            <w:tcW w:w="5980" w:type="dxa"/>
            <w:vAlign w:val="bottom"/>
            <w:gridSpan w:val="18"/>
          </w:tcPr>
          <w:p>
            <w:pPr>
              <w:spacing w:after="0"/>
              <w:rPr>
                <w:sz w:val="20"/>
                <w:szCs w:val="20"/>
                <w:color w:val="auto"/>
              </w:rPr>
            </w:pPr>
            <w:r>
              <w:rPr>
                <w:rFonts w:ascii="Arial" w:cs="Arial" w:eastAsia="Arial" w:hAnsi="Arial"/>
                <w:sz w:val="14"/>
                <w:szCs w:val="14"/>
                <w:color w:val="auto"/>
              </w:rPr>
              <w:t>because XBRL tags are embedded within the Inline XBRL document.</w:t>
            </w:r>
          </w:p>
        </w:tc>
        <w:tc>
          <w:tcPr>
            <w:tcW w:w="1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101.SCH</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Schema Document</w:t>
            </w:r>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940" w:type="dxa"/>
            <w:vAlign w:val="bottom"/>
          </w:tcPr>
          <w:p>
            <w:pPr>
              <w:spacing w:after="0"/>
              <w:rPr>
                <w:sz w:val="20"/>
                <w:szCs w:val="20"/>
                <w:color w:val="auto"/>
              </w:rPr>
            </w:pPr>
            <w:r>
              <w:rPr>
                <w:rFonts w:ascii="Arial" w:cs="Arial" w:eastAsia="Arial" w:hAnsi="Arial"/>
                <w:sz w:val="14"/>
                <w:szCs w:val="14"/>
                <w:color w:val="auto"/>
              </w:rPr>
              <w:t>101.CAL</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101.DEF</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1"/>
        </w:trPr>
        <w:tc>
          <w:tcPr>
            <w:tcW w:w="940" w:type="dxa"/>
            <w:vAlign w:val="bottom"/>
          </w:tcPr>
          <w:p>
            <w:pPr>
              <w:spacing w:after="0"/>
              <w:rPr>
                <w:sz w:val="20"/>
                <w:szCs w:val="20"/>
                <w:color w:val="auto"/>
              </w:rPr>
            </w:pPr>
            <w:r>
              <w:rPr>
                <w:rFonts w:ascii="Arial" w:cs="Arial" w:eastAsia="Arial" w:hAnsi="Arial"/>
                <w:sz w:val="14"/>
                <w:szCs w:val="14"/>
                <w:color w:val="auto"/>
              </w:rPr>
              <w:t>101.LAB</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101.PRE</w:t>
            </w:r>
          </w:p>
        </w:tc>
        <w:tc>
          <w:tcPr>
            <w:tcW w:w="5980" w:type="dxa"/>
            <w:vAlign w:val="bottom"/>
            <w:gridSpan w:val="18"/>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0"/>
        </w:trPr>
        <w:tc>
          <w:tcPr>
            <w:tcW w:w="940" w:type="dxa"/>
            <w:vAlign w:val="bottom"/>
          </w:tcPr>
          <w:p>
            <w:pPr>
              <w:spacing w:after="0"/>
              <w:rPr>
                <w:sz w:val="20"/>
                <w:szCs w:val="20"/>
                <w:color w:val="auto"/>
              </w:rPr>
            </w:pPr>
            <w:r>
              <w:rPr>
                <w:rFonts w:ascii="Arial" w:cs="Arial" w:eastAsia="Arial" w:hAnsi="Arial"/>
                <w:sz w:val="14"/>
                <w:szCs w:val="14"/>
                <w:color w:val="auto"/>
              </w:rPr>
              <w:t>104</w:t>
            </w:r>
          </w:p>
        </w:tc>
        <w:tc>
          <w:tcPr>
            <w:tcW w:w="5980" w:type="dxa"/>
            <w:vAlign w:val="bottom"/>
            <w:gridSpan w:val="18"/>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c>
          <w:tcPr>
            <w:tcW w:w="1340" w:type="dxa"/>
            <w:vAlign w:val="bottom"/>
          </w:tcPr>
          <w:p>
            <w:pPr>
              <w:jc w:val="center"/>
              <w:spacing w:after="0"/>
              <w:rPr>
                <w:sz w:val="20"/>
                <w:szCs w:val="20"/>
                <w:color w:val="auto"/>
              </w:rPr>
            </w:pPr>
            <w:r>
              <w:rPr>
                <w:rFonts w:ascii="Arial" w:cs="Arial" w:eastAsia="Arial" w:hAnsi="Arial"/>
                <w:sz w:val="14"/>
                <w:szCs w:val="14"/>
                <w:color w:val="auto"/>
              </w:rPr>
              <w:t>X</w:t>
            </w: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11912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30" w:lineRule="exact"/>
        <w:rPr>
          <w:sz w:val="20"/>
          <w:szCs w:val="20"/>
          <w:color w:val="auto"/>
        </w:rPr>
      </w:pPr>
    </w:p>
    <w:p>
      <w:pPr>
        <w:ind w:left="292" w:hanging="292"/>
        <w:spacing w:after="0"/>
        <w:tabs>
          <w:tab w:leader="none" w:pos="292" w:val="left"/>
        </w:tabs>
        <w:numPr>
          <w:ilvl w:val="0"/>
          <w:numId w:val="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8" w:lineRule="exact"/>
        <w:rPr>
          <w:sz w:val="20"/>
          <w:szCs w:val="20"/>
          <w:color w:val="auto"/>
        </w:rPr>
      </w:pPr>
    </w:p>
    <w:p>
      <w:pPr>
        <w:ind w:left="372" w:hanging="372"/>
        <w:spacing w:after="0" w:line="273" w:lineRule="auto"/>
        <w:tabs>
          <w:tab w:leader="none" w:pos="286" w:val="left"/>
        </w:tabs>
        <w:numPr>
          <w:ilvl w:val="0"/>
          <w:numId w:val="7"/>
        </w:numPr>
        <w:rPr>
          <w:rFonts w:ascii="Arial" w:cs="Arial" w:eastAsia="Arial" w:hAnsi="Arial"/>
          <w:sz w:val="14"/>
          <w:szCs w:val="14"/>
          <w:color w:val="auto"/>
        </w:rPr>
      </w:pPr>
      <w:r>
        <w:rPr>
          <w:rFonts w:ascii="Arial" w:cs="Arial" w:eastAsia="Arial" w:hAnsi="Arial"/>
          <w:sz w:val="14"/>
          <w:szCs w:val="14"/>
          <w:color w:val="auto"/>
        </w:rPr>
        <w:t>Certain exhibits and schedules have been omitted pursuant to Item 601(a)(5) of Regulation S-K. The Company hereby undertakes to furnish supplementally a copy of any omitted exhibit or schedule upon request by the SEC.</w:t>
      </w:r>
    </w:p>
    <w:p>
      <w:pPr>
        <w:spacing w:after="0" w:line="200" w:lineRule="exact"/>
        <w:rPr>
          <w:sz w:val="20"/>
          <w:szCs w:val="20"/>
          <w:color w:val="auto"/>
        </w:rPr>
      </w:pPr>
    </w:p>
    <w:p>
      <w:pPr>
        <w:spacing w:after="0" w:line="22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121" w:right="419" w:bottom="1440" w:gutter="0" w:footer="0" w:header="0"/>
        </w:sectPr>
      </w:pPr>
    </w:p>
    <w:bookmarkStart w:id="37" w:name="page38"/>
    <w:bookmarkEnd w:id="37"/>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FULGENT GENETICS, INC.</w:t>
      </w:r>
    </w:p>
    <w:p>
      <w:pPr>
        <w:spacing w:after="0" w:line="175" w:lineRule="exact"/>
        <w:rPr>
          <w:sz w:val="20"/>
          <w:szCs w:val="20"/>
          <w:color w:val="auto"/>
        </w:rPr>
      </w:pPr>
    </w:p>
    <w:p>
      <w:pPr>
        <w:ind w:left="6780" w:right="1120" w:hanging="8718"/>
        <w:spacing w:after="0"/>
        <w:tabs>
          <w:tab w:leader="none" w:pos="67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 /s/ M</w:t>
      </w:r>
      <w:r>
        <w:rPr>
          <w:rFonts w:ascii="Arial" w:cs="Arial" w:eastAsia="Arial" w:hAnsi="Arial"/>
          <w:sz w:val="12"/>
          <w:szCs w:val="12"/>
          <w:color w:val="auto"/>
        </w:rPr>
        <w:t>ING</w:t>
      </w:r>
      <w:r>
        <w:rPr>
          <w:rFonts w:ascii="Arial" w:cs="Arial" w:eastAsia="Arial" w:hAnsi="Arial"/>
          <w:sz w:val="18"/>
          <w:szCs w:val="18"/>
          <w:color w:val="auto"/>
        </w:rPr>
        <w:t xml:space="preserve"> H</w:t>
      </w:r>
      <w:r>
        <w:rPr>
          <w:rFonts w:ascii="Arial" w:cs="Arial" w:eastAsia="Arial" w:hAnsi="Arial"/>
          <w:sz w:val="12"/>
          <w:szCs w:val="12"/>
          <w:color w:val="auto"/>
        </w:rPr>
        <w:t>SIEH</w:t>
      </w:r>
      <w:r>
        <w:rPr>
          <w:rFonts w:ascii="Arial" w:cs="Arial" w:eastAsia="Arial" w:hAnsi="Arial"/>
          <w:sz w:val="18"/>
          <w:szCs w:val="18"/>
          <w:color w:val="auto"/>
        </w:rPr>
        <w:t xml:space="preserve"> Ming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-16510</wp:posOffset>
            </wp:positionV>
            <wp:extent cx="263144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12"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Executive Officer</w:t>
      </w:r>
    </w:p>
    <w:p>
      <w:pPr>
        <w:jc w:val="center"/>
        <w:ind w:left="7080"/>
        <w:spacing w:after="0"/>
        <w:rPr>
          <w:sz w:val="20"/>
          <w:szCs w:val="20"/>
          <w:color w:val="auto"/>
        </w:rPr>
      </w:pPr>
      <w:r>
        <w:rPr>
          <w:rFonts w:ascii="Arial" w:cs="Arial" w:eastAsia="Arial" w:hAnsi="Arial"/>
          <w:sz w:val="18"/>
          <w:szCs w:val="18"/>
          <w:i w:val="1"/>
          <w:iCs w:val="1"/>
          <w:color w:val="auto"/>
        </w:rPr>
        <w:t>(principal executive officer)</w:t>
      </w:r>
    </w:p>
    <w:p>
      <w:pPr>
        <w:spacing w:after="0" w:line="155" w:lineRule="exact"/>
        <w:rPr>
          <w:sz w:val="20"/>
          <w:szCs w:val="20"/>
          <w:color w:val="auto"/>
        </w:rPr>
      </w:pPr>
    </w:p>
    <w:p>
      <w:pPr>
        <w:ind w:left="6780" w:right="1180" w:hanging="8803"/>
        <w:spacing w:after="0"/>
        <w:tabs>
          <w:tab w:leader="none" w:pos="676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 /s/ P</w:t>
      </w:r>
      <w:r>
        <w:rPr>
          <w:rFonts w:ascii="Arial" w:cs="Arial" w:eastAsia="Arial" w:hAnsi="Arial"/>
          <w:sz w:val="12"/>
          <w:szCs w:val="12"/>
          <w:color w:val="auto"/>
        </w:rPr>
        <w:t>AUL</w:t>
      </w:r>
      <w:r>
        <w:rPr>
          <w:rFonts w:ascii="Arial" w:cs="Arial" w:eastAsia="Arial" w:hAnsi="Arial"/>
          <w:sz w:val="18"/>
          <w:szCs w:val="18"/>
          <w:color w:val="auto"/>
        </w:rPr>
        <w:t xml:space="preserve"> K</w:t>
      </w:r>
      <w:r>
        <w:rPr>
          <w:rFonts w:ascii="Arial" w:cs="Arial" w:eastAsia="Arial" w:hAnsi="Arial"/>
          <w:sz w:val="12"/>
          <w:szCs w:val="12"/>
          <w:color w:val="auto"/>
        </w:rPr>
        <w:t>IM</w:t>
      </w:r>
      <w:r>
        <w:rPr>
          <w:rFonts w:ascii="Arial" w:cs="Arial" w:eastAsia="Arial" w:hAnsi="Arial"/>
          <w:sz w:val="18"/>
          <w:szCs w:val="18"/>
          <w:color w:val="auto"/>
        </w:rPr>
        <w:t xml:space="preserve">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-16510</wp:posOffset>
            </wp:positionV>
            <wp:extent cx="26314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12"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Chief Financial Officer</w:t>
      </w:r>
    </w:p>
    <w:p>
      <w:pPr>
        <w:jc w:val="center"/>
        <w:ind w:left="708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Ming Hsieh, certify that:</w:t>
      </w:r>
    </w:p>
    <w:p>
      <w:pPr>
        <w:spacing w:after="0" w:line="212"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2022 of Fulgent Genetics,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479"/>
        <w:spacing w:after="0" w:line="248" w:lineRule="auto"/>
        <w:tabs>
          <w:tab w:leader="none" w:pos="895"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2"/>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2"/>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291" w:lineRule="auto"/>
        <w:tabs>
          <w:tab w:leader="none" w:pos="895" w:val="left"/>
        </w:tabs>
        <w:numPr>
          <w:ilvl w:val="2"/>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940" w:type="dxa"/>
            <w:vAlign w:val="bottom"/>
          </w:tcPr>
          <w:p>
            <w:pPr>
              <w:ind w:left="262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178"/>
        </w:trPr>
        <w:tc>
          <w:tcPr>
            <w:tcW w:w="41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140" w:type="dxa"/>
            <w:vAlign w:val="bottom"/>
          </w:tcPr>
          <w:p>
            <w:pPr>
              <w:jc w:val="center"/>
              <w:spacing w:after="0" w:line="177" w:lineRule="exact"/>
              <w:rPr>
                <w:sz w:val="20"/>
                <w:szCs w:val="20"/>
                <w:color w:val="auto"/>
              </w:rPr>
            </w:pPr>
            <w:r>
              <w:rPr>
                <w:rFonts w:ascii="Arial" w:cs="Arial" w:eastAsia="Arial" w:hAnsi="Arial"/>
                <w:sz w:val="18"/>
                <w:szCs w:val="18"/>
                <w:color w:val="auto"/>
                <w:w w:val="95"/>
              </w:rPr>
              <w:t>Ming Hsieh</w:t>
            </w:r>
          </w:p>
        </w:tc>
      </w:tr>
      <w:tr>
        <w:trPr>
          <w:trHeight w:val="207"/>
        </w:trPr>
        <w:tc>
          <w:tcPr>
            <w:tcW w:w="41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w:t>
            </w:r>
          </w:p>
        </w:tc>
      </w:tr>
      <w:tr>
        <w:trPr>
          <w:trHeight w:val="230"/>
        </w:trPr>
        <w:tc>
          <w:tcPr>
            <w:tcW w:w="41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506"/>
        </w:trPr>
        <w:tc>
          <w:tcPr>
            <w:tcW w:w="41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Paul Kim, certify that:</w:t>
      </w:r>
    </w:p>
    <w:p>
      <w:pPr>
        <w:spacing w:after="0" w:line="21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2022 of Fulgent Genetics, Inc.;</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020" w:right="480" w:hanging="479"/>
        <w:spacing w:after="0" w:line="324" w:lineRule="auto"/>
        <w:tabs>
          <w:tab w:leader="none" w:pos="895" w:val="left"/>
        </w:tabs>
        <w:numPr>
          <w:ilvl w:val="2"/>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120" w:hanging="479"/>
        <w:spacing w:after="0" w:line="248" w:lineRule="auto"/>
        <w:tabs>
          <w:tab w:leader="none" w:pos="895" w:val="left"/>
        </w:tabs>
        <w:numPr>
          <w:ilvl w:val="2"/>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520" w:right="220" w:hanging="512"/>
        <w:spacing w:after="0" w:line="324"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40" w:hanging="479"/>
        <w:spacing w:after="0" w:line="291" w:lineRule="auto"/>
        <w:tabs>
          <w:tab w:leader="none" w:pos="895" w:val="left"/>
        </w:tabs>
        <w:numPr>
          <w:ilvl w:val="2"/>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020" w:right="540" w:hanging="479"/>
        <w:spacing w:after="0" w:line="261" w:lineRule="auto"/>
        <w:tabs>
          <w:tab w:leader="none" w:pos="895"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 w:leader="none" w:pos="870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6350</wp:posOffset>
            </wp:positionV>
            <wp:extent cx="26314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Paul Kim</w:t>
      </w:r>
    </w:p>
    <w:p>
      <w:pPr>
        <w:jc w:val="center"/>
        <w:ind w:left="7080"/>
        <w:spacing w:after="0" w:line="234"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jc w:val="center"/>
        <w:ind w:left="70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 connection with the Quarterly Report on Form 10-Q for the quarterly period ended June 30, 2022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8" w:lineRule="exact"/>
        <w:rPr>
          <w:sz w:val="20"/>
          <w:szCs w:val="20"/>
          <w:color w:val="auto"/>
        </w:rPr>
      </w:pPr>
    </w:p>
    <w:p>
      <w:pPr>
        <w:ind w:left="900" w:hanging="35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80" w:hanging="479"/>
        <w:spacing w:after="0" w:line="261" w:lineRule="auto"/>
        <w:tabs>
          <w:tab w:leader="none" w:pos="8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620" w:type="dxa"/>
            <w:vAlign w:val="bottom"/>
          </w:tcPr>
          <w:p>
            <w:pPr>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151"/>
        </w:trPr>
        <w:tc>
          <w:tcPr>
            <w:tcW w:w="3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color w:val="auto"/>
              </w:rPr>
              <w:t>Ming Hsieh</w:t>
            </w:r>
          </w:p>
        </w:tc>
      </w:tr>
      <w:tr>
        <w:trPr>
          <w:trHeight w:val="193"/>
        </w:trPr>
        <w:tc>
          <w:tcPr>
            <w:tcW w:w="3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1"/>
              </w:rPr>
              <w:t>Chief Executive Officer</w:t>
            </w:r>
          </w:p>
        </w:tc>
      </w:tr>
      <w:tr>
        <w:trPr>
          <w:trHeight w:val="230"/>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51"/>
        </w:trPr>
        <w:tc>
          <w:tcPr>
            <w:tcW w:w="3620" w:type="dxa"/>
            <w:vAlign w:val="bottom"/>
          </w:tcPr>
          <w:p>
            <w:pPr>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r>
      <w:tr>
        <w:trPr>
          <w:trHeight w:val="151"/>
        </w:trPr>
        <w:tc>
          <w:tcPr>
            <w:tcW w:w="3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color w:val="auto"/>
                <w:w w:val="99"/>
              </w:rPr>
              <w:t>Paul Kim</w:t>
            </w:r>
          </w:p>
        </w:tc>
      </w:tr>
      <w:tr>
        <w:trPr>
          <w:trHeight w:val="193"/>
        </w:trPr>
        <w:tc>
          <w:tcPr>
            <w:tcW w:w="36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20" w:type="dxa"/>
            <w:vAlign w:val="bottom"/>
          </w:tcPr>
          <w:p>
            <w:pPr>
              <w:jc w:val="center"/>
              <w:spacing w:after="0" w:line="193" w:lineRule="exact"/>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75"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0">
    <w:nsid w:val="1190CDE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29" Type="http://schemas.openxmlformats.org/officeDocument/2006/relationships/hyperlink" Target="https://www.sec.gov/Archives/edgar/data/1674930/000119312516700733/d360404dex31.htm" TargetMode="External"/><Relationship Id="rId330" Type="http://schemas.openxmlformats.org/officeDocument/2006/relationships/hyperlink" Target="https://www.sec.gov/Archives/edgar/data/1674930/000119312516700733/d360404dex311.htm" TargetMode="External"/><Relationship Id="rId331" Type="http://schemas.openxmlformats.org/officeDocument/2006/relationships/hyperlink" Target="https://www.sec.gov/Archives/edgar/data/1674930/000156459017017670/flgt-ex312_342.htm" TargetMode="External"/><Relationship Id="rId332" Type="http://schemas.openxmlformats.org/officeDocument/2006/relationships/hyperlink" Target="https://www.sec.gov/Archives/edgar/data/1674930/000119312516700733/d360404dex32.htm" TargetMode="External"/><Relationship Id="rId333" Type="http://schemas.openxmlformats.org/officeDocument/2006/relationships/hyperlink" Target="https://www.sec.gov/Archives/edgar/data/1674930/000156459022015730/flgt-ex2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2022-08-04T16:35:24Z</dcterms:created>
  <dcterms:modified xsi:type="dcterms:W3CDTF">2022-08-04T16:35:24Z</dcterms:modified>
</cp:coreProperties>
</file>