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4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2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51"/>
        </w:trPr>
        <w:tc>
          <w:tcPr>
            <w:tcW w:w="4500" w:type="dxa"/>
            <w:vAlign w:val="bottom"/>
            <w:gridSpan w:val="2"/>
          </w:tcPr>
          <w:p>
            <w:pPr>
              <w:jc w:val="center"/>
              <w:ind w:left="10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Pr>
          <w:p>
            <w:pPr>
              <w:jc w:val="center"/>
              <w:ind w:right="204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4399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3"/>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3"/>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60" w:type="dxa"/>
            <w:vAlign w:val="bottom"/>
            <w:gridSpan w:val="5"/>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880"/>
              <w:spacing w:after="0" w:line="182"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5"/>
                <w:szCs w:val="15"/>
                <w:color w:val="auto"/>
              </w:rPr>
            </w:pPr>
          </w:p>
        </w:tc>
        <w:tc>
          <w:tcPr>
            <w:tcW w:w="3480" w:type="dxa"/>
            <w:vAlign w:val="bottom"/>
            <w:tcBorders>
              <w:right w:val="single" w:sz="8" w:color="auto"/>
            </w:tcBorders>
          </w:tcPr>
          <w:p>
            <w:pPr>
              <w:jc w:val="center"/>
              <w:ind w:right="100"/>
              <w:spacing w:after="0" w:line="182"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180" w:firstLine="50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9" w:lineRule="exact"/>
        <w:rPr>
          <w:sz w:val="24"/>
          <w:szCs w:val="24"/>
          <w:color w:val="auto"/>
        </w:rPr>
      </w:pPr>
    </w:p>
    <w:p>
      <w:pPr>
        <w:jc w:val="both"/>
        <w:ind w:right="80" w:firstLine="50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16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2023, there were 29,701,246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6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9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8"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7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446,729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$38,302 and $41,205</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580,723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627,873</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150,643</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1,376,767</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1,386,053</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margin loan</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107,848</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50,000 shares authorized, 31,502 and 31,248 shares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respectively, and 29,692 and 29,438 shares outstanding,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 outstanding</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486,585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(17,196 )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(20,903 )</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785,660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1,264,448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1,266,685</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1,268,919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1,269,875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1,376,767</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1,386,053</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-4105275</wp:posOffset>
            </wp:positionV>
            <wp:extent cx="7683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-2527935</wp:posOffset>
            </wp:positionV>
            <wp:extent cx="7683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-1893570</wp:posOffset>
            </wp:positionV>
            <wp:extent cx="7683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7683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320,268</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47,357</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77,725</w:t>
            </w:r>
          </w:p>
        </w:tc>
        <w:tc>
          <w:tcPr>
            <w:tcW w:w="100" w:type="dxa"/>
            <w:vAlign w:val="bottom"/>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43,635</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(24,824 )</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201,933</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(21,049 )</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201,978</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(5,200 )</w:t>
            </w:r>
          </w:p>
        </w:tc>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100" w:type="dxa"/>
            <w:vAlign w:val="bottom"/>
            <w:shd w:val="clear" w:color="auto" w:fill="CFF0FC"/>
          </w:tcPr>
          <w:p>
            <w:pPr>
              <w:spacing w:after="0"/>
              <w:rPr>
                <w:sz w:val="21"/>
                <w:szCs w:val="2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consolidated operations</w:t>
            </w:r>
          </w:p>
        </w:tc>
        <w:tc>
          <w:tcPr>
            <w:tcW w:w="10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(15,849 )</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(15,340 )</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153,979</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attributable to Fulgent:</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(0.52 )</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22"/>
                <w:szCs w:val="22"/>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(0.52 )</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3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-3419475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-2476500</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-2159635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-1842770</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-1525270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-873760</wp:posOffset>
            </wp:positionV>
            <wp:extent cx="131127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275" cy="20574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-205105</wp:posOffset>
            </wp:positionV>
            <wp:extent cx="131127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11275" cy="20574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from consolidated operations</w:t>
            </w:r>
          </w:p>
        </w:tc>
        <w:tc>
          <w:tcPr>
            <w:tcW w:w="106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100" w:type="dxa"/>
            <w:vAlign w:val="bottom"/>
            <w:shd w:val="clear" w:color="auto" w:fill="CFF0FC"/>
          </w:tcPr>
          <w:p>
            <w:pPr>
              <w:spacing w:after="0"/>
              <w:rPr>
                <w:sz w:val="20"/>
                <w:szCs w:val="20"/>
                <w:color w:val="auto"/>
              </w:rPr>
            </w:pPr>
          </w:p>
        </w:tc>
      </w:tr>
      <w:tr>
        <w:trPr>
          <w:trHeight w:val="2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(loss) on available-for-sale debt securities, net of tax</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(11,738 )</w:t>
            </w:r>
          </w:p>
        </w:tc>
      </w:tr>
      <w:tr>
        <w:trPr>
          <w:trHeight w:val="241"/>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from consolidated operations</w:t>
            </w:r>
          </w:p>
        </w:tc>
        <w:tc>
          <w:tcPr>
            <w:tcW w:w="10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141,942</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attributable to noncontrolling interest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(1,790 )</w:t>
            </w:r>
          </w:p>
        </w:tc>
        <w:tc>
          <w:tcPr>
            <w:tcW w:w="10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7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noncontrolling interest</w:t>
            </w:r>
          </w:p>
        </w:tc>
        <w:tc>
          <w:tcPr>
            <w:tcW w:w="1060" w:type="dxa"/>
            <w:vAlign w:val="bottom"/>
          </w:tcPr>
          <w:p>
            <w:pPr>
              <w:spacing w:after="0"/>
              <w:rPr>
                <w:sz w:val="20"/>
                <w:szCs w:val="20"/>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(1,281 )</w:t>
            </w: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r>
      <w:tr>
        <w:trPr>
          <w:trHeight w:val="27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Fulgent</w:t>
            </w:r>
          </w:p>
        </w:tc>
        <w:tc>
          <w:tcPr>
            <w:tcW w:w="106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-350520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92"/>
          </w:cols>
          <w:pgMar w:left="328"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 w:right="22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Balance at December 31, 2022 </w:t>
      </w:r>
      <w:r>
        <w:rPr>
          <w:rFonts w:ascii="Times New Roman" w:cs="Times New Roman" w:eastAsia="Times New Roman" w:hAnsi="Times New Roman"/>
          <w:sz w:val="16"/>
          <w:szCs w:val="16"/>
          <w:color w:val="auto"/>
        </w:rPr>
        <w:t>Equity-based compensation Restricted stock awards</w:t>
      </w:r>
    </w:p>
    <w:p>
      <w:pPr>
        <w:spacing w:after="0" w:line="1" w:lineRule="exact"/>
        <w:rPr>
          <w:sz w:val="20"/>
          <w:szCs w:val="20"/>
          <w:color w:val="auto"/>
        </w:rPr>
      </w:pPr>
    </w:p>
    <w:p>
      <w:pPr>
        <w:ind w:left="12" w:right="260"/>
        <w:spacing w:after="0" w:line="281" w:lineRule="auto"/>
        <w:rPr>
          <w:sz w:val="20"/>
          <w:szCs w:val="20"/>
          <w:color w:val="auto"/>
        </w:rPr>
      </w:pPr>
      <w:r>
        <w:rPr>
          <w:rFonts w:ascii="Times New Roman" w:cs="Times New Roman" w:eastAsia="Times New Roman" w:hAnsi="Times New Roman"/>
          <w:sz w:val="16"/>
          <w:szCs w:val="16"/>
          <w:color w:val="auto"/>
        </w:rPr>
        <w:t>Common stock withholding for employee tax obligations</w:t>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5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Net income (loss)</w:t>
      </w:r>
    </w:p>
    <w:p>
      <w:pPr>
        <w:spacing w:after="0" w:line="8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ng Interest</w:t>
            </w:r>
          </w:p>
        </w:tc>
        <w:tc>
          <w:tcPr>
            <w:tcW w:w="16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(20,903</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801,000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1,266,685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1,269,875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(869 )</w:t>
            </w:r>
          </w:p>
        </w:tc>
        <w:tc>
          <w:tcPr>
            <w:tcW w:w="140" w:type="dxa"/>
            <w:vAlign w:val="bottom"/>
          </w:tcPr>
          <w:p>
            <w:pPr>
              <w:spacing w:after="0"/>
              <w:rPr>
                <w:sz w:val="24"/>
                <w:szCs w:val="24"/>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(869 )</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(15,340 )</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(509 )</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(15,849 )</w:t>
            </w: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29,692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495,981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(17,196</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785,660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1,264,448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1,268,919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-1207770</wp:posOffset>
            </wp:positionV>
            <wp:extent cx="7132320" cy="462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-471170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-170815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312" w:space="300"/>
            <w:col w:w="8580"/>
          </w:cols>
          <w:pgMar w:left="328" w:top="117" w:right="379" w:bottom="1440" w:gutter="0" w:footer="0" w:header="0"/>
          <w:type w:val="continuous"/>
        </w:sectPr>
      </w:pPr>
    </w:p>
    <w:p>
      <w:pPr>
        <w:ind w:left="-8" w:right="560" w:firstLine="8"/>
        <w:spacing w:after="0" w:line="261" w:lineRule="auto"/>
        <w:tabs>
          <w:tab w:leader="none" w:pos="1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2023, 371,006 shares of the Company's common stock were not issued and were held back by the Company as partial security for the indemnification obligations in connection with the business combination of Fulgent Pharma Holdings, Inc., or Fulgent Pharma, in 2022.</w:t>
      </w:r>
    </w:p>
    <w:p>
      <w:pPr>
        <w:spacing w:after="0" w:line="1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2"/>
                <w:szCs w:val="12"/>
                <w:color w:val="auto"/>
              </w:rPr>
            </w:pPr>
          </w:p>
        </w:tc>
        <w:tc>
          <w:tcPr>
            <w:tcW w:w="7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6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ng Interest</w:t>
            </w:r>
          </w:p>
        </w:tc>
        <w:tc>
          <w:tcPr>
            <w:tcW w:w="1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0"/>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30,160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501,908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(759</w:t>
            </w:r>
          </w:p>
        </w:tc>
        <w:tc>
          <w:tcPr>
            <w:tcW w:w="20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657,597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1,158,749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7,131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1,165,880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tax obligations</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(8 )</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(494 )</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(494 )</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(11,734 )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(11,734 )</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(11,615 )</w:t>
            </w:r>
          </w:p>
        </w:tc>
        <w:tc>
          <w:tcPr>
            <w:tcW w:w="0" w:type="dxa"/>
            <w:vAlign w:val="bottom"/>
          </w:tcPr>
          <w:p>
            <w:pPr>
              <w:spacing w:after="0"/>
              <w:rPr>
                <w:sz w:val="1"/>
                <w:szCs w:val="1"/>
                <w:color w:val="auto"/>
              </w:rPr>
            </w:pPr>
          </w:p>
        </w:tc>
      </w:tr>
      <w:tr>
        <w:trPr>
          <w:trHeight w:val="23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153,979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(422 )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30,327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507,046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(12,493 )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811,576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1,306,132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6,828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1,312,960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-1191260</wp:posOffset>
            </wp:positionV>
            <wp:extent cx="7683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-1191260</wp:posOffset>
            </wp:positionV>
            <wp:extent cx="7683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-1191260</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-1191260</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-1191260</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-1191260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-1191260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-179070</wp:posOffset>
            </wp:positionV>
            <wp:extent cx="7683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-179070</wp:posOffset>
            </wp:positionV>
            <wp:extent cx="768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-179070</wp:posOffset>
            </wp:positionV>
            <wp:extent cx="685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-179070</wp:posOffset>
            </wp:positionV>
            <wp:extent cx="685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685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685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-179070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from consolidated operations</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(15,849 )</w:t>
            </w: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153,557</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(113 )</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on disposal of fixed asset</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(179 )</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(discount) premium of marketable securities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(478 )</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(5,200 )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(5,497 )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on marketable securities</w:t>
            </w:r>
          </w:p>
        </w:tc>
        <w:tc>
          <w:tcPr>
            <w:tcW w:w="1200" w:type="dxa"/>
            <w:vAlign w:val="bottom"/>
          </w:tcPr>
          <w:p>
            <w:pPr>
              <w:spacing w:after="0"/>
              <w:rPr>
                <w:sz w:val="19"/>
                <w:szCs w:val="19"/>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(32,924 )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(1,629 )</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(1,855 )</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payable</w:t>
            </w:r>
          </w:p>
        </w:tc>
        <w:tc>
          <w:tcPr>
            <w:tcW w:w="1200" w:type="dxa"/>
            <w:vAlign w:val="bottom"/>
          </w:tcPr>
          <w:p>
            <w:pPr>
              <w:spacing w:after="0"/>
              <w:rPr>
                <w:sz w:val="19"/>
                <w:szCs w:val="19"/>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(9,114 )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(8,231 )</w:t>
            </w:r>
          </w:p>
        </w:tc>
      </w:tr>
      <w:tr>
        <w:trPr>
          <w:trHeight w:val="223"/>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and finance lease liabilities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(1,526 )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(477 )</w:t>
            </w:r>
          </w:p>
        </w:tc>
      </w:tr>
      <w:tr>
        <w:trPr>
          <w:trHeight w:val="223"/>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(143,926 )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(130,133 )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preferred stock of privately held company</w:t>
            </w:r>
          </w:p>
        </w:tc>
        <w:tc>
          <w:tcPr>
            <w:tcW w:w="1200" w:type="dxa"/>
            <w:vAlign w:val="bottom"/>
          </w:tcPr>
          <w:p>
            <w:pPr>
              <w:spacing w:after="0"/>
              <w:rPr>
                <w:sz w:val="19"/>
                <w:szCs w:val="19"/>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(15,000 )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(2,034 )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(5,360 )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Contingent consideration payout related to a business acquisition</w:t>
            </w:r>
          </w:p>
        </w:tc>
        <w:tc>
          <w:tcPr>
            <w:tcW w:w="1200" w:type="dxa"/>
            <w:vAlign w:val="bottom"/>
          </w:tcPr>
          <w:p>
            <w:pPr>
              <w:spacing w:after="0"/>
              <w:rPr>
                <w:sz w:val="19"/>
                <w:szCs w:val="19"/>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141,408</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27,760</w:t>
            </w:r>
          </w:p>
        </w:tc>
        <w:tc>
          <w:tcPr>
            <w:tcW w:w="100" w:type="dxa"/>
            <w:vAlign w:val="bottom"/>
          </w:tcPr>
          <w:p>
            <w:pPr>
              <w:spacing w:after="0"/>
              <w:rPr>
                <w:sz w:val="19"/>
                <w:szCs w:val="19"/>
                <w:color w:val="auto"/>
              </w:rPr>
            </w:pPr>
          </w:p>
        </w:tc>
      </w:tr>
      <w:tr>
        <w:trPr>
          <w:trHeight w:val="233"/>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1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(4,354 )</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9"/>
                <w:szCs w:val="19"/>
                <w:color w:val="auto"/>
              </w:rPr>
            </w:pPr>
          </w:p>
        </w:tc>
      </w:tr>
      <w:tr>
        <w:trPr>
          <w:trHeight w:val="22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withholding for employee tax obligations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(869 )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(494 )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paid for finance lease</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(232 )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r>
      <w:tr>
        <w:trPr>
          <w:trHeight w:val="233"/>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(1,101 )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(934 )</w:t>
            </w:r>
          </w:p>
        </w:tc>
      </w:tr>
      <w:tr>
        <w:trPr>
          <w:trHeight w:val="22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200" w:type="dxa"/>
            <w:vAlign w:val="bottom"/>
          </w:tcPr>
          <w:p>
            <w:pPr>
              <w:spacing w:after="0"/>
              <w:rPr>
                <w:sz w:val="19"/>
                <w:szCs w:val="19"/>
                <w:color w:val="auto"/>
              </w:rPr>
            </w:pPr>
          </w:p>
        </w:tc>
        <w:tc>
          <w:tcPr>
            <w:tcW w:w="10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(13,334 )</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188,175</w:t>
            </w:r>
          </w:p>
        </w:tc>
        <w:tc>
          <w:tcPr>
            <w:tcW w:w="100" w:type="dxa"/>
            <w:vAlign w:val="bottom"/>
          </w:tcPr>
          <w:p>
            <w:pPr>
              <w:spacing w:after="0"/>
              <w:rPr>
                <w:sz w:val="19"/>
                <w:szCs w:val="19"/>
                <w:color w:val="auto"/>
              </w:rPr>
            </w:pPr>
          </w:p>
        </w:tc>
      </w:tr>
      <w:tr>
        <w:trPr>
          <w:trHeight w:val="23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79,506</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66,172</w:t>
            </w: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353,069</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320" w:type="dxa"/>
            <w:vAlign w:val="bottom"/>
          </w:tcPr>
          <w:p>
            <w:pPr>
              <w:spacing w:after="0"/>
              <w:rPr>
                <w:sz w:val="19"/>
                <w:szCs w:val="19"/>
                <w:color w:val="auto"/>
              </w:rPr>
            </w:pP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 in other current liabilities</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320" w:type="dxa"/>
            <w:vAlign w:val="bottom"/>
          </w:tcPr>
          <w:p>
            <w:pPr>
              <w:spacing w:after="0"/>
              <w:rPr>
                <w:sz w:val="19"/>
                <w:szCs w:val="19"/>
                <w:color w:val="auto"/>
              </w:rPr>
            </w:pP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fixed assets in accounts payable</w:t>
            </w:r>
          </w:p>
        </w:tc>
        <w:tc>
          <w:tcPr>
            <w:tcW w:w="120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shd w:val="clear" w:color="auto" w:fill="CFF0FC"/>
          </w:tcPr>
          <w:p>
            <w:pPr>
              <w:spacing w:after="0"/>
              <w:rPr>
                <w:sz w:val="20"/>
                <w:szCs w:val="20"/>
                <w:color w:val="auto"/>
              </w:rPr>
            </w:pPr>
          </w:p>
        </w:tc>
      </w:tr>
      <w:tr>
        <w:trPr>
          <w:trHeight w:val="21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fixed assets in notes payable</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-3716020</wp:posOffset>
            </wp:positionV>
            <wp:extent cx="685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-3716020</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-2541905</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-2541905</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-1650365</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-1650365</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-1341755</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-1341755</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-1041400</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-1041400</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clinical diagnostic business and a therapeutic development business. Its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2022, which are included in the Company’s annual report on Form 10-K filed with the Securities and Exchange Commission, or SEC, on February 28, 2023, or the 2022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2022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2022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See the summary of the Company’s significant accounting policies set forth in the notes to its consolidated financial statements included in the 2022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first quarters of 2023 and 2022, the Company recorded $(113,000) and $11.6 million of provision for credit losses for trade accounts receivable,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 Investment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$13.0 million as of March 31, 2023 represents the fair value of redeemable preferred stock of a private company that the Company purchased in July 2021. The investment is classified as available-for-sale debt securities. The fair value of available-for-sale debt security is included in the Condensed Consolidated Statement of Balance Sheets. Unrealized gain of $597,000 is excluded from earnings and reported in other comprehensive loss in the first quarter of 2023, and unrealized loss of $4.4 million is excluded from earnings and reported in other comprehensive loss in the first quarter of 2022. Since the Company intends on holding the preferred stock, and the preferred stock is not redeemable until July 2027, the investment is recorded as a long-term investment.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Losses from these remeasurements were not significant in the first quarters of 2023 and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There were no reclassifications from other comprehensive income (loss) to net loss in the first quarter of 2023, and reclassification from other comprehensive income (loss) to net earnings was not significant in the first quarter of 2022. The tax effects related to net unrealized loss on available-for-sale debt securities were $1.9 million and $4.5 million in the first quarters of 2023 and 2022,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certain periods, a small number of customers have accounted for a significant portion of the Company’s revenue. After aggregating customers that are under common control or affiliation, no customer contributed 10% or more of the Company’s revenue in the first quarter of 2023, and one customer contributed 27% of the Company’s revenue in the first quarter of 2022. One customer comprised 21% and 17% of total accounts receivable, net, as of March 31, 2023 and December 31, 2022,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Insurance, including claim reimbursement from the U.S. Health Resources and Services Administration, or HRSA, for uninsured individuals, (ii) Institutions, including hospitals, medical institutions, other laboratories, governmental bodies, municipalities and large corporations, or (iii) Patients who pay directly; as the Company believes these classifications best depict how the nature, amount, timing, and uncertainty of its revenue and cash flows are affected by economic factors. The following table summarizes revenue from contracts with customers by payor type for the first quarters of 2023 and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184"/>
        </w:trPr>
        <w:tc>
          <w:tcPr>
            <w:tcW w:w="6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3"/>
        </w:trPr>
        <w:tc>
          <w:tcPr>
            <w:tcW w:w="6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Testing Services by payor</w:t>
            </w:r>
          </w:p>
        </w:tc>
        <w:tc>
          <w:tcPr>
            <w:tcW w:w="1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1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210,677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1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109,468</w:t>
            </w:r>
          </w:p>
        </w:tc>
        <w:tc>
          <w:tcPr>
            <w:tcW w:w="100" w:type="dxa"/>
            <w:vAlign w:val="bottom"/>
            <w:shd w:val="clear" w:color="auto" w:fill="CFF0FC"/>
          </w:tcPr>
          <w:p>
            <w:pPr>
              <w:spacing w:after="0"/>
              <w:rPr>
                <w:sz w:val="21"/>
                <w:szCs w:val="21"/>
                <w:color w:val="auto"/>
              </w:rPr>
            </w:pPr>
          </w:p>
        </w:tc>
      </w:tr>
      <w:tr>
        <w:trPr>
          <w:trHeight w:val="24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1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r>
      <w:tr>
        <w:trPr>
          <w:trHeight w:val="27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insurance revenue category above includes zero and $106.7 million for the first quarters of 2023 and 2022, respectively, for services related to claims covered by the HRSA COVID-19 Uninsured Program.</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was no material variable consideration recognized in the current period that relates to performance obligations that were completed in the prior period.</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Provided the Company has billed insurers accurately with complete information prior to the established filing deadline, collection of the Company’s net revenues from insurers is normally a function of providing complete and correct billing information within the various filing deadlines. If there has been a delay in billing, the Company determines if the amounts in question will likely go past the filing deadline, and if so, the Company will reserve accordingly for the billing.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Net receivable from Insurance and Institutional customers represented 14% and 86%, respectively, as of both March 31, 2023 and December 31, 2022.</w:t>
      </w:r>
    </w:p>
    <w:p>
      <w:pPr>
        <w:spacing w:after="0" w:line="17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$1.3 million and $11.1 million were recognized for the first quarters of 2023 and 2022, respectively, related to contract liabilities at the beginning of the respective periods.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Deposit</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Customer deposit in the accompanying Condensed Consolidated Balance Sheets consists of payments received from customers in excess of their outstanding trade accounts receivable balances. These deposits will be offset against future testing receivables or refunded to the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51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4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(3,233 )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173,471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(2,383 )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(476 )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67,883</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(26,846 )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(26,846 )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(6,226 )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438,313</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(3,838 )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182,265</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(2,456 )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121,596</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(2,717 )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48,341</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(121 )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(7,018 )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shd w:val="clear" w:color="auto" w:fill="CFF0FC"/>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(16,231 )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376,290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21"/>
                <w:szCs w:val="21"/>
                <w:color w:val="auto"/>
              </w:rPr>
            </w:pPr>
          </w:p>
        </w:tc>
      </w:tr>
      <w:tr>
        <w:trPr>
          <w:trHeight w:val="237"/>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(22,512 )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818,128</w:t>
            </w:r>
          </w:p>
        </w:tc>
        <w:tc>
          <w:tcPr>
            <w:tcW w:w="100" w:type="dxa"/>
            <w:vAlign w:val="bottom"/>
          </w:tcPr>
          <w:p>
            <w:pPr>
              <w:spacing w:after="0"/>
              <w:rPr>
                <w:sz w:val="20"/>
                <w:szCs w:val="20"/>
                <w:color w:val="auto"/>
              </w:rPr>
            </w:pPr>
          </w:p>
        </w:tc>
      </w:tr>
      <w:tr>
        <w:trPr>
          <w:trHeight w:val="277"/>
        </w:trPr>
        <w:tc>
          <w:tcPr>
            <w:tcW w:w="4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854,616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-4293870</wp:posOffset>
            </wp:positionV>
            <wp:extent cx="7747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-4293870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-4293870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-2733675</wp:posOffset>
            </wp:positionV>
            <wp:extent cx="7747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-2733675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-2733675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-1482090</wp:posOffset>
            </wp:positionV>
            <wp:extent cx="7747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-1482090</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-1482090</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-839470</wp:posOffset>
            </wp:positionV>
            <wp:extent cx="7747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-839470</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-513715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-496570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-513715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-513715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-496570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51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4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(3,373 )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(2,222 )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(32,444 )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(32,444 )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(6,215 )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(6,349 )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(3,435 )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(4,756 )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(7,615 )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(22,457 )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(28,755 )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829,515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-3796665</wp:posOffset>
            </wp:positionV>
            <wp:extent cx="7747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-3796665</wp:posOffset>
            </wp:positionV>
            <wp:extent cx="6858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-3796665</wp:posOffset>
            </wp:positionV>
            <wp:extent cx="6858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-2245360</wp:posOffset>
            </wp:positionV>
            <wp:extent cx="7747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-2245360</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-2245360</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-993775</wp:posOffset>
            </wp:positionV>
            <wp:extent cx="7747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-993775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-993775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-350520</wp:posOffset>
            </wp:positionV>
            <wp:extent cx="7747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-350520</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-350520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Gross unrealized losses on the Company’s equity and debt securities were $22.5 million and $28.8 million as of March 31, 2023 and December 31, 2022, respectively. The Company did not recognize any credit losses for its available-for-sale debt securities during the first quarters of 2023 and 2022.</w:t>
      </w:r>
    </w:p>
    <w:p>
      <w:pPr>
        <w:spacing w:after="0" w:line="14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Company’s marketable securities of $478.0 million, managed by the custodian of the Company’s marketable debt security investment account, of which the Company has an outstanding margin loan, is used as collateral for the margin account borrowing. See Note 8, </w:t>
      </w:r>
      <w:r>
        <w:rPr>
          <w:rFonts w:ascii="Times New Roman" w:cs="Times New Roman" w:eastAsia="Times New Roman" w:hAnsi="Times New Roman"/>
          <w:sz w:val="18"/>
          <w:szCs w:val="18"/>
          <w:i w:val="1"/>
          <w:iCs w:val="1"/>
          <w:color w:val="auto"/>
        </w:rPr>
        <w:t>Debt,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more information on the margin loan.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20" w:right="42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 w:name="page14"/>
    <w:bookmarkEnd w:id="13"/>
    <w:p>
      <w:pPr>
        <w:ind w:left="1620" w:right="50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w:t>
      </w:r>
    </w:p>
    <w:p>
      <w:pPr>
        <w:spacing w:after="0" w:line="81" w:lineRule="exact"/>
        <w:rPr>
          <w:sz w:val="20"/>
          <w:szCs w:val="20"/>
          <w:color w:val="auto"/>
        </w:rPr>
      </w:pPr>
    </w:p>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are unobservable for the asset or liability.</w:t>
      </w:r>
    </w:p>
    <w:p>
      <w:pPr>
        <w:spacing w:after="0" w:line="3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9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16510</wp:posOffset>
            </wp:positionV>
            <wp:extent cx="40030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9" w:lineRule="exact"/>
        <w:rPr>
          <w:sz w:val="20"/>
          <w:szCs w:val="20"/>
          <w:color w:val="auto"/>
        </w:rPr>
      </w:pPr>
    </w:p>
    <w:p>
      <w:pPr>
        <w:ind w:left="5360"/>
        <w:spacing w:after="0"/>
        <w:tabs>
          <w:tab w:leader="none" w:pos="6940" w:val="left"/>
          <w:tab w:leader="none" w:pos="8580" w:val="left"/>
          <w:tab w:leader="none" w:pos="1020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15875</wp:posOffset>
            </wp:positionV>
            <wp:extent cx="4003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355,736</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355,736</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208,894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208,894</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67,883</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859,974</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79,785</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752,207</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332,048</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332,048</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833,206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708,568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March 31, 2023, the Company had preferred stock of a privately held company, which was included in other long-term assets in the accompanying Condensed Consolidated Balance Sheets, and redeemable preferred stock of a private company that were measured using unobservable (Level 3) inputs. The fair value of redeemable preferred stock as of March 31, 2023 and December 31, 2022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March 31, 2023.</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first quarters of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300" w:type="dxa"/>
            <w:vAlign w:val="bottom"/>
            <w:tcBorders>
              <w:bottom w:val="single" w:sz="8" w:color="auto"/>
            </w:tcBorders>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 months to 12 Years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39 Years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 months to 39 Years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to 15 Years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to 7 Years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(46,139 )</w:t>
            </w: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(43,281 )</w:t>
            </w:r>
          </w:p>
        </w:tc>
        <w:tc>
          <w:tcPr>
            <w:tcW w:w="0" w:type="dxa"/>
            <w:vAlign w:val="bottom"/>
          </w:tcPr>
          <w:p>
            <w:pPr>
              <w:spacing w:after="0"/>
              <w:rPr>
                <w:sz w:val="1"/>
                <w:szCs w:val="1"/>
                <w:color w:val="auto"/>
              </w:rPr>
            </w:pPr>
          </w:p>
        </w:tc>
      </w:tr>
      <w:tr>
        <w:trPr>
          <w:trHeight w:val="237"/>
        </w:trPr>
        <w:tc>
          <w:tcPr>
            <w:tcW w:w="4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79,083</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-505460</wp:posOffset>
            </wp:positionV>
            <wp:extent cx="7683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768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expenses on fixed assets totaled $4.7 million and $3.7 million for the first quarters of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1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20"/>
                <w:szCs w:val="20"/>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14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-187960</wp:posOffset>
            </wp:positionV>
            <wp:extent cx="7747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jc w:val="both"/>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Other long-term liabilities primarily include operating and finance lease liabilities, long-term,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notes payable, long-term, see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Reporting Segment and Geographic Information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Long-lived assets were primarily located in the United States as of March 31, 2023 and December 31, 2022. Revenue by region during the first quarters of 2023 and 2022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5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7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62,062</w:t>
            </w: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5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6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-685165</wp:posOffset>
            </wp:positionV>
            <wp:extent cx="7747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2023, the Company had an outstanding borrowing of $15.0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The EFFR and/or the spread can be changed by BNY Mellon at any time. The interest was 1% at the time of withdrawal of $15.0 million from the margin account, and the interest rate at March 31, 2023 was 5%. The Company did not make any other withdrawals from the margin account, and the outstanding balance is included in the accompanying Condensed Consolidated Balance Sheets. The related interest expenses for the first quarters of 2023 and 2022 were $200,000 and $29,000, respectively.</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Notes payable as of March 31, 2023 consisted of $3.4 million of notes payable related to an installment sale contract the Company entered in February 2022 for a building and $5.2 million of notes payable to Xilong Scientific Co., or Xilong Scientific, by Fujian Fujun Gene Biotech Co., Ltd., or</w:t>
      </w:r>
    </w:p>
    <w:p>
      <w:pPr>
        <w:ind w:right="20" w:firstLine="8"/>
        <w:spacing w:after="0" w:line="253"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Biotech. The notes payable related to the installment sale are due in February 2030, and the interest rate is 1.08%. The current portion and noncurrent portion are $408,000 and $3.0 million, respectively, and the noncurrent portion is included in the other long-term liabilities in the accompanying Condensed Consolidated Balance Sheets. The notes payable to Xilong Scientific were extended to and are due on December 31, 2023, and the interest rate on the loan is 4.97%. The related interest expenses for the first quarters of 2023 and 2022 were $75,000 and $78,000,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had non-cancelable purchase obligations of $17.8 million, of which, $8.4 million for computer software and hardware, $3.3 million for services, $2.4 million for reagents and other supplies, and $487,000 for medical lab equipment are payable within twelve months, and $2.4 million for computer software and $885,000 for services are payable within the next thirty-six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As previously disclosed in the Company’s Exchange Act reports, the SEC is also conducting a non-public formal investigation, which appears to relate to the matters raised in the CID requests and our Exchange Act reports filed for 2018 through 2020. The Company is fully cooperating with the U.S. Department of Justice and the SEC to promptly respond to the requests for information in this CID and investigation and does not presently expect this CID or resulting investigation or the SEC investigation to have a material adverse impact. However, the Company cannot predict when these matters will be resolved, the outcome of these matters, or their potential impact, which may ultimately be greater than what the Company currently expects.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Temple City, California; Irving, Texas; Needham, Massachusetts; Phoenix, Arizona; Alpharetta, Georgia; and New York, New York.</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March 31, 2023 and December 31, 2022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5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54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5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54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5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54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were operating and finance lease expenses: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5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4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4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54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and finance leases were the following:</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 years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52"/>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finance lease</w:t>
            </w: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-1365250</wp:posOffset>
            </wp:positionV>
            <wp:extent cx="7747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gridSpan w:val="2"/>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(remaining 9 months)</w:t>
            </w:r>
          </w:p>
        </w:tc>
        <w:tc>
          <w:tcPr>
            <w:tcW w:w="3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0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(815 )</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7"/>
        </w:trPr>
        <w:tc>
          <w:tcPr>
            <w:tcW w:w="3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6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-993775</wp:posOffset>
            </wp:positionV>
            <wp:extent cx="7747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-676275</wp:posOffset>
            </wp:positionV>
            <wp:extent cx="7747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out space in buildings it owns and leases to third-party tenants under noncancelable operating leases. As of March 31, 2023, the remaining lease terms range from 9 months to 21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lease income was included in interest and other income, net, in the accompanying Condensed Consolidated Statements of Operations. Total lease income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6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fixed lease payments from tenants for all noncancelable operating leases as March 31, 2023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6"/>
                <w:szCs w:val="16"/>
                <w:color w:val="auto"/>
              </w:rPr>
            </w:pPr>
          </w:p>
        </w:tc>
      </w:tr>
      <w:tr>
        <w:trPr>
          <w:trHeight w:val="226"/>
        </w:trPr>
        <w:tc>
          <w:tcPr>
            <w:tcW w:w="8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from Tenants</w:t>
            </w:r>
          </w:p>
        </w:tc>
        <w:tc>
          <w:tcPr>
            <w:tcW w:w="100" w:type="dxa"/>
            <w:vAlign w:val="bottom"/>
          </w:tcPr>
          <w:p>
            <w:pPr>
              <w:spacing w:after="0"/>
              <w:rPr>
                <w:sz w:val="19"/>
                <w:szCs w:val="19"/>
                <w:color w:val="auto"/>
              </w:rPr>
            </w:pPr>
          </w:p>
        </w:tc>
      </w:tr>
      <w:tr>
        <w:trPr>
          <w:trHeight w:val="237"/>
        </w:trPr>
        <w:tc>
          <w:tcPr>
            <w:tcW w:w="8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40" w:type="dxa"/>
            <w:vAlign w:val="bottom"/>
            <w:shd w:val="clear" w:color="auto" w:fill="CFF0FC"/>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(remaining 9 months)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r>
      <w:tr>
        <w:trPr>
          <w:trHeight w:val="247"/>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0"/>
                <w:szCs w:val="20"/>
                <w:color w:val="auto"/>
              </w:rPr>
            </w:pPr>
          </w:p>
        </w:tc>
      </w:tr>
      <w:tr>
        <w:trPr>
          <w:trHeight w:val="27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(Benefit from) Provision for 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$(5.2) million for the first quarter of 2023 and a consolidated provision for income taxes of $48.4 million for the first quarter of 2022. The Company’s effective tax rate was (25%) for the first quarter of 2023 compared with 24% for the first quarter of 2022.</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is not currently under examination by any major income tax jurisdiction. During 2023, the statutes of limitations will lapse on the Company’s 2019 federal tax year and certain 2018 and 2019 state tax years. The Company does not believe the federal or state statute lapses or any other event will significantly impact the balance of unrecognized tax benefits in the next twelve months.</w:t>
      </w:r>
    </w:p>
    <w:p>
      <w:pPr>
        <w:sectPr>
          <w:pgSz w:w="11900" w:h="16838" w:orient="portrait"/>
          <w:cols w:equalWidth="0" w:num="1">
            <w:col w:w="11240"/>
          </w:cols>
          <w:pgMar w:left="320" w:top="44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income (loss) per share for the first quarters of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6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Fulgent</w:t>
            </w:r>
          </w:p>
        </w:tc>
        <w:tc>
          <w:tcPr>
            <w:tcW w:w="116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(15,340 )</w:t>
            </w:r>
          </w:p>
        </w:tc>
        <w:tc>
          <w:tcPr>
            <w:tcW w:w="1460" w:type="dxa"/>
            <w:vAlign w:val="bottom"/>
            <w:gridSpan w:val="2"/>
            <w:shd w:val="clear" w:color="auto" w:fill="CFF0FC"/>
          </w:tcPr>
          <w:p>
            <w:pPr>
              <w:jc w:val="center"/>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153,979</w:t>
            </w:r>
          </w:p>
        </w:tc>
        <w:tc>
          <w:tcPr>
            <w:tcW w:w="100" w:type="dxa"/>
            <w:vAlign w:val="bottom"/>
            <w:shd w:val="clear" w:color="auto" w:fill="CFF0FC"/>
          </w:tcPr>
          <w:p>
            <w:pPr>
              <w:spacing w:after="0"/>
              <w:rPr>
                <w:sz w:val="24"/>
                <w:szCs w:val="24"/>
                <w:color w:val="auto"/>
              </w:rPr>
            </w:pPr>
          </w:p>
        </w:tc>
      </w:tr>
      <w:tr>
        <w:trPr>
          <w:trHeight w:val="224"/>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shares—outstanding, basic</w:t>
            </w:r>
          </w:p>
        </w:tc>
        <w:tc>
          <w:tcPr>
            <w:tcW w:w="1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00" w:type="dxa"/>
            <w:vAlign w:val="bottom"/>
            <w:tcBorders>
              <w:top w:val="single" w:sz="8" w:color="CFF0FC"/>
            </w:tcBorders>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shares—outstanding, diluted</w:t>
            </w:r>
          </w:p>
        </w:tc>
        <w:tc>
          <w:tcPr>
            <w:tcW w:w="1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460" w:type="dxa"/>
            <w:vAlign w:val="bottom"/>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1160" w:type="dxa"/>
            <w:vAlign w:val="bottom"/>
            <w:tcBorders>
              <w:bottom w:val="single" w:sz="8" w:color="auto"/>
            </w:tcBorders>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center"/>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-745490</wp:posOffset>
            </wp:positionV>
            <wp:extent cx="149161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91615" cy="2057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-385445</wp:posOffset>
            </wp:positionV>
            <wp:extent cx="149161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91615" cy="20574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income (loss) per share because their effect would have been anti-dilutive:</w:t>
      </w:r>
    </w:p>
    <w:p>
      <w:pPr>
        <w:spacing w:after="0" w:line="16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r>
      <w:tr>
        <w:trPr>
          <w:trHeight w:val="247"/>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first quarter of 2023, the Company had outstanding stock options and restricted stock unit and contingently issuable shares for held back related shares to the business combination of Fulgent Pharma that were excluded from the weighted-average share calculation for continuing operations due to the Company’s net loss positions.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or the Board, is currently the Senior Executive Vice President of AHMC Healthcare Inc., or AHMC. The Company performs genetic testing and other testing services, on an arms-length basis, for AHMC, and the Company recognized $95,000 and $775,000 in revenue from AHMC in the first quarters of 2023 and 2022, respectively. As of March 31, 2023 and December 31, 2022, $66,000 and $93,000, respectively, was owed to the Company by AHMC, which is included in trade accounts receivable, net, in the accompanying Condensed Consolidated Balance Sheets, in connection with this relationship.</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Ming Hsieh, the Chief Executive Officer and Chairperson of the Board, is on the board of directors and a 20% owner of ANP Technologies, Inc., or ANP, from which the Company purchased COVID-19 antigen rapid test kits and entered into certain drug-related licensing and development service agreements. The President and Chief Scientific Officer of Fulgent Pharma, Ray Yin, is the Founder, President and Chief Technology Officer of ANP. The Company incurred $959,000 related to the licensing and development services and purchases of COVID-19 antigen rapid test kits in the first quarter of 2023. No costs were incurred in the first quarter of 2022. As of March 31, 2023, and December 31, 2022, $890,000 and $607,000, respectively, were owed to ANP by the Company in connection with these relationships.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14. Goodwill and Acquisition-Related Intangibles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Summaries of goodwill and intangibles balances assets as of March 31, 2023 and December 31, 2022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32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0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7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(894 )</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(7,814 )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(6,215 )</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74,941</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-4276725</wp:posOffset>
            </wp:positionV>
            <wp:extent cx="114871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48715" cy="1803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In-Process Research and Development, or IPR&amp;D, which is related to a business combination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first quarter of 2023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143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Pr>
          <w:p>
            <w:pPr>
              <w:spacing w:after="0"/>
              <w:rPr>
                <w:sz w:val="20"/>
                <w:szCs w:val="20"/>
                <w:color w:val="auto"/>
              </w:rPr>
            </w:pPr>
          </w:p>
        </w:tc>
      </w:tr>
      <w:tr>
        <w:trPr>
          <w:trHeight w:val="247"/>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40" w:type="dxa"/>
            <w:vAlign w:val="bottom"/>
            <w:tcBorders>
              <w:bottom w:val="single" w:sz="8" w:color="auto"/>
            </w:tcBorders>
            <w:shd w:val="clear" w:color="auto" w:fill="CFF0FC"/>
          </w:tcPr>
          <w:p>
            <w:pPr>
              <w:spacing w:after="0"/>
              <w:rPr>
                <w:sz w:val="21"/>
                <w:szCs w:val="21"/>
                <w:color w:val="auto"/>
              </w:rPr>
            </w:pPr>
          </w:p>
        </w:tc>
        <w:tc>
          <w:tcPr>
            <w:tcW w:w="2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Pr>
          <w:p>
            <w:pPr>
              <w:spacing w:after="0"/>
              <w:rPr>
                <w:sz w:val="20"/>
                <w:szCs w:val="20"/>
                <w:color w:val="auto"/>
              </w:rPr>
            </w:pPr>
          </w:p>
        </w:tc>
      </w:tr>
      <w:tr>
        <w:trPr>
          <w:trHeight w:val="261"/>
        </w:trPr>
        <w:tc>
          <w:tcPr>
            <w:tcW w:w="75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differences</w:t>
            </w: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7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75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2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0" w:name="page21"/>
    <w:bookmarkEnd w:id="20"/>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finite-lived intangible assets recorded as of March 31, 2023, and assuming no subsequent impairment of the underlying assets, the annual amortization expense for intangible assets is expected to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143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(remaining 9 months)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40,497</w:t>
            </w:r>
          </w:p>
        </w:tc>
        <w:tc>
          <w:tcPr>
            <w:tcW w:w="100" w:type="dxa"/>
            <w:vAlign w:val="bottom"/>
          </w:tcPr>
          <w:p>
            <w:pPr>
              <w:spacing w:after="0"/>
              <w:rPr>
                <w:sz w:val="21"/>
                <w:szCs w:val="21"/>
                <w:color w:val="auto"/>
              </w:rPr>
            </w:pPr>
          </w:p>
        </w:tc>
      </w:tr>
      <w:tr>
        <w:trPr>
          <w:trHeight w:val="277"/>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first quarters of 2023 and 2022, the Company did not repurchase any shares of its common stock. As of March 31, 2023, a total of approximately $175.7 million remained available for future repurchases of its common stock under the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1, 2023, no subsequent events are being reported.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2022 filed with the SEC on February 28, 2023, or the 2022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2022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technology-based company with a well-established clinical diagnostic business and a therapeutic development business. Our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 We aim to transform from a genomic diagnostic business into a fully integrated precision medicine company.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Part I of the 2022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2022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our results of our continuing operations for each of the periods presented. For a financial overview relating to our results of operations, including general descriptions of the make-up of material line items of our statement of operation data, see “Item 7. Management’s Discussion and Analysis of Financial Condition and Results of Operations” of the 2022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7"/>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66,168</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320,268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(254,100 )</w:t>
            </w:r>
          </w:p>
        </w:tc>
        <w:tc>
          <w:tcPr>
            <w:tcW w:w="102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47,357</w:t>
            </w: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77,725</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(30,368 )</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18,811</w:t>
            </w: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242,543</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(223,732 )</w:t>
            </w:r>
          </w:p>
        </w:tc>
        <w:tc>
          <w:tcPr>
            <w:tcW w:w="1020" w:type="dxa"/>
            <w:vAlign w:val="bottom"/>
            <w:tcBorders>
              <w:bottom w:val="single" w:sz="8" w:color="CFF0FC"/>
            </w:tcBorders>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(92%)</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7"/>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9,782</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3,793</w:t>
            </w:r>
          </w:p>
        </w:tc>
        <w:tc>
          <w:tcPr>
            <w:tcW w:w="102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63%</w:t>
            </w:r>
          </w:p>
        </w:tc>
      </w:tr>
      <w:tr>
        <w:trPr>
          <w:trHeight w:val="23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10,083</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2,143</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21,802</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25,775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(3,973 )</w:t>
            </w:r>
          </w:p>
        </w:tc>
        <w:tc>
          <w:tcPr>
            <w:tcW w:w="102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1,062</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117%</w:t>
            </w:r>
          </w:p>
        </w:tc>
      </w:tr>
      <w:tr>
        <w:trPr>
          <w:trHeight w:val="23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43,635</w:t>
            </w: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40,610</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3,025</w:t>
            </w:r>
          </w:p>
        </w:tc>
        <w:tc>
          <w:tcPr>
            <w:tcW w:w="1020" w:type="dxa"/>
            <w:vAlign w:val="bottom"/>
            <w:tcBorders>
              <w:bottom w:val="single" w:sz="8" w:color="CFF0FC"/>
            </w:tcBorders>
            <w:gridSpan w:val="2"/>
            <w:shd w:val="clear" w:color="auto" w:fill="CFF0FC"/>
          </w:tcPr>
          <w:p>
            <w:pPr>
              <w:jc w:val="center"/>
              <w:ind w:left="51"/>
              <w:spacing w:after="0"/>
              <w:rPr>
                <w:sz w:val="20"/>
                <w:szCs w:val="20"/>
                <w:color w:val="auto"/>
              </w:rPr>
            </w:pPr>
            <w:r>
              <w:rPr>
                <w:rFonts w:ascii="Times New Roman" w:cs="Times New Roman" w:eastAsia="Times New Roman" w:hAnsi="Times New Roman"/>
                <w:sz w:val="18"/>
                <w:szCs w:val="18"/>
                <w:color w:val="auto"/>
                <w:w w:val="99"/>
              </w:rPr>
              <w:t>7%</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(24,824 )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201,933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(226,757 )</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(112%)</w:t>
            </w: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3,775</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3,730</w:t>
            </w:r>
          </w:p>
        </w:tc>
        <w:tc>
          <w:tcPr>
            <w:tcW w:w="1020" w:type="dxa"/>
            <w:vAlign w:val="bottom"/>
            <w:tcBorders>
              <w:bottom w:val="single" w:sz="8" w:color="CFF0FC"/>
            </w:tcBorders>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7"/>
              </w:rPr>
              <w:t>8,289%</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(21,049 )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201,978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(223,027 )</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(110%)</w:t>
            </w: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48,421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(53,621 )</w:t>
            </w:r>
          </w:p>
        </w:tc>
        <w:tc>
          <w:tcPr>
            <w:tcW w:w="1020" w:type="dxa"/>
            <w:vAlign w:val="bottom"/>
            <w:tcBorders>
              <w:bottom w:val="single" w:sz="8" w:color="CFF0FC"/>
            </w:tcBorders>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w w:val="99"/>
              </w:rPr>
              <w:t>(111%)</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consolidated operations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153,557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(169,406 )</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(110%)</w:t>
            </w: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tcBorders>
              <w:bottom w:val="single" w:sz="8" w:color="CFF0FC"/>
            </w:tcBorders>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(15,340 )</w:t>
            </w:r>
          </w:p>
        </w:tc>
        <w:tc>
          <w:tcPr>
            <w:tcW w:w="7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153,979</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(169,319 )</w:t>
            </w:r>
          </w:p>
        </w:tc>
        <w:tc>
          <w:tcPr>
            <w:tcW w:w="10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(110%)</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-2579370</wp:posOffset>
            </wp:positionV>
            <wp:extent cx="10287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-2579370</wp:posOffset>
            </wp:positionV>
            <wp:extent cx="10287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-1636395</wp:posOffset>
            </wp:positionV>
            <wp:extent cx="10287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-1636395</wp:posOffset>
            </wp:positionV>
            <wp:extent cx="10287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-1319530</wp:posOffset>
            </wp:positionV>
            <wp:extent cx="10287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-1319530</wp:posOffset>
            </wp:positionV>
            <wp:extent cx="10287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-1002665</wp:posOffset>
            </wp:positionV>
            <wp:extent cx="10287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-1002665</wp:posOffset>
            </wp:positionV>
            <wp:extent cx="10287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-685165</wp:posOffset>
            </wp:positionV>
            <wp:extent cx="10287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-685165</wp:posOffset>
            </wp:positionV>
            <wp:extent cx="10287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Revenue decreased $254.1 million, or 79%, from $320.3 million in the first quarter of 2022 to $66.2 million in the first quarter of 2023. The decrease in revenue between periods were primarily due to decreased orders for our COVID-19 tests.</w:t>
      </w:r>
    </w:p>
    <w:p>
      <w:pPr>
        <w:spacing w:after="0" w:line="16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$1.0 million, or 33%, from $3.1 million in the first quarter of 2022 to $4.1 million in the first quarter of 2023. The increase in revenue from non-U.S. sources between periods were primarily due to increased sales of our traditional genetic testing services to customers in China through our joint venture in China.</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After aggregating customers that are under common control or affiliation, no customer contributed 10% or more of the Company’s revenue in the first quarter of 2023, and one customer contributed 27% of the Company’s revenue in the first quarter of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Cost of revenue decreased $30.4 million, or 39%, from $77.7 million in the first quarter of 2022 to $47.4 million in the first quarter of 2023. The decrease was primarily due to decreases of $20.2 million in reagents and supply expense, $17.7 million in consulting and outside labor costs, $2.1 million in shipping and handling expense, $1.1 million in external customer engagement platform expense related to the decreased tests delivered and orders for our COVID-19 tests, and $1.2 million in depreciation expenses, partially offset by an increase of $12.3 million in personnel costs including equity-based compensation expense due to increased headcount.</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gross profit decreased $223.7 million, from $242.5 million in the first quarter of 2022 to $18.8 million in the first quarter of 2023. The decrease in gross profit was primarily due to the decrease in revenue from our COVID-19 tests. Our gross profit as a percentage of revenue, or gross margin, decreased from 75.7% to 28.4% due to changes in product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$3.8 million, or 63%, from $6.0 million in the first quarter of 2022 to $9.8 million in the first quarter of 2023. The increase was primarily due to increases of $3.3 million in personnel costs including equity-based compensation expense due to increased headcount and $418,000 in consulting and outside labor costs related to continued development of our therapeutic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$2.1 million, or 27% from $7.9 million in the first quarter of 2022 to $10.1 million in the first quarter of 2023. The increase was primarily due to increases of $1.4 million in software expense, $611,000 in personnel costs including equity-based compensation expense due to increased headcount, and $520,000 in allocated overhead expenses, partially offset by a decrease of $922,000 in consulting and outside labor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$4.0 million, or 15% from $25.8 million in the first quarter of 2022 to $21.8 million in the first quarter of 2023 due to decreases of $11.7 million in provisions for credit losses, $1.8 million in legal and professional fees, and $908,000 in software and software licensing due to decreased testing volume, partially offset by increases of $5.0 million in personnel costs including equity-based compensation expense due to increased headcount, $2.1 million in facility expenses, and $1.8 million in depreciation expense and $709,000 in business insurance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represents amortization expenses on the intangible assets arose from the business combinations in 2022 and 2021 and a patent purchased in 2021. Amortization expenses were $2.0 million and $906,000 in the first quarters of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is primarily comprised of net interest income (expenses), which was $3.8 million and $(50,000) in the first quarters of 2023 and 2022, respectively. This interest income (expense) related to interest earned on various investments in marketable securities including realized and holding gain (loss) on marketable equity securities, net of interest expenses incurred for our notes payable and margin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(Benefit from) provision for income taxes income taxes was $(5.2) million and $48.4 million for the first quarters of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(25%) and 24% for the first quarters of 2023 and 2022,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the minority shareholders from entities not wholly owned.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We had $871.3 million and $852.9 million in cash, cash equivalents and marketable securities as of March 31, 2023 and December 31, 2022, respectively. Our marketable securities primarily consist of U.S. government and U.S. agency debt securities, U.S. treasury bills, corporate bonds, municipal bonds, and Yankee debt securities as of March 31, 2023 and December 31, 2022.</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existing cash, cash equivalent, and short-term marketable securities will be sufficient to meet our anticipated cash requirements for at least the next 12 months. Cash provided by operations significantly contributed to our ability to meet our liquidity needs, including paying for capital expenditures. However, cash provided by our operations fluctuates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3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(7,907 )</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188,411</w:t>
            </w:r>
          </w:p>
        </w:tc>
        <w:tc>
          <w:tcPr>
            <w:tcW w:w="100" w:type="dxa"/>
            <w:vAlign w:val="bottom"/>
            <w:shd w:val="clear" w:color="auto" w:fill="CFF0FC"/>
          </w:tcPr>
          <w:p>
            <w:pPr>
              <w:spacing w:after="0"/>
              <w:rPr>
                <w:sz w:val="21"/>
                <w:szCs w:val="2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38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(4,354 )</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0"/>
                <w:szCs w:val="20"/>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3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(1,101 )</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(934 )</w:t>
            </w:r>
          </w:p>
        </w:tc>
      </w:tr>
      <w:tr>
        <w:trPr>
          <w:trHeight w:val="648"/>
        </w:trPr>
        <w:tc>
          <w:tcPr>
            <w:tcW w:w="4600" w:type="dxa"/>
            <w:vAlign w:val="bottom"/>
          </w:tcPr>
          <w:p>
            <w:pPr>
              <w:spacing w:after="0"/>
              <w:rPr>
                <w:sz w:val="24"/>
                <w:szCs w:val="24"/>
                <w:color w:val="auto"/>
              </w:rPr>
            </w:pPr>
          </w:p>
        </w:tc>
        <w:tc>
          <w:tcPr>
            <w:tcW w:w="2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in the first quarter of 2023 was $7.9 million. The difference between net loss and cash used in operating activities for the period was primarily due to the effects of $10.3 million in equity-based compensation expenses, $6.9 million in the depreciation and amortization, and $1.6 million in noncash lease expense, partially offset by $5.2 million in deferred taxes. Changes in operating assets and liabilities primarily consisted of decreases of $9.1 million in accrued liabilities and other current and non-current liabilities and $1.9 million in accounts payable related to timing of payments, $1.5 million in operating and finance lease liabilities, and an increase of $1.6 million in other current and long-term assets, partially offset by a decrease of $9.3 million in trade accounts receivable due to timing of collections.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 the first quarter of 2022 was $188.4 million. The difference between net income and cash provided by operating activities for the period was primarily due to the effects of $11.6 million in provision for credit losses, $5.6 million in equity-based compensation expenses, and $4.7 million in the depreciation and amortization. Changes in operating assets and liabilities primarily consisted of increases of $51.4 million in income tax payable and $2.1 million in accounts payable due to timing of payments and a decrease of $3.0 million in other current and long-term assets primarily related to reagents and supplies, partially offset by an increase of $32.9 million in trade receivable due to timing of collections and a decrease of $8.2 million in accrued liabilities and other current and non-current liabilities primarily due to the payments for bonus accruals.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first quarter of 2023 was $4.4 million, which primarily related to $143.9 million on purchase of marketable securities and $2.0 million on purchases of fixed assets, partially offset by $141.4 million related to maturities of marketable securities.</w:t>
      </w:r>
    </w:p>
    <w:p>
      <w:pPr>
        <w:spacing w:after="0" w:line="16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first quarter of 2022 was $688,000, which primarily related to $133.4 million related to sales of marketable securities and $27.8 million related to maturities of marketable securities, partially offset by purchases of $130.1 million of marketable securities, $15.0 million investment in private equity securities, $10.0 million contingent consideration payment related to the acquisition of Cytometry Specialists, Inc, and $5.4 million on purchases of fixed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first quarter of 2023 was $1.1 million, which primarily related to $869,000 common stock withholding for employee tax obligations.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first quarter of 2022 was $934,000, which primarily related to $494,000 common stock withholding for employee tax obligations and $375,000 repayments of partial notes payable.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2023, we did not repurchase any common stock under our stock repurchase program. As of March 31, 2023, a total of approximately $175.7 million remained available for future repurchases of our common stock under our stock repurchase program.</w:t>
      </w:r>
    </w:p>
    <w:p>
      <w:pPr>
        <w:spacing w:after="0" w:line="2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2022 Annual Report.</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6" w:name="page27"/>
    <w:bookmarkEnd w:id="2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our 2022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March 31, 2023. Based on this evaluation, our Chief Executive Officer and Chief Financial Officer concluded that our disclosure controls and procedures were effective as of March 31, 2023.</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first quarter of 2023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litigation is inherently uncertain, and there can be no assurances that favorable outcomes will be obtained.</w:t>
      </w:r>
    </w:p>
    <w:p>
      <w:pPr>
        <w:spacing w:after="0" w:line="11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Item 1A, “Risk Factors,” of the 2022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$85.9 million of the net proceeds from sales of our common stock, of which, $4.5 million was used for contributions to FF Gene Biotech prior to the FF Gene Biotech acquisition and $81.4 million was used to fund the Company’s operations and a business combination.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Prospectus.</w:t>
      </w:r>
    </w:p>
    <w:p>
      <w:pPr>
        <w:spacing w:after="0" w:line="28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repurchase any common stock during the first quarter of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Incentive Plan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2, 2023, the Compensation Committee of the Board (the “Compensation Committee”) approved the Company’s Executive Officer Incentive Plan (the “2023 Incentive Plan”). The 2023 Incentive Plan covers a performance period of January 1 through December 31 (the “Performance Year”) for each calendar year, effective January 1, 2023. The 2023 Incentive Plan is designed to reward members of the executive management team for their contributions in the achievement of corporate profitability and other important performance targets. As further described in and subject to the terms of the 2023 Incentive Plan, Executive Officers will be eligible to receive annual incentive compensation based on corporate performance metrics. The Compensation Committee will administer the 2023 Incentive Plan. The foregoing summary of the 2023 Incentive Plan does not purport to be complete and is subject to, and qualified in its entirety by, the full text of the 2023 Incentive Plan, a copy of which is attached as Exhibit 10.3 to this Current Report on Form 10-Q and incorporated herein by reference.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8"/>
        </w:trPr>
        <w:tc>
          <w:tcPr>
            <w:tcW w:w="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gridSpan w:val="11"/>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4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Date Filed</w:t>
            </w:r>
          </w:p>
        </w:tc>
      </w:tr>
      <w:tr>
        <w:trPr>
          <w:trHeight w:val="190"/>
        </w:trPr>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2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7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9"/>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56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28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4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360" w:type="dxa"/>
            <w:vAlign w:val="bottom"/>
            <w:gridSpan w:val="6"/>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5840" w:type="dxa"/>
            <w:vAlign w:val="bottom"/>
            <w:gridSpan w:val="18"/>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Bylaws of the registrant.</w:t>
              </w:r>
            </w:hyperlink>
          </w:p>
        </w:tc>
        <w:tc>
          <w:tcPr>
            <w:tcW w:w="148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S-1/A</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333-213469</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9/26/2016</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5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Amended and Restated Non-Employee Director Compensation Policy, dated as of February 23, 2023.</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584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Commercial Lease Addendum (II) dated January 6, 2023, by and between Fulgent Therapeutics LLC</w:t>
              </w:r>
            </w:hyperlink>
          </w:p>
        </w:tc>
        <w:tc>
          <w:tcPr>
            <w:tcW w:w="148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8-K</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1/12/2023</w:t>
            </w:r>
          </w:p>
        </w:tc>
      </w:tr>
      <w:tr>
        <w:trPr>
          <w:trHeight w:val="128"/>
        </w:trPr>
        <w:tc>
          <w:tcPr>
            <w:tcW w:w="940" w:type="dxa"/>
            <w:vAlign w:val="bottom"/>
          </w:tcPr>
          <w:p>
            <w:pPr>
              <w:spacing w:after="0"/>
              <w:rPr>
                <w:sz w:val="11"/>
                <w:szCs w:val="11"/>
                <w:color w:val="auto"/>
              </w:rPr>
            </w:pPr>
          </w:p>
        </w:tc>
        <w:tc>
          <w:tcPr>
            <w:tcW w:w="118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and E&amp;E Plaza LLC</w:t>
              </w:r>
            </w:hyperlink>
          </w:p>
        </w:tc>
        <w:tc>
          <w:tcPr>
            <w:tcW w:w="20" w:type="dxa"/>
            <w:vAlign w:val="bottom"/>
            <w:tcBorders>
              <w:bottom w:val="single" w:sz="8" w:color="0000EE"/>
            </w:tcBorders>
          </w:tcPr>
          <w:p>
            <w:pPr>
              <w:spacing w:after="0"/>
              <w:rPr>
                <w:sz w:val="11"/>
                <w:szCs w:val="11"/>
                <w:color w:val="auto"/>
              </w:rPr>
            </w:pPr>
          </w:p>
        </w:tc>
        <w:tc>
          <w:tcPr>
            <w:tcW w:w="4640" w:type="dxa"/>
            <w:vAlign w:val="bottom"/>
            <w:gridSpan w:val="14"/>
          </w:tcPr>
          <w:p>
            <w:pPr>
              <w:spacing w:after="0"/>
              <w:rPr>
                <w:sz w:val="11"/>
                <w:szCs w:val="11"/>
                <w:color w:val="auto"/>
              </w:rPr>
            </w:pP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Executive Officer Incentive Plan.</w:t>
            </w:r>
          </w:p>
        </w:tc>
        <w:tc>
          <w:tcPr>
            <w:tcW w:w="20" w:type="dxa"/>
            <w:vAlign w:val="bottom"/>
            <w:tcBorders>
              <w:bottom w:val="single" w:sz="8" w:color="0000EE"/>
            </w:tcBorders>
          </w:tcPr>
          <w:p>
            <w:pPr>
              <w:spacing w:after="0"/>
              <w:rPr>
                <w:sz w:val="24"/>
                <w:szCs w:val="24"/>
                <w:color w:val="auto"/>
              </w:rPr>
            </w:pPr>
          </w:p>
        </w:tc>
        <w:tc>
          <w:tcPr>
            <w:tcW w:w="3900" w:type="dxa"/>
            <w:vAlign w:val="bottom"/>
            <w:gridSpan w:val="11"/>
          </w:tcPr>
          <w:p>
            <w:pPr>
              <w:spacing w:after="0"/>
              <w:rPr>
                <w:sz w:val="24"/>
                <w:szCs w:val="24"/>
                <w:color w:val="auto"/>
              </w:rPr>
            </w:pP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8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260" w:type="dxa"/>
            <w:vAlign w:val="bottom"/>
            <w:gridSpan w:val="3"/>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w w:val="85"/>
              </w:rPr>
              <w:t>of</w:t>
            </w: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300" w:type="dxa"/>
            <w:vAlign w:val="bottom"/>
            <w:gridSpan w:val="5"/>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rPr>
              <w:t>of</w:t>
            </w: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9"/>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80" w:type="dxa"/>
            <w:vAlign w:val="bottom"/>
            <w:tcBorders>
              <w:top w:val="single" w:sz="8" w:color="0000FF"/>
            </w:tcBorders>
            <w:gridSpan w:val="5"/>
          </w:tcPr>
          <w:p>
            <w:pPr>
              <w:spacing w:after="0"/>
              <w:rPr>
                <w:sz w:val="11"/>
                <w:szCs w:val="11"/>
                <w:color w:val="auto"/>
              </w:rPr>
            </w:pPr>
          </w:p>
        </w:tc>
        <w:tc>
          <w:tcPr>
            <w:tcW w:w="220" w:type="dxa"/>
            <w:vAlign w:val="bottom"/>
            <w:gridSpan w:val="2"/>
          </w:tcPr>
          <w:p>
            <w:pPr>
              <w:spacing w:after="0"/>
              <w:rPr>
                <w:sz w:val="11"/>
                <w:szCs w:val="11"/>
                <w:color w:val="auto"/>
              </w:rPr>
            </w:pPr>
          </w:p>
        </w:tc>
        <w:tc>
          <w:tcPr>
            <w:tcW w:w="1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5"/>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940" w:type="dxa"/>
            <w:vAlign w:val="bottom"/>
          </w:tcPr>
          <w:p>
            <w:pPr>
              <w:spacing w:after="0"/>
              <w:rPr>
                <w:sz w:val="16"/>
                <w:szCs w:val="16"/>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9" w:lineRule="exact"/>
        <w:rPr>
          <w:sz w:val="20"/>
          <w:szCs w:val="20"/>
          <w:color w:val="auto"/>
        </w:rPr>
      </w:pPr>
    </w:p>
    <w:p>
      <w:pPr>
        <w:ind w:left="292" w:hanging="292"/>
        <w:spacing w:after="0"/>
        <w:tabs>
          <w:tab w:leader="none" w:pos="2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1912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292" w:hanging="292"/>
        <w:spacing w:after="0" w:line="226" w:lineRule="auto"/>
        <w:tabs>
          <w:tab w:leader="none" w:pos="2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compensation plan or arrangement.</w:t>
      </w:r>
    </w:p>
    <w:p>
      <w:pPr>
        <w:ind w:left="292" w:right="1440" w:hanging="292"/>
        <w:spacing w:after="0" w:line="239" w:lineRule="auto"/>
        <w:tabs>
          <w:tab w:leader="none" w:pos="2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have been omitted pursuant to Item 601(a)(5) of Regulation S-K. The Company hereby undertakes to furnish supplementally a copy of any omitted exhibit or schedule upon request by the SEC.</w:t>
      </w:r>
    </w:p>
    <w:p>
      <w:pPr>
        <w:spacing w:after="0" w:line="200" w:lineRule="exact"/>
        <w:rPr>
          <w:sz w:val="20"/>
          <w:szCs w:val="20"/>
          <w:color w:val="auto"/>
        </w:rPr>
      </w:pPr>
    </w:p>
    <w:p>
      <w:pPr>
        <w:spacing w:after="0" w:line="237"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7"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7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30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205"/>
        </w:trPr>
        <w:tc>
          <w:tcPr>
            <w:tcW w:w="4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Ming Hsieh</w:t>
            </w:r>
          </w:p>
        </w:tc>
      </w:tr>
      <w:tr>
        <w:trPr>
          <w:trHeight w:val="214"/>
        </w:trPr>
        <w:tc>
          <w:tcPr>
            <w:tcW w:w="4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30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205"/>
        </w:trPr>
        <w:tc>
          <w:tcPr>
            <w:tcW w:w="4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Paul Kim</w:t>
            </w:r>
          </w:p>
        </w:tc>
      </w:tr>
      <w:tr>
        <w:trPr>
          <w:trHeight w:val="234"/>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Amended and Restated Director Compensation Program (this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sets forth the compensation payable to directors of Fulgent Genetics,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consideration for their service as directors of the Company. This Program does not constitute a legally binding contract or arrangement and may be changed or rescinded at any time upon the approval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 and Reimbursement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(each,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receive reimbursement in cash for his or her reasonable out-of-pocket costs and travel expenses incurred in connection with attendance at meetings of the Board and the committees of the Board (the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of which such Director is a member, which reimbursement shall be paid by the Company within thirty (30) days after the Company’s receipt of a Director’s request for reimbursement and reasonable evidence of such costs and expenses</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that is not an employee of the Company or any of its affiliates (each, a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receive the following annual cash retainer fees (collectively, the “</w:t>
      </w:r>
      <w:r>
        <w:rPr>
          <w:rFonts w:ascii="Times New Roman" w:cs="Times New Roman" w:eastAsia="Times New Roman" w:hAnsi="Times New Roman"/>
          <w:sz w:val="18"/>
          <w:szCs w:val="18"/>
          <w:u w:val="single" w:color="auto"/>
          <w:color w:val="auto"/>
        </w:rPr>
        <w:t>Cash Retainer Fees</w:t>
      </w:r>
      <w:r>
        <w:rPr>
          <w:rFonts w:ascii="Times New Roman" w:cs="Times New Roman" w:eastAsia="Times New Roman" w:hAnsi="Times New Roman"/>
          <w:sz w:val="18"/>
          <w:szCs w:val="18"/>
          <w:color w:val="auto"/>
        </w:rPr>
        <w:t>”) based on his or her service as a Director, Chair of a Committee and/or member of a Committee:</w:t>
      </w:r>
    </w:p>
    <w:p>
      <w:pPr>
        <w:spacing w:after="0" w:line="200" w:lineRule="exact"/>
        <w:rPr>
          <w:sz w:val="20"/>
          <w:szCs w:val="20"/>
          <w:color w:val="auto"/>
        </w:rPr>
      </w:pPr>
    </w:p>
    <w:p>
      <w:pPr>
        <w:spacing w:after="0" w:line="22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Retainer</w:t>
            </w:r>
          </w:p>
        </w:tc>
      </w:tr>
      <w:tr>
        <w:trPr>
          <w:trHeight w:val="245"/>
        </w:trPr>
        <w:tc>
          <w:tcPr>
            <w:tcW w:w="5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Fee Amount(1)</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Director Cash Retainer Fee:</w:t>
            </w: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Each Non-Employee Director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486"/>
        </w:trPr>
        <w:tc>
          <w:tcPr>
            <w:tcW w:w="5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Chair Cash Retainer Fees:(2)</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Nominating Committee Chair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486"/>
        </w:trPr>
        <w:tc>
          <w:tcPr>
            <w:tcW w:w="5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Committee Member Cash Retainer Fees:(2)</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Nominating Committee Member</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ind w:left="760"/>
        <w:spacing w:after="0"/>
        <w:rPr>
          <w:sz w:val="20"/>
          <w:szCs w:val="20"/>
          <w:color w:val="auto"/>
        </w:rPr>
      </w:pPr>
      <w:r>
        <w:rPr>
          <w:rFonts w:ascii="Times New Roman" w:cs="Times New Roman" w:eastAsia="Times New Roman" w:hAnsi="Times New Roman"/>
          <w:sz w:val="18"/>
          <w:szCs w:val="18"/>
          <w:color w:val="auto"/>
        </w:rPr>
        <w:t>____________</w:t>
      </w:r>
    </w:p>
    <w:p>
      <w:pPr>
        <w:spacing w:after="0" w:line="23" w:lineRule="exact"/>
        <w:rPr>
          <w:sz w:val="20"/>
          <w:szCs w:val="20"/>
          <w:color w:val="auto"/>
        </w:rPr>
      </w:pPr>
    </w:p>
    <w:p>
      <w:pPr>
        <w:ind w:right="320" w:firstLine="1505"/>
        <w:spacing w:after="0" w:line="260"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Committee Chairs and Committee members receive pro-rated amounts of all applicable Cash Retainer Fees for any partial year of service in any such position.</w:t>
      </w:r>
    </w:p>
    <w:p>
      <w:pPr>
        <w:spacing w:after="0" w:line="18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Retainer Fees for Committee Chair and Committee member positions are in addition to the Cash Retainer Fee for service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Cash Retainer Fees earned by a Non-Employee Director for service as a director during a fiscal year shall be paid by the Company bi-annually, within thirty (30) days after the end of the second and fourth fiscal quarters of such fiscal year.</w:t>
      </w:r>
    </w:p>
    <w:p>
      <w:pPr>
        <w:spacing w:after="0" w:line="162"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administrator under the applicable Plan (as defined below), on the date of his or her election or appointment as a Director, each Non-Employee Director shall be granted the following equity award or awards (such award or awards, the “</w:t>
      </w: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(i) a non-qualified stock option award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acquire up to a number of shares of the Company’s common stock having an aggregate grant date fair market value equal to the applicable Available Amount (as defined below), based on a Black-Scholes valuation method (rounded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down to the nearest whole share); (ii) a restricted stock unit award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each RSU relating to one share of the Company’s common stock, having an aggregate fair market value equal to the applicable Available Amount pursuant to the terms of the then applicable equity incentive plan for such grants, assuming the closing price of the Company’s common stock on the date of grant; or (iii) an Option and a RSU to acquire or relating to, as applicable, such that the sum of the aggregate fair market value of the Option and RSU, each as determined herein, is equal to the applicable Available Amount.</w:t>
      </w:r>
    </w:p>
    <w:p>
      <w:pPr>
        <w:spacing w:after="0" w:line="180" w:lineRule="exact"/>
        <w:rPr>
          <w:sz w:val="20"/>
          <w:szCs w:val="20"/>
          <w:color w:val="auto"/>
        </w:rPr>
      </w:pPr>
    </w:p>
    <w:p>
      <w:pPr>
        <w:jc w:val="both"/>
        <w:ind w:firstLine="757"/>
        <w:spacing w:after="0" w:line="254" w:lineRule="auto"/>
        <w:tabs>
          <w:tab w:leader="none" w:pos="11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administrator under the applicable Plan, on the date of each Annual Meeting of the Stockholders of the Company, each Non-Employee Director that is serving as such immediately prior to and immediately after the applicable Annual Meeting of the Stockholders shall be granted the following equity award or awards (such award or awards, the “</w:t>
      </w: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(i) an Option to acquire up to a number of shares of the Company’s common stock having an aggregate grant date fair market value equal to the applicable Available Amount, valued based on a Black-Scholes valuation method (rounded down to the nearest whole share); (ii) a RSU, each RSU relating to one share of the Company’s common stock, having an aggregate fair market value equal to the applicable Available Amount, assuming the closing price of the Company’s common stock on the date of grant; or (iii) an Option and a RSU to acquire or relating to, as applicable, a number of shares of the Company’s common stock such that the sum of the aggregate fair market value of the Option and RSU, as determined herein, is equal to the applicable Available Amount.</w:t>
      </w:r>
    </w:p>
    <w:p>
      <w:pPr>
        <w:spacing w:after="0" w:line="19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Initial Award and the Annual Award, directors shall be eligible to receive such additional equity awards in such amounts and on such dates and subject to such terms as the Board and/or any appropriate Committees may approve.</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Program, the “</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for all Initial Awards and Annual Awards shall be as follows:</w:t>
      </w:r>
    </w:p>
    <w:p>
      <w:pPr>
        <w:spacing w:after="0" w:line="200" w:lineRule="exact"/>
        <w:rPr>
          <w:sz w:val="20"/>
          <w:szCs w:val="20"/>
          <w:color w:val="auto"/>
        </w:rPr>
      </w:pPr>
    </w:p>
    <w:p>
      <w:pPr>
        <w:spacing w:after="0" w:line="278" w:lineRule="exact"/>
        <w:rPr>
          <w:sz w:val="20"/>
          <w:szCs w:val="20"/>
          <w:color w:val="auto"/>
        </w:rPr>
      </w:pPr>
    </w:p>
    <w:tbl>
      <w:tblPr>
        <w:tblLayout w:type="fixed"/>
        <w:tblInd w:w="200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2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Available Amount</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Initial Award</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45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Annual Award</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Initial Awards and Annual Awards (referred to collectively as the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be granted under and subject to the Company’s 2016 Omnibus Incentive Plan or such other comparable equity incentive plan of the Company that is then in effect (such applicable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shall be subject to the following terms: (i) each Award that is a non-qualified stock option shall expire after 10 years; (ii) each Initial Award shall commence vesting on the date of the appointment or election of the applicable Non-Employee Director, and each Annual Award shall commence vesting on the date of the applicable Annual Meeting of Stockholders of the Company; (iii) each Award shall vest as follows: one-quarter of the total shares of the Company’s common stock subject to the Award shall vest one year after the vesting commencement date of the Award and 1/16th of the total shares of the Company’s common stock subject to the Award shall vest at the end of every three-month period thereafter, subject to the applicable Non-Employee Director’s continued service for the Company on each such vesting date; and (iii) each Award shall be subject to all other terms set forth in the applicable form of award agreement under the Plan that has been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136130" cy="5873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36130" cy="58737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Incentive Plan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1, 2023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Executive Officer Incentive Plan (the “Plan”) is an annual incentive compensation program designed to support the pay for performance philosophy of Fulgent Genetics, Inc. (“Company”) by rewarding members of the executive management team for their contributions in the achievement of corporate profitability and other important performance targets. The Plan is intended to deliver competitive levels of incentive compensation at expected levels of corporate performance with substantial upside potential for superior performance.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Plan is to:</w:t>
      </w:r>
    </w:p>
    <w:p>
      <w:pPr>
        <w:spacing w:after="0" w:line="131"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Align the executive management team with the organization’s strategic plan and critical performance goals;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Motivate and reward the achievement of specific, measurable performance objectives;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Provide incentive payouts commensurate with the organization’s performance;</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Provide competitive total compensation opportunities;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Enable the organization to attract, motivate, and retain talent.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and Eligibility</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Participants in the Plan shall include the company’s executive officers as determined by the Administrator. Additional individuals may be added to or removed from the Plan as participants at the discretion of the Administrator. Eligibility in the Plan will be communicated to each participant in writing at the beginning of the Performance Year (as defined below).</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Participants who join the organization during the Performance Year, or who transfer into an eligible position, and who are made eligible for the Plan in that year by the Administrator, will be eligible for a prorated incentive opportunity based on the number of full months the individual works in the eligible position. Generally, anyone joining the organization, or transferring into an eligible position, after September 30 will not be eligible for an incentive opportunity for that Performance Year.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will measure performance from January 1 to December 31 (“Performance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Incentive Opportunities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Each participant will have a specified annual target incentive opportunity based on their role. The target incentive will be expressed as a percentage of annual base salary for the Plan Year. The target incentive opportunities as a percent of annual base salary will be communicated to each participant in writing at the beginning of the Performance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right="860"/>
        <w:spacing w:after="0" w:line="282" w:lineRule="auto"/>
        <w:rPr>
          <w:sz w:val="20"/>
          <w:szCs w:val="20"/>
          <w:color w:val="auto"/>
        </w:rPr>
      </w:pPr>
      <w:r>
        <w:rPr>
          <w:rFonts w:ascii="Times New Roman" w:cs="Times New Roman" w:eastAsia="Times New Roman" w:hAnsi="Times New Roman"/>
          <w:sz w:val="18"/>
          <w:szCs w:val="18"/>
          <w:color w:val="auto"/>
        </w:rPr>
        <w:t>The Plan delivers annual incentives based on company performance. The table below provides the performance metrics and weighting for each performance component.</w:t>
      </w:r>
    </w:p>
    <w:p>
      <w:pPr>
        <w:spacing w:after="0" w:line="49" w:lineRule="exact"/>
        <w:rPr>
          <w:sz w:val="20"/>
          <w:szCs w:val="20"/>
          <w:color w:val="auto"/>
        </w:rPr>
      </w:pPr>
    </w:p>
    <w:tbl>
      <w:tblPr>
        <w:tblLayout w:type="fixed"/>
        <w:tblInd w:w="950" w:type="dxa"/>
        <w:tblCellMar>
          <w:top w:w="0" w:type="dxa"/>
          <w:left w:w="0" w:type="dxa"/>
          <w:bottom w:w="0" w:type="dxa"/>
          <w:right w:w="0" w:type="dxa"/>
        </w:tblCellMar>
      </w:tblPr>
      <w:tr>
        <w:trPr>
          <w:trHeight w:val="354"/>
        </w:trPr>
        <w:tc>
          <w:tcPr>
            <w:tcW w:w="45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Metrics</w:t>
            </w:r>
          </w:p>
        </w:tc>
        <w:tc>
          <w:tcPr>
            <w:tcW w:w="4300" w:type="dxa"/>
            <w:vAlign w:val="bottom"/>
            <w:tcBorders>
              <w:top w:val="single" w:sz="8" w:color="auto"/>
              <w:right w:val="single" w:sz="8" w:color="auto"/>
            </w:tcBorders>
            <w:shd w:val="clear" w:color="auto" w:fill="D9D9D9"/>
          </w:tcPr>
          <w:p>
            <w:pPr>
              <w:ind w:left="1700"/>
              <w:spacing w:after="0"/>
              <w:rPr>
                <w:sz w:val="20"/>
                <w:szCs w:val="20"/>
                <w:color w:val="auto"/>
              </w:rPr>
            </w:pPr>
            <w:r>
              <w:rPr>
                <w:rFonts w:ascii="Times New Roman" w:cs="Times New Roman" w:eastAsia="Times New Roman" w:hAnsi="Times New Roman"/>
                <w:sz w:val="18"/>
                <w:szCs w:val="18"/>
                <w:b w:val="1"/>
                <w:bCs w:val="1"/>
                <w:color w:val="auto"/>
              </w:rPr>
              <w:t>Weightings</w:t>
            </w:r>
          </w:p>
        </w:tc>
      </w:tr>
      <w:tr>
        <w:trPr>
          <w:trHeight w:val="118"/>
        </w:trPr>
        <w:tc>
          <w:tcPr>
            <w:tcW w:w="458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4300" w:type="dxa"/>
            <w:vAlign w:val="bottom"/>
            <w:tcBorders>
              <w:bottom w:val="single" w:sz="8" w:color="auto"/>
              <w:right w:val="single" w:sz="8" w:color="auto"/>
            </w:tcBorders>
            <w:shd w:val="clear" w:color="auto" w:fill="D9D9D9"/>
          </w:tcPr>
          <w:p>
            <w:pPr>
              <w:spacing w:after="0"/>
              <w:rPr>
                <w:sz w:val="10"/>
                <w:szCs w:val="10"/>
                <w:color w:val="auto"/>
              </w:rPr>
            </w:pPr>
          </w:p>
        </w:tc>
      </w:tr>
      <w:tr>
        <w:trPr>
          <w:trHeight w:val="334"/>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21"/>
        </w:trPr>
        <w:tc>
          <w:tcPr>
            <w:tcW w:w="4580" w:type="dxa"/>
            <w:vAlign w:val="bottom"/>
            <w:tcBorders>
              <w:left w:val="single" w:sz="8" w:color="auto"/>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r>
      <w:tr>
        <w:trPr>
          <w:trHeight w:val="331"/>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EBITDA</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21"/>
        </w:trPr>
        <w:tc>
          <w:tcPr>
            <w:tcW w:w="4580" w:type="dxa"/>
            <w:vAlign w:val="bottom"/>
            <w:tcBorders>
              <w:left w:val="single" w:sz="8" w:color="auto"/>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r>
      <w:tr>
        <w:trPr>
          <w:trHeight w:val="331"/>
        </w:trPr>
        <w:tc>
          <w:tcPr>
            <w:tcW w:w="4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121"/>
        </w:trPr>
        <w:tc>
          <w:tcPr>
            <w:tcW w:w="4580" w:type="dxa"/>
            <w:vAlign w:val="bottom"/>
            <w:tcBorders>
              <w:left w:val="single" w:sz="8" w:color="auto"/>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r>
    </w:tbl>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beginning of the Performance Year, specific performance goals are defined and are approved by the Administrator. The goals reflect the strategic priorities for the Company. The Administrator may change the performance metrics and adjust the weightings for a Performance Year at any time in its sole discretion.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Incentive Awards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After the end of the Performance Year and completion of the financial statement audit, each participant will be eligible for an incentive award, calculated by taking (A) multiplied by (B), where:</w:t>
      </w:r>
    </w:p>
    <w:p>
      <w:pPr>
        <w:spacing w:after="0" w:line="6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is the participant’s target incentive opportunity,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is the adjustment for company performance.</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performance is based on level of achievement of the goals. Threshold levels of performance are established for each goal. If the applicable threshold level of achievement is met, participants will be eligible to be awarded a pro rata portion of such goal’s target incentive based on the difference between the applicable threshold and the related goal. The maximum award is capped at 200% of the target incentive. Refer to the Appendix A for details relating to Plan funding and an illustration.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threshold levels of performance are not met, then any incentive award will be at the discretion of the Administrator.</w:t>
      </w:r>
    </w:p>
    <w:p>
      <w:pPr>
        <w:spacing w:after="0" w:line="117"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Incentive awards may be appropriately adjusted for all other extraordinary and unusual items or events as the Administrator determines may be necessary or appropriate in its sole and absolute discretion. The Administrator also retains the discretion to adjust individual participant awards up or down at any time based upon any other factors determined to be relevant, regardless of whether any of the performance metrics outlined herein are achieved.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Timing and Payment</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Following the end of the Performance Year, upon completion of the financial statement audit, the annual incentive award will be calculated for each participant and approved by the Administrator. Upon approval, incentive payments (less any applicable tax withholdings) shall be made to participants. Generally, payment will be made as soon as administratively possible; however, all payments made to participants under this Plan shall be paid no later than March 15 of the year following the Performance Year.</w:t>
      </w:r>
    </w:p>
    <w:p>
      <w:pPr>
        <w:spacing w:after="0" w:line="7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Employees will only be eligible to earn an incentive award for the applicable Plan Year if the Employee remains employed until the payment date of the award. The incentive award shall not be deemed to be earned until the payment date, which is the date by which services by the Employee must be completed in order to effectuate earning such award. I</w:t>
      </w:r>
      <w:r>
        <w:rPr>
          <w:rFonts w:ascii="Times New Roman" w:cs="Times New Roman" w:eastAsia="Times New Roman" w:hAnsi="Times New Roman"/>
          <w:sz w:val="18"/>
          <w:szCs w:val="18"/>
          <w:color w:val="333333"/>
        </w:rPr>
        <w:t>f a participant resigns or is terminated for any reason and subsequently violates the terms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previously signed Confidentiality and Non-Solicitation Agreement or Employment Agreement, the participant shall also forfeit the right to retain any previous incentive award payments made and shall be required to repay the full amount of all prior incentive award payments paid, except as required by applicable law. Payments under this Plan are subject to the Company's Incentive Compensation Recoupment Policy as then in effect. If the Participant fails to repay any portion of the incentive amounts rightfully required to be returned, the Company may take legal action to recover any such amounts previously paid.</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4" w:name="page35"/>
    <w:bookmarkEnd w:id="34"/>
    <w:p>
      <w:pPr>
        <w:ind w:right="640"/>
        <w:spacing w:after="0" w:line="282" w:lineRule="auto"/>
        <w:rPr>
          <w:sz w:val="20"/>
          <w:szCs w:val="20"/>
          <w:color w:val="auto"/>
        </w:rPr>
      </w:pPr>
      <w:r>
        <w:rPr>
          <w:rFonts w:ascii="Times New Roman" w:cs="Times New Roman" w:eastAsia="Times New Roman" w:hAnsi="Times New Roman"/>
          <w:sz w:val="18"/>
          <w:szCs w:val="18"/>
          <w:color w:val="auto"/>
        </w:rPr>
        <w:t>For a participant that was on an approved medical leave of absence or on a military leave of absence during the Performance Year, eligibility for an incentive award will be prorated based on the number of days worked in the Performance Year.</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Although The Company does not guarantee the tax treatment of any payments under the Plan, the intent is that the payments under this Plan be exempt from, or comply with, Section 409A of the Internal Revenue Code of 1986, as amended, and all Treasury regulations and guidance.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(the “Board”) will administer the Plan and may delegate the responsibility to administer the Plan to the Compensation Committee (“Administrator”). The Administrator shall have authority, duty, and power to interpret and construe the provisions of the Plan as it deems appropriate, to adopt, establish and revise rules, procedures and regulations relating to the Plan, to determine the conditions subject to which any benefits may be payable, to resolve all factual and legal questions concerning the status of the participants and others under the Plan, including but not limited to, eligibility for incentive awards, and to make any other determinations which it believes necessary or advisable for the administration of the Plan. Incentive awards payable are subject to approval by the Administrator. Incentive awards under this Plan will be payable only if the Administrator decides in its sole discretion that the employee is entitled to them under the Plan. The determinations, interpretations, and regulations of the Administrator and the calculations of the Administrator shall be final and binding on all persons and parties concerned.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employee will have a claim as a matter of right to any incentive award until it is actually paid to him or her. The Company reserves the right to amend, modify, or terminate any or all the provisions of the Plan in the future in its sole discretion. This Plan does not constitute an agreement of any kind.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Benefits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Incentive payment received under this Plan may impact benefits. The benefit plans each define “compensation.” The definition may be different for each benefit plan. Refer to the benefit plan documents for additional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at Will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it is hoped that each participant’s employment relationship with the Company will be mutually rewarding and long-term, this document should not be construed as, and does not constitute, a contract of employment for any specific duration. The participant or Company may terminate the employment relationship at any 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Ming Hsieh</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2023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Paul Kim</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2023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upperLetter"/>
      <w:start w:val="3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upperLetter"/>
      <w:start w:val="1"/>
    </w:lvl>
    <w:lvl w:ilvl="1">
      <w:lvlJc w:val="left"/>
      <w:lvlText w:val="%2."/>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upperLetter"/>
      <w:start w:val="2"/>
    </w:lvl>
    <w:lvl w:ilvl="1">
      <w:lvlJc w:val="left"/>
      <w:lvlText w:val="%2."/>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upp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21" Type="http://schemas.openxmlformats.org/officeDocument/2006/relationships/hyperlink" Target="https://www.sec.gov/Archives/edgar/data/1674930/000119312516700733/d360404dex31.htm" TargetMode="External"/><Relationship Id="rId222" Type="http://schemas.openxmlformats.org/officeDocument/2006/relationships/hyperlink" Target="https://www.sec.gov/Archives/edgar/data/1674930/000119312516700733/d360404dex311.htm" TargetMode="External"/><Relationship Id="rId223" Type="http://schemas.openxmlformats.org/officeDocument/2006/relationships/hyperlink" Target="https://www.sec.gov/Archives/edgar/data/1674930/000156459017017670/flgt-ex312_342.htm" TargetMode="External"/><Relationship Id="rId224" Type="http://schemas.openxmlformats.org/officeDocument/2006/relationships/hyperlink" Target="https://www.sec.gov/Archives/edgar/data/1674930/000119312516700733/d360404dex32.htm" TargetMode="External"/><Relationship Id="rId225" Type="http://schemas.openxmlformats.org/officeDocument/2006/relationships/hyperlink" Target="https://www.sec.gov/Archives/edgar/data/1674930/000095017023000716/flgt-ex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2023-05-05T06:31:04Z</dcterms:created>
  <dcterms:modified xsi:type="dcterms:W3CDTF">2023-05-05T06:31:04Z</dcterms:modified>
</cp:coreProperties>
</file>