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Fulgent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Ming Hsieh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Fulgent Genetics, Inc., 4399 Santa Anita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El Monte, CA, 91731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(626) 350-0537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Scott M. Stanton,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Mintz, 3580 Carmel Mountain Road, Suite 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Diego, CA, 92130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(858) 314-1500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spacing w:after="0" w:line="79"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Ming Hsieh</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 or place of organization</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8,650,723.00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221,816.00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8,650,723.00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221,816.00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8,872,539.00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32.26 %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In reference to Row 4 above, the shares of common stock, par value $0.0001 per share (the "Common Stock"),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Fulgent Genetics, Inc. (the "Issuer") acquired by Ming Hsieh (the "Reporting Person") since the Reporting Person's last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 to this Schedule 13D were acquired through equity award vestings in connection with the Reporting</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Person's services as Chief Executive Officer of the Issuer. No cash consideration was paid by the Reporting Person in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connection with these acquisitions. See Item 3 of this Schedule 13D for additional information. In reference to Rows 7</w:t>
      </w:r>
    </w:p>
    <w:p>
      <w:pPr>
        <w:spacing w:after="0" w:line="1"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and 9 above, sole voting and dispositive power consists of (i) 7,895,115 shares of Common Stock of the Issuer held of record by The Ming Hsieh Trust (the "Trust"), of which Mr. Hsieh possesses sole voting and dispositive power as the trustee, of which 1,000,000 shares of Common Stock of the Issuer are pledged as security pursuant to a pre-paid forward arrangement as disclosed on that certain Form 4 filed by the Reporting Person with the U.S. Securities and Exchange Commission (the "SEC") on March 12, 2024, and 5,760,733 shares of Common Stock are pledged as collateral account for a credit facility, (ii) 746,423 shares of Common Stock of the Issuer held of record by Mr. Hsieh,</w:t>
      </w:r>
    </w:p>
    <w:p>
      <w:pPr>
        <w:spacing w:after="0" w:line="3" w:lineRule="exact"/>
        <w:rPr>
          <w:sz w:val="20"/>
          <w:szCs w:val="20"/>
          <w:color w:val="auto"/>
        </w:rPr>
      </w:pPr>
    </w:p>
    <w:p>
      <w:pPr>
        <w:jc w:val="both"/>
        <w:ind w:left="920" w:hanging="3"/>
        <w:spacing w:after="0" w:line="241" w:lineRule="auto"/>
        <w:tabs>
          <w:tab w:leader="none" w:pos="130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1,000 shares of Common Stock of the Issuer held of record by a minor child under a Uniform Transfers to Minors Act account, of which Mr. Hsieh possesses sole voting and dispositive power as the sole custodian of the account, and</w:t>
      </w:r>
    </w:p>
    <w:p>
      <w:pPr>
        <w:spacing w:after="0" w:line="1" w:lineRule="exact"/>
        <w:rPr>
          <w:rFonts w:ascii="Times New Roman" w:cs="Times New Roman" w:eastAsia="Times New Roman" w:hAnsi="Times New Roman"/>
          <w:sz w:val="21"/>
          <w:szCs w:val="21"/>
          <w:color w:val="auto"/>
        </w:rPr>
      </w:pPr>
    </w:p>
    <w:p>
      <w:pPr>
        <w:jc w:val="both"/>
        <w:ind w:left="920" w:hanging="3"/>
        <w:spacing w:after="0" w:line="243" w:lineRule="auto"/>
        <w:tabs>
          <w:tab w:leader="none" w:pos="128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8,185 shares of Common Stock of the Issuer subject to Restricted Stock Unit awards granted to Mr. Hsieh that will vest or settle within 60 days after May 27, 2026. This 8,185 shares of Common Stock presumes no shares are withheld for the purposes of withholding taxes. In reference to Rows 8 and 10 above, shared voting and dispositive power consists of (i) 220,816 shares of Common Stock of the Issuer held by the Dynasty Trust. Mr. Hsieh is the grantor of the Dynasty Trust and he and his spouse, Eva Hsieh, serve on the investment committee of the Dynasty Trust and (ii) 1,000 shares of Common Stock of the Issuer held by an immediate family member of Mr. Hsieh residing in the same household which were previously held in a custodial account under the Uniform Transfers to Minors Act, over which Mr. Hsieh served as sole custodian, and were transferred to this immediate family member upon this individual reaching the age of majority. Mr. Hsieh may be deemed to share voting and dispositive power over these 1,000 shares by virtue of this family member's residence in his household. Mr. Hsieh disclaims beneficial ownership of such shares except to the extent of any pecuniary interest therein. In reference to Row 13 above, the percent of class represented by</w:t>
      </w:r>
    </w:p>
    <w:p>
      <w:pPr>
        <w:sectPr>
          <w:pgSz w:w="11900" w:h="16918" w:orient="portrait"/>
          <w:cols w:equalWidth="0" w:num="1">
            <w:col w:w="11240"/>
          </w:cols>
          <w:pgMar w:left="320" w:top="111" w:right="339" w:bottom="0" w:gutter="0" w:footer="0" w:header="0"/>
        </w:sectPr>
      </w:pPr>
    </w:p>
    <w:bookmarkStart w:id="2" w:name="page3"/>
    <w:bookmarkEnd w:id="2"/>
    <w:p>
      <w:pPr>
        <w:ind w:left="920"/>
        <w:spacing w:after="0" w:line="259" w:lineRule="auto"/>
        <w:rPr>
          <w:sz w:val="20"/>
          <w:szCs w:val="20"/>
          <w:color w:val="auto"/>
        </w:rPr>
      </w:pPr>
      <w:r>
        <w:rPr>
          <w:rFonts w:ascii="Times New Roman" w:cs="Times New Roman" w:eastAsia="Times New Roman" w:hAnsi="Times New Roman"/>
          <w:sz w:val="22"/>
          <w:szCs w:val="22"/>
          <w:color w:val="auto"/>
        </w:rPr>
        <w:t>amount in Row 11 was calculated based on 27,493,435 shares of Common Stock of the Issuer issued and outstanding as of May 22, 2026, based on information provided to the Reporting Person by the Issuer.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Ming Hsieh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7,895,115.00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7,895,115.00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7,895,115.00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28.72 %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In reference to Row 4 above, the Trust has not acquired any shares of Common Stock since the Reporting Person's last</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amendment to this Schedule 13D. All shares of Common Stock currently held by the Trust were acquired through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transfers from the Reporting Person as previously reported. See Item 3 of Amendment No. 4 to Schedule 13D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previously filed with the SEC on March 31, 2026, for additional information. In reference to Rows 7 and 9 above, sole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voting and dispositive power consists of 7,895,115 shares of Common Stock of the Issuer held of record by the Trust,</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over which the Reporting Person possesses sole voting and dispositive power as the trustee of the Trust. In reference to Row 13 above, the percent of class represented by amount in Row 11 was calculated based on 27,493,435 shares of Common Stock of the Issuer issued and outstanding as of May 22, 2026, based on information provided to the Reporting Person by the Issuer.</w:t>
      </w:r>
    </w:p>
    <w:p>
      <w:pPr>
        <w:sectPr>
          <w:pgSz w:w="11900" w:h="16838" w:orient="portrait"/>
          <w:cols w:equalWidth="0" w:num="1">
            <w:col w:w="11240"/>
          </w:cols>
          <w:pgMar w:left="320" w:top="111" w:right="339" w:bottom="328" w:gutter="0" w:footer="0" w:header="0"/>
        </w:sectPr>
      </w:pPr>
    </w:p>
    <w:bookmarkStart w:id="3" w:name="page4"/>
    <w:bookmarkEnd w:id="3"/>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Fulgent Genetics,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4399 Santa Anita Avenue, El Monte, CALIFORNIA , 91731.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Schedule 13D (this "Statement") relates to the common stock, par value $0.0001 per share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of Fulgent Genetics, Inc., a Delaware corporation (the "Issuer"). The principal executive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office of the Issuer is located at 4399 Santa Anita Avenue, El Monte, California 91731. Except as expressly amended herein, this Statement supplements Amendment No. 4 to Schedule 13D previously filed with the SEC on March 31,</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2026.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Statement is being filed by Ming Hsieh, (the "Reporting Person") and by the Reporting Person on behalf of The Ming Hsieh Trust (the "Trust").</w:t>
      </w:r>
    </w:p>
    <w:p>
      <w:pPr>
        <w:spacing w:after="0" w:line="17" w:lineRule="exact"/>
        <w:rPr>
          <w:rFonts w:ascii="Times New Roman" w:cs="Times New Roman" w:eastAsia="Times New Roman" w:hAnsi="Times New Roman"/>
          <w:sz w:val="39"/>
          <w:szCs w:val="39"/>
          <w:color w:val="auto"/>
          <w:vertAlign w:val="subscript"/>
        </w:rPr>
      </w:pPr>
    </w:p>
    <w:p>
      <w:pPr>
        <w:ind w:left="920" w:right="2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the Reporting Person and the Trust is c/o Fulgent Genetics, Inc., 4399 Santa Anita Avenue, El Monte, California 91731.</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serves as Chief Executive Officer and Chairperson of the Board of Directors (the "Board") of the Issuer. The Trust was formed for personal estate planning purposes.</w:t>
      </w:r>
    </w:p>
    <w:p>
      <w:pPr>
        <w:spacing w:after="0" w:line="17" w:lineRule="exact"/>
        <w:rPr>
          <w:rFonts w:ascii="Times New Roman" w:cs="Times New Roman" w:eastAsia="Times New Roman" w:hAnsi="Times New Roman"/>
          <w:sz w:val="39"/>
          <w:szCs w:val="39"/>
          <w:color w:val="auto"/>
          <w:vertAlign w:val="subscript"/>
        </w:rPr>
      </w:pPr>
    </w:p>
    <w:p>
      <w:pPr>
        <w:ind w:left="920" w:right="4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neither the Reporting Person nor the Trust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neither the Reporting Person nor the Trust has been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right="280" w:firstLine="8"/>
        <w:spacing w:after="0" w:line="281" w:lineRule="auto"/>
        <w:tabs>
          <w:tab w:leader="none" w:pos="9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citizen of the United States of America. The Trust is organized in the State of California. Item 3. Source and Amount of Funds or Other Consideration</w:t>
      </w:r>
    </w:p>
    <w:p>
      <w:pPr>
        <w:spacing w:after="0" w:line="2"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Since the filing of Amendment No. 4 to this Schedule 13D, the Reporting Person acquired shares of Common Stock solely upon the vesting of equity awards previously granted under the Issuer's equity incentive plans as described below. No cash consideration was paid for the acquisition of shares of Common Stock since the filing of Amendment No. 4 to this Schedule 13. On May 26, 2026, 5,496 shares of Common Stock vested pursuant to issued and outstanding RSUs. 2,949 shares of Common Stock were withheld for the payment of withholding taxes.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The Reporting Person holds the shares of Common Stock reported in this Statement for general investment purposes. The Reporting Person may, from time to time, acquire additional, or dispose of, shares of Common Stock or other securities of the Issuer, in the Reporting Person's capacity as Chief Executive Officer and Chairperson of the Board of the Issuer or otherwise, or engage in discussions with the Issuer concerning investments in the Issuer. The Reporting Person intends to review his ownership of Common Stock (including shares of Common Stock held through the Trust) on a continuing basis and, depending upon the price and availability of shares of Common Stock of the Issuer, subsequent developments affecting the Issuer, the Issuer's business and prospects, other investment and business opportunities available to the Reporting Person, general stock market and economic conditions, tax considerations and other factors considered relevant, the Reporting Person may decide at any time to increase or to decrease the size of his holdings of the Issuer's securities or securities derived of, exercisable for or convertible into the Issuer's securities.</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The Reporting Person beneficially owns 8,872,539 shares of Common Stock of the Issuer, representing 32.26% of all of the issued and outstanding shares of Common Stock of the Issuer. The Trust beneficially owns 7,895,115 shares of</w:t>
      </w:r>
    </w:p>
    <w:p>
      <w:pPr>
        <w:spacing w:after="0" w:line="1" w:lineRule="exact"/>
        <w:rPr>
          <w:sz w:val="20"/>
          <w:szCs w:val="20"/>
          <w:color w:val="auto"/>
        </w:rPr>
      </w:pPr>
    </w:p>
    <w:p>
      <w:pPr>
        <w:jc w:val="both"/>
        <w:ind w:left="920" w:right="340" w:hanging="912"/>
        <w:spacing w:after="0" w:line="249"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of the Issuer, representing 28.72% of all of the issued and outstanding shares of Common Stock of the Issuer. The percentages set forth in this Item 5(a) are based on 27,493,435 shares of Common Stock issued and outstanding as of May 22, 2026, based on information provided to the Reporting Person by the Issuer.</w:t>
      </w:r>
    </w:p>
    <w:p>
      <w:pPr>
        <w:spacing w:after="0" w:line="7" w:lineRule="exact"/>
        <w:rPr>
          <w:rFonts w:ascii="Times New Roman" w:cs="Times New Roman" w:eastAsia="Times New Roman" w:hAnsi="Times New Roman"/>
          <w:sz w:val="21"/>
          <w:szCs w:val="21"/>
          <w:color w:val="auto"/>
        </w:rPr>
      </w:pPr>
    </w:p>
    <w:p>
      <w:pPr>
        <w:ind w:left="920" w:right="20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 has the sole power to vote or direct the vote and dispose or direct the disposition of 8,650,723 shares of Common Stock of the Issuer (which includes the shares of Common Stock held by the Trust) as of and</w:t>
      </w:r>
    </w:p>
    <w:p>
      <w:pPr>
        <w:ind w:left="920" w:right="160" w:hanging="912"/>
        <w:spacing w:after="0" w:line="189"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within sixty (60) days after May 27, 2026. The Reporting Person has shared power to vote or direct the vote or dispose or direct the disposition of 221,816 shares of Common Stock as of and within 60 days of May 27, 2026. The Reporting Person is a member of the investment committee of the Dynasty Trust and, as such, shares voting and dispositive power over the shares held by the Dynasty Trust.</w:t>
      </w:r>
    </w:p>
    <w:p>
      <w:pPr>
        <w:spacing w:after="0" w:line="14" w:lineRule="exact"/>
        <w:rPr>
          <w:rFonts w:ascii="Times New Roman" w:cs="Times New Roman" w:eastAsia="Times New Roman" w:hAnsi="Times New Roman"/>
          <w:sz w:val="43"/>
          <w:szCs w:val="43"/>
          <w:color w:val="auto"/>
          <w:vertAlign w:val="subscript"/>
        </w:rPr>
      </w:pPr>
    </w:p>
    <w:p>
      <w:pPr>
        <w:ind w:left="920" w:right="300" w:hanging="912"/>
        <w:spacing w:after="0" w:line="258"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effected by the Reporting Person in the 60 days prior to the filing of this Statement are set forth in Item 3 of this Statement. Except as set forth in Item 3 of this Statement, no other transactions in the shares of</w:t>
      </w:r>
    </w:p>
    <w:p>
      <w:pPr>
        <w:sectPr>
          <w:pgSz w:w="11900" w:h="16840" w:orient="portrait"/>
          <w:cols w:equalWidth="0" w:num="1">
            <w:col w:w="11160"/>
          </w:cols>
          <w:pgMar w:left="360" w:top="110" w:right="379" w:bottom="0" w:gutter="0" w:footer="0" w:header="0"/>
        </w:sectPr>
      </w:pPr>
    </w:p>
    <w:bookmarkStart w:id="4" w:name="page5"/>
    <w:bookmarkEnd w:id="4"/>
    <w:p>
      <w:pPr>
        <w:ind w:left="920" w:right="200"/>
        <w:spacing w:after="0" w:line="256" w:lineRule="auto"/>
        <w:rPr>
          <w:sz w:val="20"/>
          <w:szCs w:val="20"/>
          <w:color w:val="auto"/>
        </w:rPr>
      </w:pPr>
      <w:r>
        <w:rPr>
          <w:rFonts w:ascii="Times New Roman" w:cs="Times New Roman" w:eastAsia="Times New Roman" w:hAnsi="Times New Roman"/>
          <w:sz w:val="22"/>
          <w:szCs w:val="22"/>
          <w:color w:val="auto"/>
        </w:rPr>
        <w:t>Common Stock of the Issuer have been effected by the Reporting Person during the 60-day period prior to the filing of this Statement.</w:t>
      </w:r>
    </w:p>
    <w:p>
      <w:pPr>
        <w:spacing w:after="0" w:line="1"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3" w:lineRule="auto"/>
        <w:rPr>
          <w:sz w:val="20"/>
          <w:szCs w:val="20"/>
          <w:color w:val="auto"/>
        </w:rPr>
      </w:pPr>
      <w:r>
        <w:rPr>
          <w:rFonts w:ascii="Times New Roman" w:cs="Times New Roman" w:eastAsia="Times New Roman" w:hAnsi="Times New Roman"/>
          <w:sz w:val="22"/>
          <w:szCs w:val="22"/>
          <w:color w:val="auto"/>
        </w:rPr>
        <w:t>1,000,000 shares of Common Stock of the Trust are pledged as security pursuant to a pre-paid forward arrangement as disclosed on that certain Form 4 filed by the Reporting Person with the SEC on March 12, 2024, and 5,760,733 shares of Common Stock of the Trust are pledged as collateral for a credit facility provided to the Trust by The Charles Schwab Corporation. This arrangement is subject to customary terms which provide that, in the event of a default, the lender may be entitled to dispose of the pledged shares. The Reporting Person and his spouse, Eva Hsieh, are members of the investment committee of the Dynasty Trust. See Item 5(b) of this Statement. Except as described herein, there are no contracts, arrangements, understandings or relationships (legal or otherwise) among the persons named in Item 2 of this Statement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00"/>
        <w:spacing w:after="0" w:line="244" w:lineRule="auto"/>
        <w:rPr>
          <w:sz w:val="20"/>
          <w:szCs w:val="20"/>
          <w:color w:val="auto"/>
        </w:rPr>
      </w:pPr>
      <w:r>
        <w:rPr>
          <w:rFonts w:ascii="Times New Roman" w:cs="Times New Roman" w:eastAsia="Times New Roman" w:hAnsi="Times New Roman"/>
          <w:sz w:val="22"/>
          <w:szCs w:val="22"/>
          <w:color w:val="auto"/>
        </w:rPr>
        <w:t>Exhibit 1: Joint Filing Agreement, dated as of December 22, 2020, by and among Mr. Hsieh and the Trust (incorporated by reference to Exhibit 1 of that certain Schedule 13D/A filed with the SEC on December 22, 2020). https://www.sec.gov/Archives/edgar/data/1674930/000156459020058063/none-sc13d.htm</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Ming Hsieh</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Ming Hsieh</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Ming Hsieh</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The Ming Hsieh Trust</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Ming Hsieh</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By: Ming Hsieh, Trustee</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6"/>
      <w:numFmt w:val="bullet"/>
      <w:start w:val="1"/>
    </w:lvl>
  </w:abstractNum>
  <w:abstractNum w:abstractNumId="4">
    <w:nsid w:val="79E2A9E3"/>
    <w:multiLevelType w:val="hybridMultilevel"/>
    <w:lvl w:ilvl="0">
      <w:lvlJc w:val="left"/>
      <w:lvlText w:val="(%1)"/>
      <w:numFmt w:val="lowerRoman"/>
      <w:start w:val="3"/>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2026-05-27T18:43:38Z</dcterms:created>
  <dcterms:modified xsi:type="dcterms:W3CDTF">2026-05-27T18:43:38Z</dcterms:modified>
</cp:coreProperties>
</file>