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ind w:left="520" w:right="300" w:hanging="512"/>
        <w:spacing w:after="0" w:line="227" w:lineRule="auto"/>
        <w:tabs>
          <w:tab w:leader="none" w:pos="443"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520" w:right="300" w:hanging="512"/>
        <w:spacing w:after="0" w:line="235" w:lineRule="auto"/>
        <w:tabs>
          <w:tab w:leader="none" w:pos="443"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3" w:lineRule="exact"/>
        <w:rPr>
          <w:sz w:val="24"/>
          <w:szCs w:val="24"/>
          <w:color w:val="auto"/>
        </w:rPr>
      </w:pPr>
    </w:p>
    <w:p>
      <w:pPr>
        <w:ind w:left="30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3448050</wp:posOffset>
            </wp:positionH>
            <wp:positionV relativeFrom="paragraph">
              <wp:posOffset>-7620</wp:posOffset>
            </wp:positionV>
            <wp:extent cx="8001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FULGENT GENETICS,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00" w:type="dxa"/>
            <w:vAlign w:val="bottom"/>
            <w:gridSpan w:val="2"/>
          </w:tcPr>
          <w:p>
            <w:pPr>
              <w:jc w:val="center"/>
              <w:ind w:left="105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right"/>
              <w:ind w:right="2301"/>
              <w:spacing w:after="0"/>
              <w:rPr>
                <w:sz w:val="20"/>
                <w:szCs w:val="20"/>
                <w:color w:val="auto"/>
              </w:rPr>
            </w:pPr>
            <w:r>
              <w:rPr>
                <w:rFonts w:ascii="Arial" w:cs="Arial" w:eastAsia="Arial" w:hAnsi="Arial"/>
                <w:sz w:val="18"/>
                <w:szCs w:val="18"/>
                <w:b w:val="1"/>
                <w:bCs w:val="1"/>
                <w:color w:val="auto"/>
              </w:rPr>
              <w:t>81-2621304</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jc w:val="center"/>
              <w:ind w:right="204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59"/>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4500" w:type="dxa"/>
            <w:vAlign w:val="bottom"/>
            <w:gridSpan w:val="2"/>
          </w:tcPr>
          <w:p>
            <w:pPr>
              <w:jc w:val="center"/>
              <w:ind w:left="1059"/>
              <w:spacing w:after="0"/>
              <w:rPr>
                <w:sz w:val="20"/>
                <w:szCs w:val="20"/>
                <w:color w:val="auto"/>
              </w:rPr>
            </w:pPr>
            <w:r>
              <w:rPr>
                <w:rFonts w:ascii="Arial" w:cs="Arial" w:eastAsia="Arial" w:hAnsi="Arial"/>
                <w:sz w:val="18"/>
                <w:szCs w:val="18"/>
                <w:b w:val="1"/>
                <w:bCs w:val="1"/>
                <w:color w:val="auto"/>
                <w:w w:val="89"/>
              </w:rPr>
              <w:t>4978 Santa Anita Avenue</w:t>
            </w:r>
          </w:p>
        </w:tc>
        <w:tc>
          <w:tcPr>
            <w:tcW w:w="2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80" w:type="dxa"/>
            <w:vAlign w:val="bottom"/>
            <w:vMerge w:val="restart"/>
          </w:tcPr>
          <w:p>
            <w:pPr>
              <w:jc w:val="right"/>
              <w:ind w:right="2501"/>
              <w:spacing w:after="0"/>
              <w:rPr>
                <w:sz w:val="20"/>
                <w:szCs w:val="20"/>
                <w:color w:val="auto"/>
              </w:rPr>
            </w:pPr>
            <w:r>
              <w:rPr>
                <w:rFonts w:ascii="Arial" w:cs="Arial" w:eastAsia="Arial" w:hAnsi="Arial"/>
                <w:sz w:val="18"/>
                <w:szCs w:val="18"/>
                <w:b w:val="1"/>
                <w:bCs w:val="1"/>
                <w:color w:val="auto"/>
              </w:rPr>
              <w:t>91780</w:t>
            </w:r>
          </w:p>
        </w:tc>
        <w:tc>
          <w:tcPr>
            <w:tcW w:w="0" w:type="dxa"/>
            <w:vAlign w:val="bottom"/>
          </w:tcPr>
          <w:p>
            <w:pPr>
              <w:spacing w:after="0"/>
              <w:rPr>
                <w:sz w:val="1"/>
                <w:szCs w:val="1"/>
                <w:color w:val="auto"/>
              </w:rPr>
            </w:pPr>
          </w:p>
        </w:tc>
      </w:tr>
      <w:tr>
        <w:trPr>
          <w:trHeight w:val="207"/>
        </w:trPr>
        <w:tc>
          <w:tcPr>
            <w:tcW w:w="4500" w:type="dxa"/>
            <w:vAlign w:val="bottom"/>
            <w:gridSpan w:val="2"/>
          </w:tcPr>
          <w:p>
            <w:pPr>
              <w:jc w:val="center"/>
              <w:ind w:left="1059"/>
              <w:spacing w:after="0"/>
              <w:rPr>
                <w:sz w:val="20"/>
                <w:szCs w:val="20"/>
                <w:color w:val="auto"/>
              </w:rPr>
            </w:pPr>
            <w:r>
              <w:rPr>
                <w:rFonts w:ascii="Arial" w:cs="Arial" w:eastAsia="Arial" w:hAnsi="Arial"/>
                <w:sz w:val="18"/>
                <w:szCs w:val="18"/>
                <w:b w:val="1"/>
                <w:bCs w:val="1"/>
                <w:color w:val="auto"/>
                <w:w w:val="92"/>
              </w:rPr>
              <w:t>Temple City, CA</w:t>
            </w:r>
          </w:p>
        </w:tc>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69"/>
        </w:trPr>
        <w:tc>
          <w:tcPr>
            <w:tcW w:w="3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(626) 350-0537</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760" w:type="dxa"/>
            <w:vAlign w:val="bottom"/>
            <w:gridSpan w:val="5"/>
          </w:tcPr>
          <w:p>
            <w:pPr>
              <w:jc w:val="center"/>
              <w:ind w:left="3419"/>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4500" w:type="dxa"/>
            <w:vAlign w:val="bottom"/>
            <w:gridSpan w:val="2"/>
            <w:vMerge w:val="restart"/>
          </w:tcPr>
          <w:p>
            <w:pPr>
              <w:ind w:left="52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24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500" w:type="dxa"/>
            <w:vAlign w:val="bottom"/>
            <w:gridSpan w:val="2"/>
            <w:vMerge w:val="continue"/>
          </w:tcPr>
          <w:p>
            <w:pPr>
              <w:spacing w:after="0"/>
              <w:rPr>
                <w:sz w:val="22"/>
                <w:szCs w:val="22"/>
                <w:color w:val="auto"/>
              </w:rPr>
            </w:pPr>
          </w:p>
        </w:tc>
        <w:tc>
          <w:tcPr>
            <w:tcW w:w="2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36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316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8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gridSpan w:val="2"/>
          </w:tcPr>
          <w:p>
            <w:pPr>
              <w:jc w:val="center"/>
              <w:ind w:right="880"/>
              <w:spacing w:after="0"/>
              <w:rPr>
                <w:sz w:val="20"/>
                <w:szCs w:val="20"/>
                <w:color w:val="auto"/>
              </w:rPr>
            </w:pPr>
            <w:r>
              <w:rPr>
                <w:rFonts w:ascii="Arial" w:cs="Arial" w:eastAsia="Arial" w:hAnsi="Arial"/>
                <w:sz w:val="16"/>
                <w:szCs w:val="16"/>
                <w:b w:val="1"/>
                <w:bCs w:val="1"/>
                <w:color w:val="auto"/>
                <w:w w:val="91"/>
              </w:rPr>
              <w:t>Trading Symbol(s)</w:t>
            </w:r>
          </w:p>
        </w:tc>
        <w:tc>
          <w:tcPr>
            <w:tcW w:w="100" w:type="dxa"/>
            <w:vAlign w:val="bottom"/>
            <w:tcBorders>
              <w:bottom w:val="single" w:sz="8" w:color="auto"/>
            </w:tcBorders>
          </w:tcPr>
          <w:p>
            <w:pPr>
              <w:spacing w:after="0"/>
              <w:rPr>
                <w:sz w:val="23"/>
                <w:szCs w:val="23"/>
                <w:color w:val="auto"/>
              </w:rPr>
            </w:pPr>
          </w:p>
        </w:tc>
        <w:tc>
          <w:tcPr>
            <w:tcW w:w="3480" w:type="dxa"/>
            <w:vAlign w:val="bottom"/>
            <w:tcBorders>
              <w:bottom w:val="single" w:sz="8" w:color="auto"/>
              <w:right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129"/>
        </w:trPr>
        <w:tc>
          <w:tcPr>
            <w:tcW w:w="3620" w:type="dxa"/>
            <w:vAlign w:val="bottom"/>
            <w:tcBorders>
              <w:left w:val="single" w:sz="8" w:color="auto"/>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Common Stock, par value $0.0001 per share</w:t>
            </w:r>
          </w:p>
        </w:tc>
        <w:tc>
          <w:tcPr>
            <w:tcW w:w="880" w:type="dxa"/>
            <w:vAlign w:val="bottom"/>
          </w:tcPr>
          <w:p>
            <w:pPr>
              <w:spacing w:after="0"/>
              <w:rPr>
                <w:sz w:val="11"/>
                <w:szCs w:val="11"/>
                <w:color w:val="auto"/>
              </w:rPr>
            </w:pPr>
          </w:p>
        </w:tc>
        <w:tc>
          <w:tcPr>
            <w:tcW w:w="3160" w:type="dxa"/>
            <w:vAlign w:val="bottom"/>
            <w:tcBorders>
              <w:right w:val="single" w:sz="8" w:color="auto"/>
            </w:tcBorders>
            <w:gridSpan w:val="2"/>
          </w:tcPr>
          <w:p>
            <w:pPr>
              <w:jc w:val="center"/>
              <w:ind w:right="880"/>
              <w:spacing w:after="0" w:line="129" w:lineRule="exact"/>
              <w:rPr>
                <w:sz w:val="20"/>
                <w:szCs w:val="20"/>
                <w:color w:val="auto"/>
              </w:rPr>
            </w:pPr>
            <w:r>
              <w:rPr>
                <w:rFonts w:ascii="Arial" w:cs="Arial" w:eastAsia="Arial" w:hAnsi="Arial"/>
                <w:sz w:val="14"/>
                <w:szCs w:val="14"/>
                <w:color w:val="auto"/>
              </w:rPr>
              <w:t>FLGT</w:t>
            </w:r>
          </w:p>
        </w:tc>
        <w:tc>
          <w:tcPr>
            <w:tcW w:w="100" w:type="dxa"/>
            <w:vAlign w:val="bottom"/>
          </w:tcPr>
          <w:p>
            <w:pPr>
              <w:spacing w:after="0"/>
              <w:rPr>
                <w:sz w:val="11"/>
                <w:szCs w:val="11"/>
                <w:color w:val="auto"/>
              </w:rPr>
            </w:pPr>
          </w:p>
        </w:tc>
        <w:tc>
          <w:tcPr>
            <w:tcW w:w="3480" w:type="dxa"/>
            <w:vAlign w:val="bottom"/>
            <w:tcBorders>
              <w:right w:val="single" w:sz="8" w:color="auto"/>
            </w:tcBorders>
          </w:tcPr>
          <w:p>
            <w:pPr>
              <w:jc w:val="center"/>
              <w:ind w:right="81"/>
              <w:spacing w:after="0" w:line="129" w:lineRule="exact"/>
              <w:rPr>
                <w:sz w:val="20"/>
                <w:szCs w:val="20"/>
                <w:color w:val="auto"/>
              </w:rPr>
            </w:pPr>
            <w:r>
              <w:rPr>
                <w:rFonts w:ascii="Arial" w:cs="Arial" w:eastAsia="Arial" w:hAnsi="Arial"/>
                <w:sz w:val="14"/>
                <w:szCs w:val="14"/>
                <w:color w:val="auto"/>
              </w:rPr>
              <w:t>The Nasdaq Stock Market</w:t>
            </w:r>
          </w:p>
        </w:tc>
        <w:tc>
          <w:tcPr>
            <w:tcW w:w="0" w:type="dxa"/>
            <w:vAlign w:val="bottom"/>
          </w:tcPr>
          <w:p>
            <w:pPr>
              <w:spacing w:after="0"/>
              <w:rPr>
                <w:sz w:val="1"/>
                <w:szCs w:val="1"/>
                <w:color w:val="auto"/>
              </w:rPr>
            </w:pPr>
          </w:p>
        </w:tc>
      </w:tr>
      <w:tr>
        <w:trPr>
          <w:trHeight w:val="199"/>
        </w:trPr>
        <w:tc>
          <w:tcPr>
            <w:tcW w:w="362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jc w:val="center"/>
              <w:ind w:right="41"/>
              <w:spacing w:after="0"/>
              <w:rPr>
                <w:sz w:val="20"/>
                <w:szCs w:val="20"/>
                <w:color w:val="auto"/>
              </w:rPr>
            </w:pPr>
            <w:r>
              <w:rPr>
                <w:rFonts w:ascii="Arial" w:cs="Arial" w:eastAsia="Arial" w:hAnsi="Arial"/>
                <w:sz w:val="16"/>
                <w:szCs w:val="16"/>
                <w:color w:val="auto"/>
                <w:w w:val="94"/>
              </w:rPr>
              <w:t>(Nasdaq Global Market)</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firstLine="509"/>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ind w:right="180" w:firstLine="509"/>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40" w:firstLine="509"/>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8"/>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jc w:val="both"/>
        <w:ind w:right="80" w:firstLine="50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520" w:right="216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 2022, there were 30,327,203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3"/>
          </w:tcPr>
          <w:p>
            <w:pPr>
              <w:ind w:left="220"/>
              <w:spacing w:after="0"/>
              <w:rPr>
                <w:sz w:val="20"/>
                <w:szCs w:val="20"/>
                <w:color w:val="auto"/>
              </w:rPr>
            </w:pPr>
            <w:r>
              <w:rPr>
                <w:rFonts w:ascii="Arial" w:cs="Arial" w:eastAsia="Arial" w:hAnsi="Arial"/>
                <w:sz w:val="22"/>
                <w:szCs w:val="22"/>
                <w:b w:val="1"/>
                <w:bCs w:val="1"/>
                <w:color w:val="auto"/>
              </w:rPr>
              <w:t>Table of Contents</w:t>
            </w:r>
          </w:p>
        </w:tc>
        <w:tc>
          <w:tcPr>
            <w:tcW w:w="2260" w:type="dxa"/>
            <w:vAlign w:val="bottom"/>
          </w:tcPr>
          <w:p>
            <w:pPr>
              <w:spacing w:after="0"/>
              <w:rPr>
                <w:sz w:val="24"/>
                <w:szCs w:val="24"/>
                <w:color w:val="auto"/>
              </w:rPr>
            </w:pPr>
          </w:p>
        </w:tc>
      </w:tr>
      <w:tr>
        <w:trPr>
          <w:trHeight w:val="449"/>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Arial" w:cs="Arial" w:eastAsia="Arial" w:hAnsi="Arial"/>
                <w:sz w:val="18"/>
                <w:szCs w:val="18"/>
                <w:b w:val="1"/>
                <w:bCs w:val="1"/>
                <w:color w:val="auto"/>
                <w:w w:val="78"/>
              </w:rPr>
              <w:t>Page</w:t>
            </w:r>
          </w:p>
        </w:tc>
      </w:tr>
      <w:tr>
        <w:trPr>
          <w:trHeight w:val="256"/>
        </w:trPr>
        <w:tc>
          <w:tcPr>
            <w:tcW w:w="8900" w:type="dxa"/>
            <w:vAlign w:val="bottom"/>
            <w:gridSpan w:val="17"/>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Income</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Income</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Stockholders’ Equity</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5</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Condensed Consolidated Financial Statements</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20</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3. Quantitative and Qualitative Disclosures About Market Risk</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8"/>
            <w:shd w:val="clear" w:color="auto" w:fill="0000FF"/>
          </w:tcPr>
          <w:p>
            <w:pPr>
              <w:spacing w:after="0" w:line="20" w:lineRule="exact"/>
              <w:rPr>
                <w:sz w:val="1"/>
                <w:szCs w:val="1"/>
                <w:color w:val="auto"/>
              </w:rPr>
            </w:pPr>
          </w:p>
        </w:tc>
        <w:tc>
          <w:tcPr>
            <w:tcW w:w="4000" w:type="dxa"/>
            <w:vAlign w:val="bottom"/>
            <w:tcBorders>
              <w:left w:val="single" w:sz="8" w:color="0000FF"/>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4. Controls and Procedures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II—OTHER INFORMATION</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28</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1. Legal Proceedings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28</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10"/>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1A. Risk Factors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28</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 Unregistered Sales of Equity Securities and Use of Proceeds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28</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10"/>
            <w:shd w:val="clear" w:color="auto" w:fill="0000FF"/>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5. Other Information</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29</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6. Exhibits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29</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740" w:type="dxa"/>
            <w:vAlign w:val="bottom"/>
            <w:gridSpan w:val="1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Exhibit Index</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30</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920" w:type="dxa"/>
            <w:vAlign w:val="bottom"/>
            <w:gridSpan w:val="15"/>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Signatures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11"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par value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76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353,069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164,894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232,045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285,605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Trade accounts receivable, net of allowance for credit losses of $22,126 and $11,217</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160,261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138,912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19,958</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765,333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611,960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 long-term</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493,182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485,047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Redeemable preferred stock investment</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17,609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21,965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Fixed assets, net</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68,622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62,287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35,037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50,999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50,897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34,808</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10,650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1,465,590</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1,278,720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23,699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20,494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11,847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17,689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payable</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52,163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Contract liabilities</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14,102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14,570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Customer deposit</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17,729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Investment margin loan</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14,999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15,137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Notes payable, current portion</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6,086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6,147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1,089</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300"/>
              <w:spacing w:after="0" w:line="196" w:lineRule="exact"/>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141,714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105,310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Unrecognized tax benefits</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9,706</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152,630</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112,840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8)</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200"/>
              <w:spacing w:after="0" w:line="162" w:lineRule="exact"/>
              <w:rPr>
                <w:sz w:val="20"/>
                <w:szCs w:val="20"/>
                <w:color w:val="auto"/>
              </w:rPr>
            </w:pPr>
            <w:r>
              <w:rPr>
                <w:rFonts w:ascii="Arial" w:cs="Arial" w:eastAsia="Arial" w:hAnsi="Arial"/>
                <w:sz w:val="18"/>
                <w:szCs w:val="18"/>
                <w:color w:val="auto"/>
                <w:w w:val="93"/>
              </w:rPr>
              <w:t>Common stock, $0.0001 par value per share, 50,000 shares authorized, 30,327 and 30,160 shares</w:t>
            </w:r>
          </w:p>
        </w:tc>
        <w:tc>
          <w:tcPr>
            <w:tcW w:w="3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0"/>
              <w:spacing w:after="0"/>
              <w:rPr>
                <w:sz w:val="20"/>
                <w:szCs w:val="20"/>
                <w:color w:val="auto"/>
              </w:rPr>
            </w:pPr>
            <w:r>
              <w:rPr>
                <w:rFonts w:ascii="Arial" w:cs="Arial" w:eastAsia="Arial" w:hAnsi="Arial"/>
                <w:sz w:val="18"/>
                <w:szCs w:val="18"/>
                <w:color w:val="auto"/>
              </w:rPr>
              <w:t>issued and outstanding</w:t>
            </w:r>
          </w:p>
        </w:tc>
        <w:tc>
          <w:tcPr>
            <w:tcW w:w="3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89"/>
              </w:rPr>
              <w:t>Preferred stock, $0.0001 par value per share, 1,000 shares authorized, no shares issued or outstanding</w:t>
            </w:r>
          </w:p>
        </w:tc>
        <w:tc>
          <w:tcPr>
            <w:tcW w:w="3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507,046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501,908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(12,493 )</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(759 )</w:t>
            </w: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811,576</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657,597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Fulgent stockholders' equity</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1,306,132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1,158,749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6,828</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1,312,960</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1,165,880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1,465,590</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1,278,720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-3691255</wp:posOffset>
            </wp:positionV>
            <wp:extent cx="5143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-3691255</wp:posOffset>
            </wp:positionV>
            <wp:extent cx="51435" cy="16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16002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-2113915</wp:posOffset>
            </wp:positionV>
            <wp:extent cx="5143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-2113915</wp:posOffset>
            </wp:positionV>
            <wp:extent cx="51435" cy="133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13398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-1582420</wp:posOffset>
            </wp:positionV>
            <wp:extent cx="514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-1582420</wp:posOffset>
            </wp:positionV>
            <wp:extent cx="51435" cy="133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13398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51435" cy="16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16002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080" w:type="dxa"/>
            <w:vAlign w:val="bottom"/>
            <w:tcBorders>
              <w:top w:val="single" w:sz="8" w:color="auto"/>
            </w:tcBorders>
            <w:shd w:val="clear" w:color="auto" w:fill="CFF0FC"/>
          </w:tcPr>
          <w:p>
            <w:pPr>
              <w:jc w:val="right"/>
              <w:ind w:right="876"/>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320,268</w:t>
            </w:r>
          </w:p>
        </w:tc>
        <w:tc>
          <w:tcPr>
            <w:tcW w:w="26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359,429</w:t>
            </w:r>
          </w:p>
        </w:tc>
        <w:tc>
          <w:tcPr>
            <w:tcW w:w="60" w:type="dxa"/>
            <w:vAlign w:val="bottom"/>
            <w:shd w:val="clear" w:color="auto" w:fill="CFF0FC"/>
          </w:tcPr>
          <w:p>
            <w:pPr>
              <w:spacing w:after="0"/>
              <w:rPr>
                <w:sz w:val="17"/>
                <w:szCs w:val="17"/>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77,725</w:t>
            </w:r>
          </w:p>
        </w:tc>
        <w:tc>
          <w:tcPr>
            <w:tcW w:w="2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74,075</w:t>
            </w:r>
          </w:p>
        </w:tc>
        <w:tc>
          <w:tcPr>
            <w:tcW w:w="60" w:type="dxa"/>
            <w:vAlign w:val="bottom"/>
          </w:tcPr>
          <w:p>
            <w:pPr>
              <w:spacing w:after="0"/>
              <w:rPr>
                <w:sz w:val="17"/>
                <w:szCs w:val="17"/>
                <w:color w:val="auto"/>
              </w:rPr>
            </w:pPr>
          </w:p>
        </w:tc>
      </w:tr>
      <w:tr>
        <w:trPr>
          <w:trHeight w:val="196"/>
        </w:trPr>
        <w:tc>
          <w:tcPr>
            <w:tcW w:w="74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242,543</w:t>
            </w: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285,354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44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5,989</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5,422</w:t>
            </w:r>
          </w:p>
        </w:tc>
        <w:tc>
          <w:tcPr>
            <w:tcW w:w="60" w:type="dxa"/>
            <w:vAlign w:val="bottom"/>
            <w:shd w:val="clear" w:color="auto" w:fill="CFF0FC"/>
          </w:tcPr>
          <w:p>
            <w:pPr>
              <w:spacing w:after="0"/>
              <w:rPr>
                <w:sz w:val="17"/>
                <w:szCs w:val="17"/>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Selling and marketing</w:t>
            </w:r>
          </w:p>
        </w:tc>
        <w:tc>
          <w:tcPr>
            <w:tcW w:w="10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7,940</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5,008</w:t>
            </w:r>
          </w:p>
        </w:tc>
        <w:tc>
          <w:tcPr>
            <w:tcW w:w="60" w:type="dxa"/>
            <w:vAlign w:val="bottom"/>
          </w:tcPr>
          <w:p>
            <w:pPr>
              <w:spacing w:after="0"/>
              <w:rPr>
                <w:sz w:val="17"/>
                <w:szCs w:val="17"/>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25,775</w:t>
            </w: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8,002</w:t>
            </w:r>
          </w:p>
        </w:tc>
        <w:tc>
          <w:tcPr>
            <w:tcW w:w="60" w:type="dxa"/>
            <w:vAlign w:val="bottom"/>
            <w:shd w:val="clear" w:color="auto" w:fill="CFF0FC"/>
          </w:tcPr>
          <w:p>
            <w:pPr>
              <w:spacing w:after="0"/>
              <w:rPr>
                <w:sz w:val="17"/>
                <w:szCs w:val="17"/>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906</w:t>
            </w:r>
          </w:p>
        </w:tc>
        <w:tc>
          <w:tcPr>
            <w:tcW w:w="2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7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40,610</w:t>
            </w: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18,432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440" w:type="dxa"/>
            <w:vAlign w:val="bottom"/>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201,933</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266,922</w:t>
            </w:r>
          </w:p>
        </w:tc>
        <w:tc>
          <w:tcPr>
            <w:tcW w:w="60" w:type="dxa"/>
            <w:vAlign w:val="bottom"/>
          </w:tcPr>
          <w:p>
            <w:pPr>
              <w:spacing w:after="0"/>
              <w:rPr>
                <w:sz w:val="17"/>
                <w:szCs w:val="17"/>
                <w:color w:val="auto"/>
              </w:rPr>
            </w:pPr>
          </w:p>
        </w:tc>
      </w:tr>
      <w:tr>
        <w:trPr>
          <w:trHeight w:val="203"/>
        </w:trPr>
        <w:tc>
          <w:tcPr>
            <w:tcW w:w="74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and other income, net</w:t>
            </w: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440" w:type="dxa"/>
            <w:vAlign w:val="bottom"/>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10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201,978</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267,204</w:t>
            </w:r>
          </w:p>
        </w:tc>
        <w:tc>
          <w:tcPr>
            <w:tcW w:w="60" w:type="dxa"/>
            <w:vAlign w:val="bottom"/>
          </w:tcPr>
          <w:p>
            <w:pPr>
              <w:spacing w:after="0"/>
              <w:rPr>
                <w:sz w:val="17"/>
                <w:szCs w:val="17"/>
                <w:color w:val="auto"/>
              </w:rPr>
            </w:pPr>
          </w:p>
        </w:tc>
      </w:tr>
      <w:tr>
        <w:trPr>
          <w:trHeight w:val="203"/>
        </w:trPr>
        <w:tc>
          <w:tcPr>
            <w:tcW w:w="74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48,421</w:t>
            </w: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66,513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440" w:type="dxa"/>
            <w:vAlign w:val="bottom"/>
          </w:tcPr>
          <w:p>
            <w:pPr>
              <w:ind w:left="20"/>
              <w:spacing w:after="0" w:line="196" w:lineRule="exact"/>
              <w:rPr>
                <w:sz w:val="20"/>
                <w:szCs w:val="20"/>
                <w:color w:val="auto"/>
              </w:rPr>
            </w:pPr>
            <w:r>
              <w:rPr>
                <w:rFonts w:ascii="Arial" w:cs="Arial" w:eastAsia="Arial" w:hAnsi="Arial"/>
                <w:sz w:val="18"/>
                <w:szCs w:val="18"/>
                <w:color w:val="auto"/>
              </w:rPr>
              <w:t>Net income from consolidated operations</w:t>
            </w:r>
          </w:p>
        </w:tc>
        <w:tc>
          <w:tcPr>
            <w:tcW w:w="10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153,557</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200,691</w:t>
            </w:r>
          </w:p>
        </w:tc>
        <w:tc>
          <w:tcPr>
            <w:tcW w:w="60" w:type="dxa"/>
            <w:vAlign w:val="bottom"/>
          </w:tcPr>
          <w:p>
            <w:pPr>
              <w:spacing w:after="0"/>
              <w:rPr>
                <w:sz w:val="17"/>
                <w:szCs w:val="17"/>
                <w:color w:val="auto"/>
              </w:rPr>
            </w:pPr>
          </w:p>
        </w:tc>
      </w:tr>
      <w:tr>
        <w:trPr>
          <w:trHeight w:val="203"/>
        </w:trPr>
        <w:tc>
          <w:tcPr>
            <w:tcW w:w="74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attributable to noncontrolling interests</w:t>
            </w: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422</w:t>
            </w:r>
          </w:p>
        </w:tc>
        <w:tc>
          <w:tcPr>
            <w:tcW w:w="2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440" w:type="dxa"/>
            <w:vAlign w:val="bottom"/>
          </w:tcPr>
          <w:p>
            <w:pPr>
              <w:ind w:left="20"/>
              <w:spacing w:after="0" w:line="196" w:lineRule="exact"/>
              <w:rPr>
                <w:sz w:val="20"/>
                <w:szCs w:val="20"/>
                <w:color w:val="auto"/>
              </w:rPr>
            </w:pPr>
            <w:r>
              <w:rPr>
                <w:rFonts w:ascii="Arial" w:cs="Arial" w:eastAsia="Arial" w:hAnsi="Arial"/>
                <w:sz w:val="18"/>
                <w:szCs w:val="18"/>
                <w:color w:val="auto"/>
              </w:rPr>
              <w:t>Net income attributable to Fulgent</w:t>
            </w:r>
          </w:p>
        </w:tc>
        <w:tc>
          <w:tcPr>
            <w:tcW w:w="1080" w:type="dxa"/>
            <w:vAlign w:val="bottom"/>
          </w:tcPr>
          <w:p>
            <w:pPr>
              <w:jc w:val="right"/>
              <w:ind w:right="876"/>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153,979</w:t>
            </w:r>
          </w:p>
        </w:tc>
        <w:tc>
          <w:tcPr>
            <w:tcW w:w="1340" w:type="dxa"/>
            <w:vAlign w:val="bottom"/>
            <w:gridSpan w:val="2"/>
          </w:tcPr>
          <w:p>
            <w:pPr>
              <w:jc w:val="right"/>
              <w:ind w:right="890"/>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5"/>
              </w:rPr>
              <w:t>200,691</w:t>
            </w:r>
          </w:p>
        </w:tc>
        <w:tc>
          <w:tcPr>
            <w:tcW w:w="6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4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Net income per common share attributable to Fulgent:</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2"/>
        </w:trPr>
        <w:tc>
          <w:tcPr>
            <w:tcW w:w="74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1080" w:type="dxa"/>
            <w:vAlign w:val="bottom"/>
            <w:tcBorders>
              <w:bottom w:val="single" w:sz="8" w:color="auto"/>
            </w:tcBorders>
            <w:shd w:val="clear" w:color="auto" w:fill="CFF0FC"/>
          </w:tcPr>
          <w:p>
            <w:pPr>
              <w:jc w:val="right"/>
              <w:ind w:right="876"/>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5.09</w:t>
            </w:r>
          </w:p>
        </w:tc>
        <w:tc>
          <w:tcPr>
            <w:tcW w:w="2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89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6.96</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83"/>
        </w:trPr>
        <w:tc>
          <w:tcPr>
            <w:tcW w:w="7440" w:type="dxa"/>
            <w:vAlign w:val="bottom"/>
          </w:tcPr>
          <w:p>
            <w:pPr>
              <w:ind w:left="200"/>
              <w:spacing w:after="0" w:line="183" w:lineRule="exact"/>
              <w:rPr>
                <w:sz w:val="20"/>
                <w:szCs w:val="20"/>
                <w:color w:val="auto"/>
              </w:rPr>
            </w:pPr>
            <w:r>
              <w:rPr>
                <w:rFonts w:ascii="Arial" w:cs="Arial" w:eastAsia="Arial" w:hAnsi="Arial"/>
                <w:sz w:val="18"/>
                <w:szCs w:val="18"/>
                <w:color w:val="auto"/>
              </w:rPr>
              <w:t>Diluted</w:t>
            </w:r>
          </w:p>
        </w:tc>
        <w:tc>
          <w:tcPr>
            <w:tcW w:w="1080" w:type="dxa"/>
            <w:vAlign w:val="bottom"/>
          </w:tcPr>
          <w:p>
            <w:pPr>
              <w:jc w:val="right"/>
              <w:ind w:right="876"/>
              <w:spacing w:after="0" w:line="183" w:lineRule="exact"/>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line="183" w:lineRule="exact"/>
              <w:rPr>
                <w:sz w:val="20"/>
                <w:szCs w:val="20"/>
                <w:color w:val="auto"/>
              </w:rPr>
            </w:pPr>
            <w:r>
              <w:rPr>
                <w:rFonts w:ascii="Arial" w:cs="Arial" w:eastAsia="Arial" w:hAnsi="Arial"/>
                <w:sz w:val="18"/>
                <w:szCs w:val="18"/>
                <w:color w:val="auto"/>
              </w:rPr>
              <w:t>4.93</w:t>
            </w:r>
          </w:p>
        </w:tc>
        <w:tc>
          <w:tcPr>
            <w:tcW w:w="1340" w:type="dxa"/>
            <w:vAlign w:val="bottom"/>
            <w:gridSpan w:val="2"/>
          </w:tcPr>
          <w:p>
            <w:pPr>
              <w:jc w:val="right"/>
              <w:ind w:right="890"/>
              <w:spacing w:after="0" w:line="183"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8"/>
                <w:szCs w:val="18"/>
                <w:color w:val="auto"/>
              </w:rPr>
              <w:t>6.52</w:t>
            </w:r>
          </w:p>
        </w:tc>
        <w:tc>
          <w:tcPr>
            <w:tcW w:w="60" w:type="dxa"/>
            <w:vAlign w:val="bottom"/>
          </w:tcPr>
          <w:p>
            <w:pPr>
              <w:spacing w:after="0"/>
              <w:rPr>
                <w:sz w:val="15"/>
                <w:szCs w:val="15"/>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74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common shares:</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74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10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30,234</w:t>
            </w:r>
          </w:p>
        </w:tc>
        <w:tc>
          <w:tcPr>
            <w:tcW w:w="2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28,831</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83"/>
        </w:trPr>
        <w:tc>
          <w:tcPr>
            <w:tcW w:w="7440" w:type="dxa"/>
            <w:vAlign w:val="bottom"/>
          </w:tcPr>
          <w:p>
            <w:pPr>
              <w:ind w:left="200"/>
              <w:spacing w:after="0" w:line="183" w:lineRule="exact"/>
              <w:rPr>
                <w:sz w:val="20"/>
                <w:szCs w:val="20"/>
                <w:color w:val="auto"/>
              </w:rPr>
            </w:pPr>
            <w:r>
              <w:rPr>
                <w:rFonts w:ascii="Arial" w:cs="Arial" w:eastAsia="Arial" w:hAnsi="Arial"/>
                <w:sz w:val="18"/>
                <w:szCs w:val="18"/>
                <w:color w:val="auto"/>
              </w:rPr>
              <w:t>Diluted</w:t>
            </w:r>
          </w:p>
        </w:tc>
        <w:tc>
          <w:tcPr>
            <w:tcW w:w="10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31,240</w:t>
            </w:r>
          </w:p>
        </w:tc>
        <w:tc>
          <w:tcPr>
            <w:tcW w:w="2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30,770</w:t>
            </w:r>
          </w:p>
        </w:tc>
        <w:tc>
          <w:tcPr>
            <w:tcW w:w="60" w:type="dxa"/>
            <w:vAlign w:val="bottom"/>
          </w:tcPr>
          <w:p>
            <w:pPr>
              <w:spacing w:after="0"/>
              <w:rPr>
                <w:sz w:val="15"/>
                <w:szCs w:val="15"/>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-2876550</wp:posOffset>
            </wp:positionV>
            <wp:extent cx="431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-2876550</wp:posOffset>
            </wp:positionV>
            <wp:extent cx="431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-2087880</wp:posOffset>
            </wp:positionV>
            <wp:extent cx="431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-2087880</wp:posOffset>
            </wp:positionV>
            <wp:extent cx="431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-1822450</wp:posOffset>
            </wp:positionV>
            <wp:extent cx="431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-1822450</wp:posOffset>
            </wp:positionV>
            <wp:extent cx="431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-1556385</wp:posOffset>
            </wp:positionV>
            <wp:extent cx="431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-1556385</wp:posOffset>
            </wp:positionV>
            <wp:extent cx="431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-1290955</wp:posOffset>
            </wp:positionV>
            <wp:extent cx="431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-1290955</wp:posOffset>
            </wp:positionV>
            <wp:extent cx="431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-745490</wp:posOffset>
            </wp:positionV>
            <wp:extent cx="43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-728345</wp:posOffset>
            </wp:positionV>
            <wp:extent cx="431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-745490</wp:posOffset>
            </wp:positionV>
            <wp:extent cx="431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-728345</wp:posOffset>
            </wp:positionV>
            <wp:extent cx="431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-179070</wp:posOffset>
            </wp:positionV>
            <wp:extent cx="43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431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-179070</wp:posOffset>
            </wp:positionV>
            <wp:extent cx="4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-162560</wp:posOffset>
            </wp:positionV>
            <wp:extent cx="43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44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from consolidated operations</w:t>
            </w:r>
          </w:p>
        </w:tc>
        <w:tc>
          <w:tcPr>
            <w:tcW w:w="1080" w:type="dxa"/>
            <w:vAlign w:val="bottom"/>
            <w:shd w:val="clear" w:color="auto" w:fill="CFF0FC"/>
          </w:tcPr>
          <w:p>
            <w:pPr>
              <w:jc w:val="right"/>
              <w:ind w:right="899"/>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153,557</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200,691</w:t>
            </w:r>
          </w:p>
        </w:tc>
        <w:tc>
          <w:tcPr>
            <w:tcW w:w="80" w:type="dxa"/>
            <w:vAlign w:val="bottom"/>
            <w:shd w:val="clear" w:color="auto" w:fill="CFF0FC"/>
          </w:tcPr>
          <w:p>
            <w:pPr>
              <w:spacing w:after="0"/>
              <w:rPr>
                <w:sz w:val="17"/>
                <w:szCs w:val="17"/>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comprehensive income (loss):</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gain</w:t>
            </w: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Net loss on available-for-sale debt securities, net of tax</w:t>
            </w:r>
          </w:p>
        </w:tc>
        <w:tc>
          <w:tcPr>
            <w:tcW w:w="1080" w:type="dxa"/>
            <w:vAlign w:val="bottom"/>
          </w:tcPr>
          <w:p>
            <w:pPr>
              <w:spacing w:after="0"/>
              <w:rPr>
                <w:sz w:val="17"/>
                <w:szCs w:val="17"/>
                <w:color w:val="auto"/>
              </w:rPr>
            </w:pPr>
          </w:p>
        </w:tc>
        <w:tc>
          <w:tcPr>
            <w:tcW w:w="9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9"/>
              </w:rPr>
              <w:t>(11,738 )</w:t>
            </w:r>
          </w:p>
        </w:tc>
        <w:tc>
          <w:tcPr>
            <w:tcW w:w="10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(654 )</w:t>
            </w: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Comprehensive income from consolidated operations</w:t>
            </w:r>
          </w:p>
        </w:tc>
        <w:tc>
          <w:tcPr>
            <w:tcW w:w="10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141,942</w:t>
            </w:r>
          </w:p>
        </w:tc>
        <w:tc>
          <w:tcPr>
            <w:tcW w:w="28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200,037</w:t>
            </w:r>
          </w:p>
        </w:tc>
        <w:tc>
          <w:tcPr>
            <w:tcW w:w="80" w:type="dxa"/>
            <w:vAlign w:val="bottom"/>
            <w:shd w:val="clear" w:color="auto" w:fill="CFF0FC"/>
          </w:tcPr>
          <w:p>
            <w:pPr>
              <w:spacing w:after="0"/>
              <w:rPr>
                <w:sz w:val="17"/>
                <w:szCs w:val="17"/>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Net loss attributable to noncontrolling interest</w:t>
            </w:r>
          </w:p>
        </w:tc>
        <w:tc>
          <w:tcPr>
            <w:tcW w:w="10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422</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gain attributable to noncontrolling interest</w:t>
            </w:r>
          </w:p>
        </w:tc>
        <w:tc>
          <w:tcPr>
            <w:tcW w:w="10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(119 )</w:t>
            </w:r>
          </w:p>
        </w:tc>
        <w:tc>
          <w:tcPr>
            <w:tcW w:w="10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196"/>
        </w:trPr>
        <w:tc>
          <w:tcPr>
            <w:tcW w:w="74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Comprehensive loss attributable to noncontrolling interest</w:t>
            </w:r>
          </w:p>
        </w:tc>
        <w:tc>
          <w:tcPr>
            <w:tcW w:w="10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303</w:t>
            </w:r>
          </w:p>
        </w:tc>
        <w:tc>
          <w:tcPr>
            <w:tcW w:w="280" w:type="dxa"/>
            <w:vAlign w:val="bottom"/>
            <w:tcBorders>
              <w:top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17"/>
                <w:szCs w:val="17"/>
                <w:color w:val="auto"/>
              </w:rPr>
            </w:pPr>
          </w:p>
        </w:tc>
      </w:tr>
      <w:tr>
        <w:trPr>
          <w:trHeight w:val="236"/>
        </w:trPr>
        <w:tc>
          <w:tcPr>
            <w:tcW w:w="7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Comprehensive income attributable to Fulgent</w:t>
            </w:r>
          </w:p>
        </w:tc>
        <w:tc>
          <w:tcPr>
            <w:tcW w:w="1080" w:type="dxa"/>
            <w:vAlign w:val="bottom"/>
            <w:tcBorders>
              <w:bottom w:val="single" w:sz="8" w:color="auto"/>
            </w:tcBorders>
            <w:shd w:val="clear" w:color="auto" w:fill="CFF0FC"/>
          </w:tcPr>
          <w:p>
            <w:pPr>
              <w:jc w:val="right"/>
              <w:ind w:right="899"/>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142,245</w:t>
            </w: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5"/>
              </w:rPr>
              <w:t>200,037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-296545</wp:posOffset>
            </wp:positionV>
            <wp:extent cx="5143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514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r>
        <w:rPr>
          <w:rFonts w:ascii="Arial" w:cs="Arial" w:eastAsia="Arial" w:hAnsi="Arial"/>
          <w:sz w:val="21"/>
          <w:szCs w:val="2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Fulgent Stockholders' Equity</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200" w:type="dxa"/>
            <w:vAlign w:val="bottom"/>
            <w:gridSpan w:val="2"/>
          </w:tcPr>
          <w:p>
            <w:pPr>
              <w:jc w:val="center"/>
              <w:ind w:right="239"/>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Fulgent</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39"/>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6"/>
              </w:rPr>
              <w:t>Noncontrolling</w:t>
            </w:r>
          </w:p>
        </w:tc>
        <w:tc>
          <w:tcPr>
            <w:tcW w:w="160" w:type="dxa"/>
            <w:vAlign w:val="bottom"/>
          </w:tcPr>
          <w:p>
            <w:pPr>
              <w:spacing w:after="0"/>
              <w:rPr>
                <w:sz w:val="12"/>
                <w:szCs w:val="12"/>
                <w:color w:val="auto"/>
              </w:rPr>
            </w:pPr>
          </w:p>
        </w:tc>
        <w:tc>
          <w:tcPr>
            <w:tcW w:w="8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7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1320" w:type="dxa"/>
            <w:vAlign w:val="bottom"/>
            <w:gridSpan w:val="3"/>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20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80" w:type="dxa"/>
            <w:vAlign w:val="bottom"/>
          </w:tcPr>
          <w:p>
            <w:pPr>
              <w:jc w:val="right"/>
              <w:ind w:right="81"/>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6"/>
                <w:szCs w:val="16"/>
                <w:color w:val="auto"/>
              </w:rPr>
            </w:pPr>
          </w:p>
        </w:tc>
        <w:tc>
          <w:tcPr>
            <w:tcW w:w="800" w:type="dxa"/>
            <w:vAlign w:val="bottom"/>
          </w:tcPr>
          <w:p>
            <w:pPr>
              <w:jc w:val="right"/>
              <w:ind w:right="22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4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2021</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30,160</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501,908</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(759</w:t>
            </w:r>
          </w:p>
        </w:tc>
        <w:tc>
          <w:tcPr>
            <w:tcW w:w="180" w:type="dxa"/>
            <w:vAlign w:val="bottom"/>
            <w:tcBorders>
              <w:bottom w:val="single" w:sz="8" w:color="CFF0FC"/>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657,597</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1,158,749</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7,131</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right w:val="single" w:sz="8" w:color="CFF0FC"/>
            </w:tcBorders>
            <w:shd w:val="clear" w:color="auto" w:fill="CFF0FC"/>
          </w:tcPr>
          <w:p>
            <w:pPr>
              <w:jc w:val="right"/>
              <w:ind w:right="1"/>
              <w:spacing w:after="0" w:line="183" w:lineRule="exact"/>
              <w:rPr>
                <w:sz w:val="20"/>
                <w:szCs w:val="20"/>
                <w:color w:val="auto"/>
              </w:rPr>
            </w:pPr>
            <w:r>
              <w:rPr>
                <w:rFonts w:ascii="Arial" w:cs="Arial" w:eastAsia="Arial" w:hAnsi="Arial"/>
                <w:sz w:val="16"/>
                <w:szCs w:val="16"/>
                <w:color w:val="auto"/>
                <w:w w:val="98"/>
              </w:rPr>
              <w:t>1,165,880</w:t>
            </w: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line="183" w:lineRule="exact"/>
              <w:rPr>
                <w:sz w:val="20"/>
                <w:szCs w:val="20"/>
                <w:color w:val="auto"/>
              </w:rPr>
            </w:pPr>
            <w:r>
              <w:rPr>
                <w:rFonts w:ascii="Arial" w:cs="Arial" w:eastAsia="Arial" w:hAnsi="Arial"/>
                <w:sz w:val="16"/>
                <w:szCs w:val="16"/>
                <w:color w:val="auto"/>
              </w:rPr>
              <w:t>Equity-based compensation</w:t>
            </w:r>
          </w:p>
        </w:tc>
        <w:tc>
          <w:tcPr>
            <w:tcW w:w="104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5,616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5,616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00" w:type="dxa"/>
            <w:vAlign w:val="bottom"/>
          </w:tcPr>
          <w:p>
            <w:pPr>
              <w:jc w:val="right"/>
              <w:ind w:right="1"/>
              <w:spacing w:after="0" w:line="183" w:lineRule="exact"/>
              <w:rPr>
                <w:sz w:val="20"/>
                <w:szCs w:val="20"/>
                <w:color w:val="auto"/>
              </w:rPr>
            </w:pPr>
            <w:r>
              <w:rPr>
                <w:rFonts w:ascii="Arial" w:cs="Arial" w:eastAsia="Arial" w:hAnsi="Arial"/>
                <w:sz w:val="16"/>
                <w:szCs w:val="16"/>
                <w:color w:val="auto"/>
              </w:rPr>
              <w:t>5,616</w:t>
            </w:r>
          </w:p>
        </w:tc>
        <w:tc>
          <w:tcPr>
            <w:tcW w:w="0" w:type="dxa"/>
            <w:vAlign w:val="bottom"/>
          </w:tcPr>
          <w:p>
            <w:pPr>
              <w:spacing w:after="0"/>
              <w:rPr>
                <w:sz w:val="1"/>
                <w:szCs w:val="1"/>
                <w:color w:val="auto"/>
              </w:rPr>
            </w:pPr>
          </w:p>
        </w:tc>
      </w:tr>
      <w:tr>
        <w:trPr>
          <w:trHeight w:val="189"/>
        </w:trPr>
        <w:tc>
          <w:tcPr>
            <w:tcW w:w="2420" w:type="dxa"/>
            <w:vAlign w:val="bottom"/>
            <w:shd w:val="clear" w:color="auto" w:fill="CFF0FC"/>
          </w:tcPr>
          <w:p>
            <w:pPr>
              <w:ind w:left="20"/>
              <w:spacing w:after="0"/>
              <w:rPr>
                <w:sz w:val="20"/>
                <w:szCs w:val="20"/>
                <w:color w:val="auto"/>
              </w:rPr>
            </w:pPr>
            <w:r>
              <w:rPr>
                <w:rFonts w:ascii="Arial" w:cs="Arial" w:eastAsia="Arial" w:hAnsi="Arial"/>
                <w:sz w:val="16"/>
                <w:szCs w:val="16"/>
                <w:color w:val="auto"/>
                <w:w w:val="98"/>
              </w:rPr>
              <w:t>Exercise of common stock options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860" w:type="dxa"/>
            <w:vAlign w:val="bottom"/>
          </w:tcPr>
          <w:p>
            <w:pPr>
              <w:jc w:val="right"/>
              <w:spacing w:after="0"/>
              <w:rPr>
                <w:sz w:val="20"/>
                <w:szCs w:val="20"/>
                <w:color w:val="auto"/>
              </w:rPr>
            </w:pPr>
            <w:r>
              <w:rPr>
                <w:rFonts w:ascii="Arial" w:cs="Arial" w:eastAsia="Arial" w:hAnsi="Arial"/>
                <w:sz w:val="16"/>
                <w:szCs w:val="16"/>
                <w:color w:val="auto"/>
              </w:rPr>
              <w:t>172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42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Common stock withholding for</w:t>
            </w:r>
          </w:p>
        </w:tc>
        <w:tc>
          <w:tcPr>
            <w:tcW w:w="10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(8 )</w:t>
            </w:r>
          </w:p>
        </w:tc>
        <w:tc>
          <w:tcPr>
            <w:tcW w:w="14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(494 )</w:t>
            </w:r>
          </w:p>
        </w:tc>
        <w:tc>
          <w:tcPr>
            <w:tcW w:w="12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(494 )</w:t>
            </w:r>
          </w:p>
        </w:tc>
        <w:tc>
          <w:tcPr>
            <w:tcW w:w="20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(494 )</w:t>
            </w:r>
          </w:p>
        </w:tc>
        <w:tc>
          <w:tcPr>
            <w:tcW w:w="0" w:type="dxa"/>
            <w:vAlign w:val="bottom"/>
          </w:tcPr>
          <w:p>
            <w:pPr>
              <w:spacing w:after="0"/>
              <w:rPr>
                <w:sz w:val="1"/>
                <w:szCs w:val="1"/>
                <w:color w:val="auto"/>
              </w:rPr>
            </w:pPr>
          </w:p>
        </w:tc>
      </w:tr>
      <w:tr>
        <w:trPr>
          <w:trHeight w:val="199"/>
        </w:trPr>
        <w:tc>
          <w:tcPr>
            <w:tcW w:w="2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tax obligations</w:t>
            </w:r>
          </w:p>
        </w:tc>
        <w:tc>
          <w:tcPr>
            <w:tcW w:w="104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tcBorders>
              <w:right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420" w:type="dxa"/>
            <w:vAlign w:val="bottom"/>
          </w:tcPr>
          <w:p>
            <w:pPr>
              <w:ind w:left="20"/>
              <w:spacing w:after="0" w:line="152" w:lineRule="exact"/>
              <w:rPr>
                <w:sz w:val="20"/>
                <w:szCs w:val="20"/>
                <w:color w:val="auto"/>
              </w:rPr>
            </w:pPr>
            <w:r>
              <w:rPr>
                <w:rFonts w:ascii="Arial" w:cs="Arial" w:eastAsia="Arial" w:hAnsi="Arial"/>
                <w:sz w:val="16"/>
                <w:szCs w:val="16"/>
                <w:color w:val="auto"/>
              </w:rPr>
              <w:t>Other comprehensive income</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(11,734 )</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(11,734 )</w:t>
            </w:r>
          </w:p>
        </w:tc>
        <w:tc>
          <w:tcPr>
            <w:tcW w:w="2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(11,615 )</w:t>
            </w:r>
          </w:p>
        </w:tc>
        <w:tc>
          <w:tcPr>
            <w:tcW w:w="0" w:type="dxa"/>
            <w:vAlign w:val="bottom"/>
          </w:tcPr>
          <w:p>
            <w:pPr>
              <w:spacing w:after="0"/>
              <w:rPr>
                <w:sz w:val="1"/>
                <w:szCs w:val="1"/>
                <w:color w:val="auto"/>
              </w:rPr>
            </w:pPr>
          </w:p>
        </w:tc>
      </w:tr>
      <w:tr>
        <w:trPr>
          <w:trHeight w:val="199"/>
        </w:trPr>
        <w:tc>
          <w:tcPr>
            <w:tcW w:w="2420" w:type="dxa"/>
            <w:vAlign w:val="bottom"/>
          </w:tcPr>
          <w:p>
            <w:pPr>
              <w:ind w:left="20"/>
              <w:spacing w:after="0"/>
              <w:rPr>
                <w:sz w:val="20"/>
                <w:szCs w:val="20"/>
                <w:color w:val="auto"/>
              </w:rPr>
            </w:pPr>
            <w:r>
              <w:rPr>
                <w:rFonts w:ascii="Arial" w:cs="Arial" w:eastAsia="Arial" w:hAnsi="Arial"/>
                <w:sz w:val="16"/>
                <w:szCs w:val="16"/>
                <w:color w:val="auto"/>
              </w:rPr>
              <w:t>(loss)</w:t>
            </w: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153,979</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153,979</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(422 )</w:t>
            </w:r>
          </w:p>
        </w:tc>
        <w:tc>
          <w:tcPr>
            <w:tcW w:w="16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153,557</w:t>
            </w: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2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Balance at March 31, 2022</w:t>
            </w: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30,327</w:t>
            </w:r>
          </w:p>
        </w:tc>
        <w:tc>
          <w:tcPr>
            <w:tcW w:w="180" w:type="dxa"/>
            <w:vAlign w:val="bottom"/>
          </w:tcPr>
          <w:p>
            <w:pPr>
              <w:spacing w:after="0"/>
              <w:rPr>
                <w:sz w:val="15"/>
                <w:szCs w:val="15"/>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line="169" w:lineRule="exact"/>
              <w:rPr>
                <w:sz w:val="20"/>
                <w:szCs w:val="20"/>
                <w:color w:val="auto"/>
              </w:rPr>
            </w:pPr>
            <w:r>
              <w:rPr>
                <w:rFonts w:ascii="Arial" w:cs="Arial" w:eastAsia="Arial" w:hAnsi="Arial"/>
                <w:sz w:val="16"/>
                <w:szCs w:val="16"/>
                <w:color w:val="auto"/>
              </w:rPr>
              <w:t>3</w:t>
            </w:r>
          </w:p>
        </w:tc>
        <w:tc>
          <w:tcPr>
            <w:tcW w:w="140" w:type="dxa"/>
            <w:vAlign w:val="bottom"/>
          </w:tcPr>
          <w:p>
            <w:pPr>
              <w:spacing w:after="0"/>
              <w:rPr>
                <w:sz w:val="15"/>
                <w:szCs w:val="15"/>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line="169" w:lineRule="exact"/>
              <w:rPr>
                <w:sz w:val="20"/>
                <w:szCs w:val="20"/>
                <w:color w:val="auto"/>
              </w:rPr>
            </w:pPr>
            <w:r>
              <w:rPr>
                <w:rFonts w:ascii="Arial" w:cs="Arial" w:eastAsia="Arial" w:hAnsi="Arial"/>
                <w:sz w:val="16"/>
                <w:szCs w:val="16"/>
                <w:color w:val="auto"/>
              </w:rPr>
              <w:t>507,046</w:t>
            </w:r>
          </w:p>
        </w:tc>
        <w:tc>
          <w:tcPr>
            <w:tcW w:w="160" w:type="dxa"/>
            <w:vAlign w:val="bottom"/>
          </w:tcPr>
          <w:p>
            <w:pPr>
              <w:spacing w:after="0"/>
              <w:rPr>
                <w:sz w:val="15"/>
                <w:szCs w:val="15"/>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9"/>
              <w:spacing w:after="0" w:line="169" w:lineRule="exact"/>
              <w:rPr>
                <w:sz w:val="20"/>
                <w:szCs w:val="20"/>
                <w:color w:val="auto"/>
              </w:rPr>
            </w:pPr>
            <w:r>
              <w:rPr>
                <w:rFonts w:ascii="Arial" w:cs="Arial" w:eastAsia="Arial" w:hAnsi="Arial"/>
                <w:sz w:val="16"/>
                <w:szCs w:val="16"/>
                <w:color w:val="auto"/>
              </w:rPr>
              <w:t>(12,493 )</w:t>
            </w: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811,576</w:t>
            </w:r>
          </w:p>
        </w:tc>
        <w:tc>
          <w:tcPr>
            <w:tcW w:w="320" w:type="dxa"/>
            <w:vAlign w:val="bottom"/>
            <w:gridSpan w:val="2"/>
          </w:tcPr>
          <w:p>
            <w:pPr>
              <w:jc w:val="right"/>
              <w:ind w:right="6"/>
              <w:spacing w:after="0" w:line="169"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9" w:lineRule="exact"/>
              <w:rPr>
                <w:sz w:val="20"/>
                <w:szCs w:val="20"/>
                <w:color w:val="auto"/>
              </w:rPr>
            </w:pPr>
            <w:r>
              <w:rPr>
                <w:rFonts w:ascii="Arial" w:cs="Arial" w:eastAsia="Arial" w:hAnsi="Arial"/>
                <w:sz w:val="16"/>
                <w:szCs w:val="16"/>
                <w:color w:val="auto"/>
              </w:rPr>
              <w:t>1,306,132</w:t>
            </w:r>
          </w:p>
        </w:tc>
        <w:tc>
          <w:tcPr>
            <w:tcW w:w="140" w:type="dxa"/>
            <w:vAlign w:val="bottom"/>
          </w:tcPr>
          <w:p>
            <w:pPr>
              <w:spacing w:after="0"/>
              <w:rPr>
                <w:sz w:val="15"/>
                <w:szCs w:val="15"/>
                <w:color w:val="auto"/>
              </w:rPr>
            </w:pPr>
          </w:p>
        </w:tc>
        <w:tc>
          <w:tcPr>
            <w:tcW w:w="200" w:type="dxa"/>
            <w:vAlign w:val="bottom"/>
          </w:tcPr>
          <w:p>
            <w:pPr>
              <w:jc w:val="right"/>
              <w:ind w:right="22"/>
              <w:spacing w:after="0" w:line="169"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color w:val="auto"/>
              </w:rPr>
              <w:t>6,828</w:t>
            </w:r>
          </w:p>
        </w:tc>
        <w:tc>
          <w:tcPr>
            <w:tcW w:w="140" w:type="dxa"/>
            <w:vAlign w:val="bottom"/>
          </w:tcPr>
          <w:p>
            <w:pPr>
              <w:spacing w:after="0"/>
              <w:rPr>
                <w:sz w:val="15"/>
                <w:szCs w:val="15"/>
                <w:color w:val="auto"/>
              </w:rPr>
            </w:pP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line="169" w:lineRule="exact"/>
              <w:rPr>
                <w:sz w:val="20"/>
                <w:szCs w:val="20"/>
                <w:color w:val="auto"/>
              </w:rPr>
            </w:pPr>
            <w:r>
              <w:rPr>
                <w:rFonts w:ascii="Arial" w:cs="Arial" w:eastAsia="Arial" w:hAnsi="Arial"/>
                <w:sz w:val="16"/>
                <w:szCs w:val="16"/>
                <w:color w:val="auto"/>
                <w:w w:val="98"/>
              </w:rPr>
              <w:t>1,312,960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-1085215</wp:posOffset>
            </wp:positionV>
            <wp:extent cx="51435" cy="125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-1085215</wp:posOffset>
            </wp:positionV>
            <wp:extent cx="51435" cy="1257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-1085215</wp:posOffset>
            </wp:positionV>
            <wp:extent cx="51435" cy="1257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-1085215</wp:posOffset>
            </wp:positionV>
            <wp:extent cx="42545" cy="125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545" cy="12573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-1085215</wp:posOffset>
            </wp:positionV>
            <wp:extent cx="43180" cy="125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12573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-1085215</wp:posOffset>
            </wp:positionV>
            <wp:extent cx="43180" cy="125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125730"/>
                    </a:xfrm>
                    <a:prstGeom prst="rect">
                      <a:avLst/>
                    </a:prstGeom>
                    <a:noFill/>
                  </pic:spPr>
                </pic:pic>
              </a:graphicData>
            </a:graphic>
          </wp:anchor>
        </w:drawing>
        <w:drawing>
          <wp:anchor simplePos="0" relativeHeight="251657728" behindDoc="1" locked="0" layoutInCell="0" allowOverlap="1">
            <wp:simplePos x="0" y="0"/>
            <wp:positionH relativeFrom="column">
              <wp:posOffset>2087880</wp:posOffset>
            </wp:positionH>
            <wp:positionV relativeFrom="paragraph">
              <wp:posOffset>-150495</wp:posOffset>
            </wp:positionV>
            <wp:extent cx="51435" cy="151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15113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-150495</wp:posOffset>
            </wp:positionV>
            <wp:extent cx="34290" cy="151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15113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-150495</wp:posOffset>
            </wp:positionV>
            <wp:extent cx="51435" cy="151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1511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-150495</wp:posOffset>
            </wp:positionV>
            <wp:extent cx="51435" cy="151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1511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-150495</wp:posOffset>
            </wp:positionV>
            <wp:extent cx="34290" cy="151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15113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-150495</wp:posOffset>
            </wp:positionV>
            <wp:extent cx="42545" cy="151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545" cy="15113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-150495</wp:posOffset>
            </wp:positionV>
            <wp:extent cx="43180" cy="151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15113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-150495</wp:posOffset>
            </wp:positionV>
            <wp:extent cx="43180" cy="1511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15113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4"/>
                <w:szCs w:val="14"/>
                <w:b w:val="1"/>
                <w:bCs w:val="1"/>
                <w:color w:val="auto"/>
              </w:rPr>
              <w:t>Fulgent Stockholders' Equity</w:t>
            </w:r>
          </w:p>
        </w:tc>
        <w:tc>
          <w:tcPr>
            <w:tcW w:w="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3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260" w:type="dxa"/>
            <w:vAlign w:val="bottom"/>
            <w:gridSpan w:val="2"/>
          </w:tcPr>
          <w:p>
            <w:pPr>
              <w:jc w:val="center"/>
              <w:ind w:right="239"/>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4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Paid-In Capital</w:t>
            </w:r>
          </w:p>
        </w:tc>
        <w:tc>
          <w:tcPr>
            <w:tcW w:w="80" w:type="dxa"/>
            <w:vAlign w:val="bottom"/>
          </w:tcPr>
          <w:p>
            <w:pPr>
              <w:spacing w:after="0"/>
              <w:rPr>
                <w:sz w:val="16"/>
                <w:szCs w:val="16"/>
                <w:color w:val="auto"/>
              </w:rPr>
            </w:pPr>
          </w:p>
        </w:tc>
        <w:tc>
          <w:tcPr>
            <w:tcW w:w="126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2020</w:t>
            </w:r>
          </w:p>
        </w:tc>
        <w:tc>
          <w:tcPr>
            <w:tcW w:w="1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28,178</w:t>
            </w:r>
          </w:p>
        </w:tc>
        <w:tc>
          <w:tcPr>
            <w:tcW w:w="22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ind w:right="762"/>
              <w:spacing w:after="0" w:line="183" w:lineRule="exact"/>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418,065</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438</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150,881</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569,387</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Pr>
          <w:p>
            <w:pPr>
              <w:ind w:left="20"/>
              <w:spacing w:after="0" w:line="183" w:lineRule="exact"/>
              <w:rPr>
                <w:sz w:val="20"/>
                <w:szCs w:val="20"/>
                <w:color w:val="auto"/>
              </w:rPr>
            </w:pPr>
            <w:r>
              <w:rPr>
                <w:rFonts w:ascii="Arial" w:cs="Arial" w:eastAsia="Arial" w:hAnsi="Arial"/>
                <w:sz w:val="16"/>
                <w:szCs w:val="16"/>
                <w:color w:val="auto"/>
              </w:rPr>
              <w:t>Equity-based compensation</w:t>
            </w:r>
          </w:p>
        </w:tc>
        <w:tc>
          <w:tcPr>
            <w:tcW w:w="140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spacing w:after="0"/>
              <w:rPr>
                <w:sz w:val="15"/>
                <w:szCs w:val="15"/>
                <w:color w:val="auto"/>
              </w:rPr>
            </w:pP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2,962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2,962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common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1180" w:type="dxa"/>
            <w:vAlign w:val="bottom"/>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314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w w:val="98"/>
              </w:rPr>
              <w:t>Common stock withholding for employee tax</w:t>
            </w:r>
          </w:p>
        </w:tc>
        <w:tc>
          <w:tcPr>
            <w:tcW w:w="14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(4 )</w:t>
            </w:r>
          </w:p>
        </w:tc>
        <w:tc>
          <w:tcPr>
            <w:tcW w:w="940" w:type="dxa"/>
            <w:vAlign w:val="bottom"/>
            <w:shd w:val="clear" w:color="auto" w:fill="CFF0FC"/>
          </w:tcPr>
          <w:p>
            <w:pPr>
              <w:spacing w:after="0"/>
              <w:rPr>
                <w:sz w:val="13"/>
                <w:szCs w:val="13"/>
                <w:color w:val="auto"/>
              </w:rPr>
            </w:pP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(513 )</w:t>
            </w:r>
          </w:p>
        </w:tc>
        <w:tc>
          <w:tcPr>
            <w:tcW w:w="80" w:type="dxa"/>
            <w:vAlign w:val="bottom"/>
            <w:shd w:val="clear" w:color="auto" w:fill="CFF0FC"/>
          </w:tcPr>
          <w:p>
            <w:pPr>
              <w:spacing w:after="0"/>
              <w:rPr>
                <w:sz w:val="13"/>
                <w:szCs w:val="13"/>
                <w:color w:val="auto"/>
              </w:rPr>
            </w:pPr>
          </w:p>
        </w:tc>
        <w:tc>
          <w:tcPr>
            <w:tcW w:w="126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1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(513 )</w:t>
            </w:r>
          </w:p>
        </w:tc>
        <w:tc>
          <w:tcPr>
            <w:tcW w:w="0" w:type="dxa"/>
            <w:vAlign w:val="bottom"/>
          </w:tcPr>
          <w:p>
            <w:pPr>
              <w:spacing w:after="0"/>
              <w:rPr>
                <w:sz w:val="1"/>
                <w:szCs w:val="1"/>
                <w:color w:val="auto"/>
              </w:rPr>
            </w:pPr>
          </w:p>
        </w:tc>
      </w:tr>
      <w:tr>
        <w:trPr>
          <w:trHeight w:val="199"/>
        </w:trPr>
        <w:tc>
          <w:tcPr>
            <w:tcW w:w="3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obligations</w:t>
            </w:r>
          </w:p>
        </w:tc>
        <w:tc>
          <w:tcPr>
            <w:tcW w:w="1400" w:type="dxa"/>
            <w:vAlign w:val="bottom"/>
            <w:gridSpan w:val="2"/>
            <w:vMerge w:val="continue"/>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14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at an average of</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583</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30,297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30,297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140" w:type="dxa"/>
            <w:vAlign w:val="bottom"/>
          </w:tcPr>
          <w:p>
            <w:pPr>
              <w:ind w:left="20"/>
              <w:spacing w:after="0"/>
              <w:rPr>
                <w:sz w:val="20"/>
                <w:szCs w:val="20"/>
                <w:color w:val="auto"/>
              </w:rPr>
            </w:pPr>
            <w:r>
              <w:rPr>
                <w:rFonts w:ascii="Arial" w:cs="Arial" w:eastAsia="Arial" w:hAnsi="Arial"/>
                <w:sz w:val="16"/>
                <w:szCs w:val="16"/>
                <w:color w:val="auto"/>
              </w:rPr>
              <w:t>$52.00 per share, net</w:t>
            </w:r>
          </w:p>
        </w:tc>
        <w:tc>
          <w:tcPr>
            <w:tcW w:w="11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(654 )</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(654 )</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Arial" w:cs="Arial" w:eastAsia="Arial" w:hAnsi="Arial"/>
                <w:sz w:val="16"/>
                <w:szCs w:val="16"/>
                <w:color w:val="auto"/>
              </w:rPr>
              <w:t>Cumulative effect of accounting change</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(887 )</w:t>
            </w: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(887 )</w:t>
            </w:r>
          </w:p>
        </w:tc>
        <w:tc>
          <w:tcPr>
            <w:tcW w:w="0" w:type="dxa"/>
            <w:vAlign w:val="bottom"/>
          </w:tcPr>
          <w:p>
            <w:pPr>
              <w:spacing w:after="0"/>
              <w:rPr>
                <w:sz w:val="1"/>
                <w:szCs w:val="1"/>
                <w:color w:val="auto"/>
              </w:rPr>
            </w:pPr>
          </w:p>
        </w:tc>
      </w:tr>
      <w:tr>
        <w:trPr>
          <w:trHeight w:val="189"/>
        </w:trPr>
        <w:tc>
          <w:tcPr>
            <w:tcW w:w="3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Cumulative tax effect of accounting change</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200,691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200,691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4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b w:val="1"/>
                <w:bCs w:val="1"/>
                <w:color w:val="auto"/>
              </w:rPr>
              <w:t>Balance at March 31, 2021</w:t>
            </w:r>
          </w:p>
        </w:tc>
        <w:tc>
          <w:tcPr>
            <w:tcW w:w="1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28,989</w:t>
            </w: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62"/>
              <w:spacing w:after="0" w:line="169" w:lineRule="exact"/>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450,855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(216</w:t>
            </w:r>
          </w:p>
        </w:tc>
        <w:tc>
          <w:tcPr>
            <w:tcW w:w="200" w:type="dxa"/>
            <w:vAlign w:val="bottom"/>
            <w:tcBorders>
              <w:bottom w:val="single" w:sz="8" w:color="CFF0FC"/>
            </w:tcBorders>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350,924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801,566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-1445260</wp:posOffset>
            </wp:positionV>
            <wp:extent cx="59690" cy="1257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12573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-1445260</wp:posOffset>
            </wp:positionV>
            <wp:extent cx="43180" cy="1257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12573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-1445260</wp:posOffset>
            </wp:positionV>
            <wp:extent cx="51435" cy="1257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-1445260</wp:posOffset>
            </wp:positionV>
            <wp:extent cx="51435" cy="1257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-1445260</wp:posOffset>
            </wp:positionV>
            <wp:extent cx="51435" cy="125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-1445260</wp:posOffset>
            </wp:positionV>
            <wp:extent cx="51435" cy="125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12573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-25400</wp:posOffset>
            </wp:positionV>
            <wp:extent cx="59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-8255</wp:posOffset>
            </wp:positionV>
            <wp:extent cx="596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431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431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51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34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020" w:type="dxa"/>
            <w:vAlign w:val="bottom"/>
          </w:tcPr>
          <w:p>
            <w:pPr>
              <w:spacing w:after="0"/>
              <w:rPr>
                <w:sz w:val="14"/>
                <w:szCs w:val="14"/>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70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 from operating activities:</w:t>
            </w:r>
          </w:p>
        </w:tc>
        <w:tc>
          <w:tcPr>
            <w:tcW w:w="1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6"/>
                <w:szCs w:val="16"/>
                <w:color w:val="auto"/>
              </w:rPr>
              <w:t>Net income from consolidated operations</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153,557</w:t>
            </w:r>
          </w:p>
        </w:tc>
        <w:tc>
          <w:tcPr>
            <w:tcW w:w="300" w:type="dxa"/>
            <w:vAlign w:val="bottom"/>
          </w:tcPr>
          <w:p>
            <w:pPr>
              <w:spacing w:after="0"/>
              <w:rPr>
                <w:sz w:val="16"/>
                <w:szCs w:val="16"/>
                <w:color w:val="auto"/>
              </w:rPr>
            </w:pPr>
          </w:p>
        </w:tc>
        <w:tc>
          <w:tcPr>
            <w:tcW w:w="1220" w:type="dxa"/>
            <w:vAlign w:val="bottom"/>
          </w:tcPr>
          <w:p>
            <w:pPr>
              <w:jc w:val="right"/>
              <w:ind w:right="10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200,691</w:t>
            </w: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Equity-based compensation</w:t>
            </w: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5,616</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2,962</w:t>
            </w: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4,695</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1,922</w:t>
            </w:r>
          </w:p>
        </w:tc>
        <w:tc>
          <w:tcPr>
            <w:tcW w:w="8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477</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disposal of fixed asset</w:t>
            </w: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8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Amortization of premium of marketable securities</w:t>
            </w: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1,910</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1,303</w:t>
            </w: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Provision for credit losses</w:t>
            </w: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11,574</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w:t>
            </w:r>
          </w:p>
        </w:tc>
        <w:tc>
          <w:tcPr>
            <w:tcW w:w="8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1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(5,497 )</w:t>
            </w:r>
          </w:p>
        </w:tc>
        <w:tc>
          <w:tcPr>
            <w:tcW w:w="122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(786 )</w:t>
            </w: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Unrecognized tax benefits</w:t>
            </w: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Net loss on marketable securities</w:t>
            </w: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513</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345</w:t>
            </w: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(8 )</w:t>
            </w: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Trade accounts receivable</w:t>
            </w:r>
          </w:p>
        </w:tc>
        <w:tc>
          <w:tcPr>
            <w:tcW w:w="1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(32,924 )</w:t>
            </w:r>
          </w:p>
        </w:tc>
        <w:tc>
          <w:tcPr>
            <w:tcW w:w="12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(34,595 )</w:t>
            </w:r>
          </w:p>
        </w:tc>
      </w:tr>
      <w:tr>
        <w:trPr>
          <w:trHeight w:val="189"/>
        </w:trPr>
        <w:tc>
          <w:tcPr>
            <w:tcW w:w="7020" w:type="dxa"/>
            <w:vAlign w:val="bottom"/>
          </w:tcPr>
          <w:p>
            <w:pPr>
              <w:ind w:left="380"/>
              <w:spacing w:after="0"/>
              <w:rPr>
                <w:sz w:val="20"/>
                <w:szCs w:val="20"/>
                <w:color w:val="auto"/>
              </w:rPr>
            </w:pPr>
            <w:r>
              <w:rPr>
                <w:rFonts w:ascii="Arial" w:cs="Arial" w:eastAsia="Arial" w:hAnsi="Arial"/>
                <w:sz w:val="16"/>
                <w:szCs w:val="16"/>
                <w:color w:val="auto"/>
              </w:rPr>
              <w:t>Other current and long-term assets</w:t>
            </w: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2,962</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(9,109 )</w:t>
            </w:r>
          </w:p>
        </w:tc>
      </w:tr>
      <w:tr>
        <w:trPr>
          <w:trHeight w:val="189"/>
        </w:trPr>
        <w:tc>
          <w:tcPr>
            <w:tcW w:w="7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2,110</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(6,256 )</w:t>
            </w:r>
          </w:p>
        </w:tc>
      </w:tr>
      <w:tr>
        <w:trPr>
          <w:trHeight w:val="189"/>
        </w:trPr>
        <w:tc>
          <w:tcPr>
            <w:tcW w:w="702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51,376</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67,203</w:t>
            </w: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liabilities and other liabilities</w:t>
            </w:r>
          </w:p>
        </w:tc>
        <w:tc>
          <w:tcPr>
            <w:tcW w:w="1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(8,231 )</w:t>
            </w: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8,124</w:t>
            </w:r>
          </w:p>
        </w:tc>
        <w:tc>
          <w:tcPr>
            <w:tcW w:w="80" w:type="dxa"/>
            <w:vAlign w:val="bottom"/>
            <w:shd w:val="clear" w:color="auto" w:fill="CFF0FC"/>
          </w:tcPr>
          <w:p>
            <w:pPr>
              <w:spacing w:after="0"/>
              <w:rPr>
                <w:sz w:val="16"/>
                <w:szCs w:val="16"/>
                <w:color w:val="auto"/>
              </w:rPr>
            </w:pPr>
          </w:p>
        </w:tc>
      </w:tr>
      <w:tr>
        <w:trPr>
          <w:trHeight w:val="189"/>
        </w:trPr>
        <w:tc>
          <w:tcPr>
            <w:tcW w:w="7020" w:type="dxa"/>
            <w:vAlign w:val="bottom"/>
          </w:tcPr>
          <w:p>
            <w:pPr>
              <w:ind w:left="380"/>
              <w:spacing w:after="0"/>
              <w:rPr>
                <w:sz w:val="20"/>
                <w:szCs w:val="20"/>
                <w:color w:val="auto"/>
              </w:rPr>
            </w:pPr>
            <w:r>
              <w:rPr>
                <w:rFonts w:ascii="Arial" w:cs="Arial" w:eastAsia="Arial" w:hAnsi="Arial"/>
                <w:sz w:val="16"/>
                <w:szCs w:val="16"/>
                <w:color w:val="auto"/>
              </w:rPr>
              <w:t>Operating and finance lease liabilities</w:t>
            </w:r>
          </w:p>
        </w:tc>
        <w:tc>
          <w:tcPr>
            <w:tcW w:w="1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(477 )</w:t>
            </w:r>
          </w:p>
        </w:tc>
        <w:tc>
          <w:tcPr>
            <w:tcW w:w="122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(82 )</w:t>
            </w:r>
          </w:p>
        </w:tc>
      </w:tr>
      <w:tr>
        <w:trPr>
          <w:trHeight w:val="183"/>
        </w:trPr>
        <w:tc>
          <w:tcPr>
            <w:tcW w:w="702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22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188,411</w:t>
            </w:r>
          </w:p>
        </w:tc>
        <w:tc>
          <w:tcPr>
            <w:tcW w:w="30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233,179</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70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flow from investing activities:</w:t>
            </w: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fixed assets</w:t>
            </w:r>
          </w:p>
        </w:tc>
        <w:tc>
          <w:tcPr>
            <w:tcW w:w="1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(5,360 )</w:t>
            </w:r>
          </w:p>
        </w:tc>
        <w:tc>
          <w:tcPr>
            <w:tcW w:w="12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(11,492 )</w:t>
            </w: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Proceeds from sale of fixed assets</w:t>
            </w: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 of marketable securities</w:t>
            </w:r>
          </w:p>
        </w:tc>
        <w:tc>
          <w:tcPr>
            <w:tcW w:w="1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(130,133 )</w:t>
            </w:r>
          </w:p>
        </w:tc>
        <w:tc>
          <w:tcPr>
            <w:tcW w:w="12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(219,470 )</w:t>
            </w: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Investment in private equity securities</w:t>
            </w:r>
          </w:p>
        </w:tc>
        <w:tc>
          <w:tcPr>
            <w:tcW w:w="1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(15,000 )</w:t>
            </w:r>
          </w:p>
        </w:tc>
        <w:tc>
          <w:tcPr>
            <w:tcW w:w="12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sale of marketable securities</w:t>
            </w: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133,407</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Maturities of marketable securities</w:t>
            </w: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27,760</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14,458</w:t>
            </w: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Contingent consideration payout related to a business acquisition</w:t>
            </w:r>
          </w:p>
        </w:tc>
        <w:tc>
          <w:tcPr>
            <w:tcW w:w="1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(10,000 )</w:t>
            </w:r>
          </w:p>
        </w:tc>
        <w:tc>
          <w:tcPr>
            <w:tcW w:w="12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70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3"/>
        </w:trPr>
        <w:tc>
          <w:tcPr>
            <w:tcW w:w="7020" w:type="dxa"/>
            <w:vAlign w:val="bottom"/>
          </w:tcPr>
          <w:p>
            <w:pPr>
              <w:ind w:left="20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122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688</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(216,491 )</w:t>
            </w:r>
          </w:p>
        </w:tc>
      </w:tr>
      <w:tr>
        <w:trPr>
          <w:trHeight w:val="183"/>
        </w:trPr>
        <w:tc>
          <w:tcPr>
            <w:tcW w:w="70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 from financing activities:</w:t>
            </w:r>
          </w:p>
        </w:tc>
        <w:tc>
          <w:tcPr>
            <w:tcW w:w="12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Proceeds from public offerings of common stock, net of issuance costs</w:t>
            </w:r>
          </w:p>
        </w:tc>
        <w:tc>
          <w:tcPr>
            <w:tcW w:w="122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47,787</w:t>
            </w: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Common stock withholding for employee tax obligations</w:t>
            </w:r>
          </w:p>
        </w:tc>
        <w:tc>
          <w:tcPr>
            <w:tcW w:w="1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(494 )</w:t>
            </w:r>
          </w:p>
        </w:tc>
        <w:tc>
          <w:tcPr>
            <w:tcW w:w="122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(513 )</w:t>
            </w: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 of notes payable</w:t>
            </w:r>
          </w:p>
        </w:tc>
        <w:tc>
          <w:tcPr>
            <w:tcW w:w="12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(375 )</w:t>
            </w:r>
          </w:p>
        </w:tc>
        <w:tc>
          <w:tcPr>
            <w:tcW w:w="12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Principal paid for finance lease</w:t>
            </w:r>
          </w:p>
        </w:tc>
        <w:tc>
          <w:tcPr>
            <w:tcW w:w="1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(81 )</w:t>
            </w:r>
          </w:p>
        </w:tc>
        <w:tc>
          <w:tcPr>
            <w:tcW w:w="12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Borrowing under margin account</w:t>
            </w:r>
          </w:p>
        </w:tc>
        <w:tc>
          <w:tcPr>
            <w:tcW w:w="1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7020" w:type="dxa"/>
            <w:vAlign w:val="bottom"/>
          </w:tcPr>
          <w:p>
            <w:pPr>
              <w:ind w:left="200"/>
              <w:spacing w:after="0" w:line="183" w:lineRule="exact"/>
              <w:rPr>
                <w:sz w:val="20"/>
                <w:szCs w:val="20"/>
                <w:color w:val="auto"/>
              </w:rPr>
            </w:pPr>
            <w:r>
              <w:rPr>
                <w:rFonts w:ascii="Arial" w:cs="Arial" w:eastAsia="Arial" w:hAnsi="Arial"/>
                <w:sz w:val="16"/>
                <w:szCs w:val="16"/>
                <w:color w:val="auto"/>
              </w:rPr>
              <w:t>Net cash (used in) provided by financing activities</w:t>
            </w:r>
          </w:p>
        </w:tc>
        <w:tc>
          <w:tcPr>
            <w:tcW w:w="1220" w:type="dxa"/>
            <w:vAlign w:val="bottom"/>
          </w:tcPr>
          <w:p>
            <w:pPr>
              <w:spacing w:after="0"/>
              <w:rPr>
                <w:sz w:val="15"/>
                <w:szCs w:val="15"/>
                <w:color w:val="auto"/>
              </w:rPr>
            </w:pPr>
          </w:p>
        </w:tc>
        <w:tc>
          <w:tcPr>
            <w:tcW w:w="100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(934 )</w:t>
            </w:r>
          </w:p>
        </w:tc>
        <w:tc>
          <w:tcPr>
            <w:tcW w:w="122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47,347</w:t>
            </w:r>
          </w:p>
        </w:tc>
        <w:tc>
          <w:tcPr>
            <w:tcW w:w="80" w:type="dxa"/>
            <w:vAlign w:val="bottom"/>
          </w:tcPr>
          <w:p>
            <w:pPr>
              <w:spacing w:after="0"/>
              <w:rPr>
                <w:sz w:val="15"/>
                <w:szCs w:val="15"/>
                <w:color w:val="auto"/>
              </w:rPr>
            </w:pPr>
          </w:p>
        </w:tc>
      </w:tr>
      <w:tr>
        <w:trPr>
          <w:trHeight w:val="183"/>
        </w:trPr>
        <w:tc>
          <w:tcPr>
            <w:tcW w:w="70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Effect of exchange rate changes on cash and cash equivalents</w:t>
            </w:r>
          </w:p>
        </w:tc>
        <w:tc>
          <w:tcPr>
            <w:tcW w:w="122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w:t>
            </w:r>
          </w:p>
        </w:tc>
        <w:tc>
          <w:tcPr>
            <w:tcW w:w="30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70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increase in cash and cash equivalents</w:t>
            </w:r>
          </w:p>
        </w:tc>
        <w:tc>
          <w:tcPr>
            <w:tcW w:w="122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188,175</w:t>
            </w: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64,035</w:t>
            </w:r>
          </w:p>
        </w:tc>
        <w:tc>
          <w:tcPr>
            <w:tcW w:w="80" w:type="dxa"/>
            <w:vAlign w:val="bottom"/>
          </w:tcPr>
          <w:p>
            <w:pPr>
              <w:spacing w:after="0"/>
              <w:rPr>
                <w:sz w:val="15"/>
                <w:szCs w:val="15"/>
                <w:color w:val="auto"/>
              </w:rPr>
            </w:pPr>
          </w:p>
        </w:tc>
      </w:tr>
      <w:tr>
        <w:trPr>
          <w:trHeight w:val="189"/>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164,894</w:t>
            </w:r>
          </w:p>
        </w:tc>
        <w:tc>
          <w:tcPr>
            <w:tcW w:w="30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87,426</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70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and cash equivalents at end of period</w:t>
            </w:r>
          </w:p>
        </w:tc>
        <w:tc>
          <w:tcPr>
            <w:tcW w:w="1220" w:type="dxa"/>
            <w:vAlign w:val="bottom"/>
            <w:tcBorders>
              <w:bottom w:val="single" w:sz="8" w:color="auto"/>
            </w:tcBorders>
          </w:tcPr>
          <w:p>
            <w:pPr>
              <w:jc w:val="right"/>
              <w:ind w:right="1041"/>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353,069</w:t>
            </w:r>
          </w:p>
        </w:tc>
        <w:tc>
          <w:tcPr>
            <w:tcW w:w="300" w:type="dxa"/>
            <w:vAlign w:val="bottom"/>
          </w:tcPr>
          <w:p>
            <w:pPr>
              <w:spacing w:after="0"/>
              <w:rPr>
                <w:sz w:val="15"/>
                <w:szCs w:val="15"/>
                <w:color w:val="auto"/>
              </w:rPr>
            </w:pPr>
          </w:p>
        </w:tc>
        <w:tc>
          <w:tcPr>
            <w:tcW w:w="1220" w:type="dxa"/>
            <w:vAlign w:val="bottom"/>
            <w:tcBorders>
              <w:bottom w:val="single" w:sz="8" w:color="auto"/>
            </w:tcBorders>
          </w:tcPr>
          <w:p>
            <w:pPr>
              <w:jc w:val="right"/>
              <w:ind w:right="1040"/>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151,461</w:t>
            </w:r>
          </w:p>
        </w:tc>
        <w:tc>
          <w:tcPr>
            <w:tcW w:w="80" w:type="dxa"/>
            <w:vAlign w:val="bottom"/>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702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1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Income taxes paid</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435</w:t>
            </w:r>
          </w:p>
        </w:tc>
        <w:tc>
          <w:tcPr>
            <w:tcW w:w="300" w:type="dxa"/>
            <w:vAlign w:val="bottom"/>
          </w:tcPr>
          <w:p>
            <w:pPr>
              <w:spacing w:after="0"/>
              <w:rPr>
                <w:sz w:val="16"/>
                <w:szCs w:val="16"/>
                <w:color w:val="auto"/>
              </w:rPr>
            </w:pPr>
          </w:p>
        </w:tc>
        <w:tc>
          <w:tcPr>
            <w:tcW w:w="1220" w:type="dxa"/>
            <w:vAlign w:val="bottom"/>
          </w:tcPr>
          <w:p>
            <w:pPr>
              <w:jc w:val="right"/>
              <w:ind w:right="10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Purchases of fixed assets in accounts payable</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2,054</w:t>
            </w:r>
          </w:p>
        </w:tc>
        <w:tc>
          <w:tcPr>
            <w:tcW w:w="300" w:type="dxa"/>
            <w:vAlign w:val="bottom"/>
          </w:tcPr>
          <w:p>
            <w:pPr>
              <w:spacing w:after="0"/>
              <w:rPr>
                <w:sz w:val="16"/>
                <w:szCs w:val="16"/>
                <w:color w:val="auto"/>
              </w:rPr>
            </w:pPr>
          </w:p>
        </w:tc>
        <w:tc>
          <w:tcPr>
            <w:tcW w:w="1220" w:type="dxa"/>
            <w:vAlign w:val="bottom"/>
          </w:tcPr>
          <w:p>
            <w:pPr>
              <w:jc w:val="right"/>
              <w:ind w:right="10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801</w:t>
            </w: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fixed assets in notes payable</w:t>
            </w:r>
          </w:p>
        </w:tc>
        <w:tc>
          <w:tcPr>
            <w:tcW w:w="1220" w:type="dxa"/>
            <w:vAlign w:val="bottom"/>
            <w:shd w:val="clear" w:color="auto" w:fill="CFF0FC"/>
          </w:tcPr>
          <w:p>
            <w:pPr>
              <w:jc w:val="right"/>
              <w:ind w:right="104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3,833</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1040"/>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Operating lease right-of-use assets obtained in exchange for lease liabilities</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368</w:t>
            </w:r>
          </w:p>
        </w:tc>
        <w:tc>
          <w:tcPr>
            <w:tcW w:w="8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right-of-use assets reduced due to lease modification and termination</w:t>
            </w:r>
          </w:p>
        </w:tc>
        <w:tc>
          <w:tcPr>
            <w:tcW w:w="1220" w:type="dxa"/>
            <w:vAlign w:val="bottom"/>
            <w:shd w:val="clear" w:color="auto" w:fill="CFF0FC"/>
          </w:tcPr>
          <w:p>
            <w:pPr>
              <w:jc w:val="right"/>
              <w:ind w:right="1041"/>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04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FF0FC"/>
          </w:tcPr>
          <w:p>
            <w:pPr>
              <w:spacing w:after="0"/>
              <w:rPr>
                <w:sz w:val="16"/>
                <w:szCs w:val="16"/>
                <w:color w:val="auto"/>
              </w:rPr>
            </w:pPr>
          </w:p>
        </w:tc>
      </w:tr>
      <w:tr>
        <w:trPr>
          <w:trHeight w:val="206"/>
        </w:trPr>
        <w:tc>
          <w:tcPr>
            <w:tcW w:w="7020" w:type="dxa"/>
            <w:vAlign w:val="bottom"/>
          </w:tcPr>
          <w:p>
            <w:pPr>
              <w:ind w:left="200"/>
              <w:spacing w:after="0"/>
              <w:rPr>
                <w:sz w:val="20"/>
                <w:szCs w:val="20"/>
                <w:color w:val="auto"/>
              </w:rPr>
            </w:pPr>
            <w:r>
              <w:rPr>
                <w:rFonts w:ascii="Arial" w:cs="Arial" w:eastAsia="Arial" w:hAnsi="Arial"/>
                <w:sz w:val="16"/>
                <w:szCs w:val="16"/>
                <w:color w:val="auto"/>
              </w:rPr>
              <w:t>Public offerings costs included in accounts payable</w:t>
            </w:r>
          </w:p>
        </w:tc>
        <w:tc>
          <w:tcPr>
            <w:tcW w:w="1220" w:type="dxa"/>
            <w:vAlign w:val="bottom"/>
          </w:tcPr>
          <w:p>
            <w:pPr>
              <w:jc w:val="right"/>
              <w:ind w:right="1041"/>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-3573780</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-3573780</wp:posOffset>
            </wp:positionV>
            <wp:extent cx="514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-2604770</wp:posOffset>
            </wp:positionV>
            <wp:extent cx="514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-2604770</wp:posOffset>
            </wp:positionV>
            <wp:extent cx="5143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-1627505</wp:posOffset>
            </wp:positionV>
            <wp:extent cx="5143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-1627505</wp:posOffset>
            </wp:positionV>
            <wp:extent cx="5143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-1370330</wp:posOffset>
            </wp:positionV>
            <wp:extent cx="514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-1370330</wp:posOffset>
            </wp:positionV>
            <wp:extent cx="514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-1122045</wp:posOffset>
            </wp:positionV>
            <wp:extent cx="5143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-1122045</wp:posOffset>
            </wp:positionV>
            <wp:extent cx="51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and Basis of Presentation</w:t>
      </w:r>
    </w:p>
    <w:p>
      <w:pPr>
        <w:spacing w:after="0" w:line="108"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significant intercompany accounts and transactions are eliminated from the accompanying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Fulgent Genetics, Inc., together with its subsidiaries and an affiliated professional corporation, or PC, collectively referred to as the Company, unless otherwise noted or the context otherwise requires, is a technology company offering large-scale COVID-19 testing services, molecular diagnostic testing services and comprehensive genetic testing designed to provide physicians with clinically actionable diagnostic information to improve the quality of patient care. A cornerstone of the Company’s business is its ability to provide expansive options and flexibility for all clients’ unique testing needs. To this end, the Company has developed a proprietary technology platform allowing it to offer a broad and flexible test menu and to continually expand and improve its proprietary genetic reference library, while maintaining accessible pricing, high accuracy and competitive turnaround times. Combining next generation sequencing, or NGS, with its technology platform, the Company performs full-gene sequencing with deletion/duplication analysis in single-gene tests; pre-established, multi-gene, disease-specific panels; and customized panels that can be tailored to meet specific customer needs.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04" w:lineRule="exact"/>
        <w:rPr>
          <w:sz w:val="20"/>
          <w:szCs w:val="20"/>
          <w:color w:val="auto"/>
        </w:rPr>
      </w:pPr>
    </w:p>
    <w:p>
      <w:pPr>
        <w:jc w:val="both"/>
        <w:ind w:right="20" w:firstLine="509"/>
        <w:spacing w:after="0" w:line="269" w:lineRule="auto"/>
        <w:rPr>
          <w:sz w:val="20"/>
          <w:szCs w:val="20"/>
          <w:color w:val="auto"/>
        </w:rPr>
      </w:pPr>
      <w:r>
        <w:rPr>
          <w:rFonts w:ascii="Arial" w:cs="Arial" w:eastAsia="Arial" w:hAnsi="Arial"/>
          <w:sz w:val="16"/>
          <w:szCs w:val="16"/>
          <w:color w:val="auto"/>
        </w:rPr>
        <w:t>The accompanying unaudited interim condensed consolidated financial statements have been prepared on the same basis as the Company’s audited consolidated financial statements as of and for the fiscal year ended December 31, 2021, which are included in the Company’s annual report on Form 10-K filed with the Securities and Exchange Commission, or SEC, on February 28, 2022, or the 2021 Annual Report, and, in the opinion of management, include all adjustments, which are normal and recurring in nature, necessary for a fair presentation of the Company’s financial position and results of operations.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Operating results for interim periods are not necessarily indicative of the results that may be expected for a full fiscal year or any other period. The accompanying Condensed Consolidated Balance Sheet as of March 31, 2022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2021 Annual Report, including the notes thereto.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0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See the summary of the Company’s significant accounting policies set forth in the notes to its consolidated financial statements included in the 2021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including but not limited to the potential impacts arising from the recent global pandemic related to COVID-19. As the extent and duration of the impacts from COVID-19 remain unclear, the Company’s estimates and assumptions may evolve as conditions change. Actual results could differ significantly from these estimates.</w:t>
      </w:r>
    </w:p>
    <w:p>
      <w:pPr>
        <w:spacing w:after="0" w:line="191"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and (v) valuation of intangible assets and goodwill.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All marketable debt securities, which consist of corporate debt securities, municipal bonds, U.S. government and agency debt securities, and Yankee debt securities issued by foreign governments or entities and denominated in U.S. dollars have been classified as “available-for-sale,” and are carried at fair value. Net unrealized gains and losses, net of any related tax effects, are excluded from earnings and are included in other comprehensive income (loss) and reported as a separate component of stockholders’ equity until realized. Realized gains and losses on marketable debt securities are included in interest and other income, net, in the accompanying Condensed Consolidated Statements of Income. The cost of any marketable debt securities sold is based on the specific-identification method. The amortized cost of marketable debt securities is adjusted for amortization of premiums and accretion of discounts to maturity. Interest on marketable debt securities is included in interest and other income, net. In accordance with the Company’s investment policy, management invests to diversify credit risk and only invests in securities with high credit quality, including U.S. government securities.</w:t>
      </w:r>
    </w:p>
    <w:p>
      <w:pPr>
        <w:spacing w:after="0" w:line="168"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The Company’s investments in marketable equity securities are measured at fair value with the related gains and losses, realized and unrealized, recognized in interest and other income, net, in the accompanying Condensed Consolidated Statements of Income. The cost of any marketable equity securities sold is based on the specific-identification method.</w:t>
      </w:r>
    </w:p>
    <w:p>
      <w:pPr>
        <w:spacing w:after="0" w:line="182" w:lineRule="exact"/>
        <w:rPr>
          <w:sz w:val="20"/>
          <w:szCs w:val="20"/>
          <w:color w:val="auto"/>
        </w:rPr>
      </w:pPr>
    </w:p>
    <w:p>
      <w:pPr>
        <w:ind w:right="140" w:firstLine="509"/>
        <w:spacing w:after="0" w:line="274" w:lineRule="auto"/>
        <w:rPr>
          <w:sz w:val="20"/>
          <w:szCs w:val="20"/>
          <w:color w:val="auto"/>
        </w:rPr>
      </w:pPr>
      <w:r>
        <w:rPr>
          <w:rFonts w:ascii="Arial" w:cs="Arial" w:eastAsia="Arial" w:hAnsi="Arial"/>
          <w:sz w:val="16"/>
          <w:szCs w:val="16"/>
          <w:color w:val="auto"/>
        </w:rPr>
        <w:t>For available-for-sale debt securities, in an unrealized loss, the Company determines whether a credit loss exists. The credit loss is estimated by considering available information relevant to the collectability of the security and information about past events, current conditions, and reasonable and supportable forecasts. The Company compares the present value of cash flows expected to be collected from the security with the amortized cost basis of the security. If the present value of cash flows to be collected is less than the amortized basis of the security, a credit loss exists, and any credit loss is recorded as a charge to interest and other income, net, not to exceed the amount of the unrealized loss. If the Company has an intent to sell, or if it is more likely than not that the Company will be required to sell a debt security in an unrealized loss position before recovery of its amortized cost basis, the Company will write down the security to its fair value and record the corresponding charge as a component of interest and other income, net.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 for Credit Losses</w:t>
      </w:r>
    </w:p>
    <w:p>
      <w:pPr>
        <w:spacing w:after="0" w:line="10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The Company adopted Accounting Standards Update, or ASU 2016-13</w:t>
      </w:r>
      <w:r>
        <w:rPr>
          <w:rFonts w:ascii="Arial" w:cs="Arial" w:eastAsia="Arial" w:hAnsi="Arial"/>
          <w:sz w:val="16"/>
          <w:szCs w:val="16"/>
          <w:i w:val="1"/>
          <w:iCs w:val="1"/>
          <w:color w:val="auto"/>
        </w:rPr>
        <w:t>, Financial Instruments-Credit Losses: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using the modified retrospective approach as of January 1, 2021. Trade accounts receivable are stated at the amount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Income.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probability-of-default and loss given default model, which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probability-of-default and loss given default factors annually to incorporate the most recent historical data and adjusts the quantitative portion of the reserve through its qualitative reserve overlay. The Company looks at qualitative factors such as general economic conditions in determining expected credit losses.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Preferred Stock Investment</w:t>
      </w:r>
    </w:p>
    <w:p>
      <w:pPr>
        <w:spacing w:after="0" w:line="104"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The redeemable preferred stock investment of $17.6 million as of March 31, 2022 represents the fair value of redeemable preferred stock of Laboratory for Advanced Medicine, Inc., or Helio Health, that the Company purchased in July 2021. The investment is classified as available-for-sale debt securities. The fair value of available-for-sale debt security is included in the Consolidated Statement of Balance Sheets. Unrealized loss of $2.4 million is excluded from earnings and reported in other comprehensive income (loss) as of March 31, 2022. Since the Company intends on holding the preferred stock, and the preferred stock is not redeemable until July 2027, the investment is recorded as a long-term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included in accumulated other comprehensive income (loss) in the accompanying Condensed Consolidated Statements of Stockholders’ Equity. Gain or loss from these translations were not significant in the first quarters of 2022 and 2021. The Company and its subsidiaries that use the U.S. dollar as their functional currency remeasure monetary assets and liabilities at exchange rates in effect at the end of each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right="160"/>
        <w:spacing w:after="0" w:line="261" w:lineRule="auto"/>
        <w:rPr>
          <w:sz w:val="20"/>
          <w:szCs w:val="20"/>
          <w:color w:val="auto"/>
        </w:rPr>
      </w:pPr>
      <w:r>
        <w:rPr>
          <w:rFonts w:ascii="Arial" w:cs="Arial" w:eastAsia="Arial" w:hAnsi="Arial"/>
          <w:sz w:val="18"/>
          <w:szCs w:val="18"/>
          <w:color w:val="auto"/>
        </w:rPr>
        <w:t>period, whereas reagents and supplies, property and nonmonetary assets and liabilities are measured at historical rates. Losses from these remeasurements were not significant in the first quarters of 2022 and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0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Comprehensive income (loss) is comprised of net income (loss) and other comprehensive income (loss). Other comprehensive income (loss) consists of net unrealized gain or loss on available-for-sale debt securities, net of tax, and foreign currency translation adjustments from the Company's subsidiaries not using the U.S. dollar as their functional currency. Reclassifications from other comprehensive income (loss) to net earnings were not significant in the first quarters of 2022 and 2021. The tax effects related to net unrealized loss on available-for-sale debt securities were $4.5 million in the first quarter of 2022. The tax effects were not significant in the first quarter of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The Company determines if an arrangement is a lease at inception by evaluating whether the arrangement conveys the right to use an identified asset and whether the Company obtains substantially all of the economic benefits from and has the ability to direct the use of the asset. Operating and finance lease right-of-use assets, or ROU assets, short-term lease liabilities, and long-term lease liabilities are included in other long-term assets, accrued liabilities, and other long-term liabilities, respectively, in the accompanying Condensed Consolidated Balance Sheets.</w:t>
      </w:r>
    </w:p>
    <w:p>
      <w:pPr>
        <w:spacing w:after="0" w:line="172" w:lineRule="exact"/>
        <w:rPr>
          <w:sz w:val="20"/>
          <w:szCs w:val="20"/>
          <w:color w:val="auto"/>
        </w:rPr>
      </w:pPr>
    </w:p>
    <w:p>
      <w:pPr>
        <w:ind w:right="160" w:firstLine="509"/>
        <w:spacing w:after="0" w:line="253" w:lineRule="auto"/>
        <w:rPr>
          <w:sz w:val="20"/>
          <w:szCs w:val="20"/>
          <w:color w:val="auto"/>
        </w:rPr>
      </w:pPr>
      <w:r>
        <w:rPr>
          <w:rFonts w:ascii="Arial" w:cs="Arial" w:eastAsia="Arial" w:hAnsi="Arial"/>
          <w:sz w:val="17"/>
          <w:szCs w:val="17"/>
          <w:color w:val="auto"/>
        </w:rPr>
        <w:t>Lease ROU assets represent the Company’s right to use an underlying asset for the lease term. Lease liabilities represent the Company’s obligation to make lease payments arising from the lease. Lease ROU assets and liabilities are recognized at the commencement date based on the present value of lease payments over the lease term, including options to extend the lease when it is reasonably certain that the Company will exercise that option. The Company uses its incremental borrowing rate based on the information available at the commencement date, including inquiries with its bank, in determining the present value of lease payments since its leases do not provide an implicit rate. Lease ROU assets consist of initial measurement of lease liabilities, any lease payments made to lessor on or before the lease commencement date, minus any lease incentive received, and any initial direct costs incurred by the Company. Operating lease expense for lease payments is recognized on a straight-line basis over the lease term. For finance lease, ROU assets are amortized on a straight-line basis from the commencement date to the earlier of the end of useful life of the ROU assets or the end of the lease term. Amortization of ROU assets and interest on the lease liability for finance leases are included as charges to the accompanying Condensed Consolidated Statements of Income.</w:t>
      </w:r>
    </w:p>
    <w:p>
      <w:pPr>
        <w:spacing w:after="0" w:line="180"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Lease ROU assets and liabilities arising from business combinations are recognized and measured at the acquisition dates as if an acquired lease were a new lease at the date of acquisition using the Company’s incremental borrowing rate unless the discount rate is implicit in the lease. The Company elects to not to recognize assets or liabilities as of the acquisition dates for leases that, on the acquisition dates, have a remaining lease term of 12 months or less. The Company also retains the acquirees’ classification of the leases if there are no modifications as part of the business combinations.</w:t>
      </w:r>
    </w:p>
    <w:p>
      <w:pPr>
        <w:spacing w:after="0" w:line="155"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Company leases and subleases out space in buildings it owns or leases to third-party tenants or subtenants under noncancelable operating leases. The Company recognizes lease payments as income over the lease terms on a straight-line basis and recognizes variable lease payments as income in the period in which the changes in facts and circumstances on which the variable lease payments are based occur. The net rental income is included in the interest and other income, net, in the accompanying Condensed Consolidated Statement of Income.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104"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In certain periods, a small number of customers has accounted for a significant portion of the Company’s revenue. After aggregating customers that are under common control or affiliation, one customer contributed 27% and 25% of the Company's revenue in the first quarters of 2022 and 2021, respectively. No customer comprised 10% or more of total accounts receivable as of March 31, 2022 and December 31, 2021.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4" w:lineRule="exact"/>
        <w:rPr>
          <w:sz w:val="20"/>
          <w:szCs w:val="20"/>
          <w:color w:val="auto"/>
        </w:rPr>
      </w:pPr>
    </w:p>
    <w:p>
      <w:pPr>
        <w:ind w:right="280" w:firstLine="509"/>
        <w:spacing w:after="0" w:line="259" w:lineRule="auto"/>
        <w:rPr>
          <w:sz w:val="20"/>
          <w:szCs w:val="20"/>
          <w:color w:val="auto"/>
        </w:rPr>
      </w:pPr>
      <w:r>
        <w:rPr>
          <w:rFonts w:ascii="Arial" w:cs="Arial" w:eastAsia="Arial" w:hAnsi="Arial"/>
          <w:sz w:val="17"/>
          <w:szCs w:val="17"/>
          <w:color w:val="auto"/>
        </w:rPr>
        <w:t>The Company classifies its customers into three payor types: (i) Insurance, including claim reimbursement from the U.S. Health Resources and Services Administration, or HRSA, for uninsured individuals, (ii) Institutional customers, including hospitals, medical institutions, other laboratories, governmental bodies, municipalities and large corporations, or (iii) Patients who pay directly, as the Company believes this best depicts how the nature, amount, timing, and uncertainty of its revenue and cash flows are affected by economic factors. The following table summarizes revenue from contracts with customers by payor type for the first quarters of 2022 and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78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5"/>
                <w:szCs w:val="15"/>
                <w:color w:val="auto"/>
              </w:rPr>
            </w:pPr>
          </w:p>
        </w:tc>
      </w:tr>
      <w:tr>
        <w:trPr>
          <w:trHeight w:val="188"/>
        </w:trPr>
        <w:tc>
          <w:tcPr>
            <w:tcW w:w="6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w w:val="71"/>
              </w:rPr>
              <w:t>thousands)</w:t>
            </w: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1"/>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Testing Services by payor</w:t>
            </w:r>
          </w:p>
        </w:tc>
        <w:tc>
          <w:tcPr>
            <w:tcW w:w="1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2"/>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Insurance</w:t>
            </w:r>
          </w:p>
        </w:tc>
        <w:tc>
          <w:tcPr>
            <w:tcW w:w="1180" w:type="dxa"/>
            <w:vAlign w:val="bottom"/>
          </w:tcPr>
          <w:p>
            <w:pPr>
              <w:jc w:val="right"/>
              <w:ind w:right="996"/>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210,677</w:t>
            </w:r>
          </w:p>
        </w:tc>
        <w:tc>
          <w:tcPr>
            <w:tcW w:w="1140" w:type="dxa"/>
            <w:vAlign w:val="bottom"/>
            <w:gridSpan w:val="2"/>
          </w:tcPr>
          <w:p>
            <w:pPr>
              <w:jc w:val="right"/>
              <w:ind w:right="6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207,558</w:t>
            </w:r>
          </w:p>
        </w:tc>
        <w:tc>
          <w:tcPr>
            <w:tcW w:w="60" w:type="dxa"/>
            <w:vAlign w:val="bottom"/>
          </w:tcPr>
          <w:p>
            <w:pPr>
              <w:spacing w:after="0"/>
              <w:rPr>
                <w:sz w:val="17"/>
                <w:szCs w:val="17"/>
                <w:color w:val="auto"/>
              </w:rPr>
            </w:pPr>
          </w:p>
        </w:tc>
      </w:tr>
      <w:tr>
        <w:trPr>
          <w:trHeight w:val="203"/>
        </w:trPr>
        <w:tc>
          <w:tcPr>
            <w:tcW w:w="6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Institutional customers</w:t>
            </w:r>
          </w:p>
        </w:tc>
        <w:tc>
          <w:tcPr>
            <w:tcW w:w="11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109,468</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151,569</w:t>
            </w: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Patients</w:t>
            </w:r>
          </w:p>
        </w:tc>
        <w:tc>
          <w:tcPr>
            <w:tcW w:w="1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w:t>
            </w:r>
          </w:p>
        </w:tc>
        <w:tc>
          <w:tcPr>
            <w:tcW w:w="2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w:t>
            </w:r>
          </w:p>
        </w:tc>
        <w:tc>
          <w:tcPr>
            <w:tcW w:w="60" w:type="dxa"/>
            <w:vAlign w:val="bottom"/>
          </w:tcPr>
          <w:p>
            <w:pPr>
              <w:spacing w:after="0"/>
              <w:rPr>
                <w:sz w:val="17"/>
                <w:szCs w:val="17"/>
                <w:color w:val="auto"/>
              </w:rPr>
            </w:pPr>
          </w:p>
        </w:tc>
      </w:tr>
      <w:tr>
        <w:trPr>
          <w:trHeight w:val="236"/>
        </w:trPr>
        <w:tc>
          <w:tcPr>
            <w:tcW w:w="67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Revenue</w:t>
            </w:r>
          </w:p>
        </w:tc>
        <w:tc>
          <w:tcPr>
            <w:tcW w:w="1180" w:type="dxa"/>
            <w:vAlign w:val="bottom"/>
            <w:tcBorders>
              <w:bottom w:val="single" w:sz="8" w:color="auto"/>
            </w:tcBorders>
            <w:shd w:val="clear" w:color="auto" w:fill="CFF0FC"/>
          </w:tcPr>
          <w:p>
            <w:pPr>
              <w:jc w:val="right"/>
              <w:ind w:right="996"/>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320,268</w:t>
            </w:r>
          </w:p>
        </w:tc>
        <w:tc>
          <w:tcPr>
            <w:tcW w:w="28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359,429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43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jc w:val="both"/>
        <w:ind w:right="220" w:firstLine="509"/>
        <w:spacing w:after="0" w:line="324" w:lineRule="auto"/>
        <w:rPr>
          <w:sz w:val="20"/>
          <w:szCs w:val="20"/>
          <w:color w:val="auto"/>
        </w:rPr>
      </w:pPr>
      <w:r>
        <w:rPr>
          <w:rFonts w:ascii="Arial" w:cs="Arial" w:eastAsia="Arial" w:hAnsi="Arial"/>
          <w:sz w:val="16"/>
          <w:szCs w:val="16"/>
          <w:color w:val="auto"/>
        </w:rPr>
        <w:t>The insurance revenue category above includes $106.7 million and $112.7 million in the first quarters of 2022 and 2021, respectively, for services related to claims covered by the HRSA COVID-19 Uninsured Program. The HRSA program stopped accepting claims at 11:59 p.m. on March 22, 2022.</w:t>
      </w:r>
    </w:p>
    <w:p>
      <w:pPr>
        <w:spacing w:after="0" w:line="124"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There was no material variable consideration recognized in the current period that relates to performance obligations that were completed in the prior period.</w:t>
      </w:r>
    </w:p>
    <w:p>
      <w:pPr>
        <w:spacing w:after="0" w:line="17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Collection of the Company’s net revenues from insurers is normally a function of providing complete and correct billing information within the various filing deadlines. Provided the Company has billed insurers accurately with complete information prior to the established filing deadline, there has historically been little to no credit risk. If there has been a delay in billing, the Company determines if the amounts in question will likely go past the filing deadline, and if so, the Company will reserve accordingly for the billing.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i w:val="1"/>
          <w:iCs w:val="1"/>
          <w:color w:val="auto"/>
        </w:rPr>
        <w:t xml:space="preserve">Receivables from contracts with customers - </w:t>
      </w:r>
      <w:r>
        <w:rPr>
          <w:rFonts w:ascii="Arial" w:cs="Arial" w:eastAsia="Arial" w:hAnsi="Arial"/>
          <w:sz w:val="17"/>
          <w:szCs w:val="17"/>
          <w:color w:val="auto"/>
        </w:rPr>
        <w:t>Receivables from contracts with customers are included within trade accounts receivable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Consolidated Balance Sheets. Receivable from Insurance and Institutional customers represented 73% and 27%, respectively, as of March 31, 2022. Receivable from Insurance and Institutional customers represented 47% and 53%, respectively, as of December 31, 2021.</w:t>
      </w:r>
    </w:p>
    <w:p>
      <w:pPr>
        <w:spacing w:after="0" w:line="16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i w:val="1"/>
          <w:iCs w:val="1"/>
          <w:color w:val="auto"/>
        </w:rPr>
        <w:t xml:space="preserve">Contracts assets and liabilities </w:t>
      </w:r>
      <w:r>
        <w:rPr>
          <w:rFonts w:ascii="Arial" w:cs="Arial" w:eastAsia="Arial" w:hAnsi="Arial"/>
          <w:sz w:val="18"/>
          <w:szCs w:val="18"/>
          <w:color w:val="auto"/>
        </w:rPr>
        <w:t>- Contract assets from contracts with customers associated with contract execution and certain costs to fulfill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are included in other current assets in the accompanying Condensed Consolidated Balance Sheets. Contract liabilities are recorded when the Company receives payment prior to completing its obligation to transfer goods or services to a customer. Contract liabilities are included in the Condensed Consolidated Balance Sheets. Revenues of $11.1 million and $18.8 million for the first quarters of 2022 and 2021, respectively, related to contract liabilities at the beginning of the respective periods were recognized.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Reagents and Supplies</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Company maintains reagents and other consumables primarily used in sample collections and testing which are valued at the lower of cost or net realizable value. Cost is determined using actual costs on a first-in, first-out basis. The reagents and supplies were included in other current assets in the accompanying Condensed Consolidated Balance Sheets.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Deposit</w:t>
      </w:r>
    </w:p>
    <w:p>
      <w:pPr>
        <w:spacing w:after="0" w:line="10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Customer deposit in the accompanying Condensed Consolidated Balance Sheets consists primarily of payments received from customers in excess of their outstanding trade accounts receivable balances, and the excess payments will be refunded to the customers or offset against future testing receivables.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04"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Goodwill is not amortized but is subject to impairment tests on an annual basis, or more frequently if indicators of potential impairment exist, and goodwill is written down when it is determined to be impaired. The Company typically performs an annual impairment review in the fourth quarter of each fiscal year unless one had been performed previously within the past 12 months and compares the fair value of the reporting unit in which the goodwill resides to its carrying value.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Equity and Debt Securities</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equity and debt securities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6"/>
              </w:rPr>
              <w:t>March 31, 2022</w:t>
            </w: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1180" w:type="dxa"/>
            <w:vAlign w:val="bottom"/>
          </w:tcPr>
          <w:p>
            <w:pPr>
              <w:jc w:val="right"/>
              <w:ind w:right="273"/>
              <w:spacing w:after="0" w:line="13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20" w:type="dxa"/>
            <w:vAlign w:val="bottom"/>
            <w:gridSpan w:val="3"/>
          </w:tcPr>
          <w:p>
            <w:pPr>
              <w:jc w:val="right"/>
              <w:ind w:right="8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1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1"/>
                <w:szCs w:val="11"/>
                <w:color w:val="auto"/>
              </w:rPr>
            </w:pPr>
          </w:p>
        </w:tc>
      </w:tr>
      <w:tr>
        <w:trPr>
          <w:trHeight w:val="185"/>
        </w:trPr>
        <w:tc>
          <w:tcPr>
            <w:tcW w:w="4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Cost Basis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74"/>
              </w:rPr>
              <w:t>thousands)</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Equity securities: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80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Investment in private equity securities</w:t>
            </w:r>
          </w:p>
        </w:tc>
        <w:tc>
          <w:tcPr>
            <w:tcW w:w="2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15,000</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15,000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800" w:type="dxa"/>
            <w:vAlign w:val="bottom"/>
          </w:tcPr>
          <w:p>
            <w:pPr>
              <w:ind w:left="560"/>
              <w:spacing w:after="0" w:line="196" w:lineRule="exact"/>
              <w:rPr>
                <w:sz w:val="20"/>
                <w:szCs w:val="20"/>
                <w:color w:val="auto"/>
              </w:rPr>
            </w:pPr>
            <w:r>
              <w:rPr>
                <w:rFonts w:ascii="Arial" w:cs="Arial" w:eastAsia="Arial" w:hAnsi="Arial"/>
                <w:sz w:val="18"/>
                <w:szCs w:val="18"/>
                <w:color w:val="auto"/>
              </w:rPr>
              <w:t>Total equity securities</w:t>
            </w:r>
          </w:p>
        </w:tc>
        <w:tc>
          <w:tcPr>
            <w:tcW w:w="2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15,000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15,000</w:t>
            </w:r>
          </w:p>
        </w:tc>
        <w:tc>
          <w:tcPr>
            <w:tcW w:w="80" w:type="dxa"/>
            <w:vAlign w:val="bottom"/>
          </w:tcPr>
          <w:p>
            <w:pPr>
              <w:spacing w:after="0"/>
              <w:rPr>
                <w:sz w:val="17"/>
                <w:szCs w:val="17"/>
                <w:color w:val="auto"/>
              </w:rPr>
            </w:pPr>
          </w:p>
        </w:tc>
      </w:tr>
      <w:tr>
        <w:trPr>
          <w:trHeight w:val="196"/>
        </w:trPr>
        <w:tc>
          <w:tcPr>
            <w:tcW w:w="4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2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Short-term</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111,981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(818 )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111,172</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Money market accounts</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105,415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105,415</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U.S. government debt securities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110,594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(702 )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109,892</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5,062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(33 )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5,029</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Yankee debt securities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(31 )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5,952</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Less: Cash equivalents</w:t>
            </w:r>
          </w:p>
        </w:tc>
        <w:tc>
          <w:tcPr>
            <w:tcW w:w="2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(105,415 )</w:t>
            </w: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(105,415 )</w:t>
            </w:r>
          </w:p>
        </w:tc>
      </w:tr>
      <w:tr>
        <w:trPr>
          <w:trHeight w:val="196"/>
        </w:trPr>
        <w:tc>
          <w:tcPr>
            <w:tcW w:w="480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debt securities due within 1 year</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233,620</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w:t>
            </w: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232,045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800" w:type="dxa"/>
            <w:vAlign w:val="bottom"/>
          </w:tcPr>
          <w:p>
            <w:pPr>
              <w:ind w:left="200"/>
              <w:spacing w:after="0" w:line="196" w:lineRule="exact"/>
              <w:rPr>
                <w:sz w:val="20"/>
                <w:szCs w:val="20"/>
                <w:color w:val="auto"/>
              </w:rPr>
            </w:pPr>
            <w:r>
              <w:rPr>
                <w:rFonts w:ascii="Arial" w:cs="Arial" w:eastAsia="Arial" w:hAnsi="Arial"/>
                <w:sz w:val="18"/>
                <w:szCs w:val="18"/>
                <w:color w:val="auto"/>
              </w:rPr>
              <w:t>After 1 year through 5 years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U.S. Government debt securities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216,936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(4,931 )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212,010</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194,432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(5,771 )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188,661</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U.S. agency debt securities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69,959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(2,466 )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67,493</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12,422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(255 )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12,167</w:t>
            </w:r>
          </w:p>
        </w:tc>
        <w:tc>
          <w:tcPr>
            <w:tcW w:w="80" w:type="dxa"/>
            <w:vAlign w:val="bottom"/>
          </w:tcPr>
          <w:p>
            <w:pPr>
              <w:spacing w:after="0"/>
              <w:rPr>
                <w:sz w:val="17"/>
                <w:szCs w:val="17"/>
                <w:color w:val="auto"/>
              </w:rPr>
            </w:pPr>
          </w:p>
        </w:tc>
      </w:tr>
      <w:tr>
        <w:trPr>
          <w:trHeight w:val="202"/>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Yankee debt securities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6,161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(215 )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5,946</w:t>
            </w:r>
          </w:p>
        </w:tc>
        <w:tc>
          <w:tcPr>
            <w:tcW w:w="80" w:type="dxa"/>
            <w:vAlign w:val="bottom"/>
            <w:shd w:val="clear" w:color="auto" w:fill="CFF0FC"/>
          </w:tcPr>
          <w:p>
            <w:pPr>
              <w:spacing w:after="0"/>
              <w:rPr>
                <w:sz w:val="17"/>
                <w:szCs w:val="17"/>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4800" w:type="dxa"/>
            <w:vAlign w:val="bottom"/>
          </w:tcPr>
          <w:p>
            <w:pPr>
              <w:ind w:left="560"/>
              <w:spacing w:after="0" w:line="196" w:lineRule="exact"/>
              <w:rPr>
                <w:sz w:val="20"/>
                <w:szCs w:val="20"/>
                <w:color w:val="auto"/>
              </w:rPr>
            </w:pPr>
            <w:r>
              <w:rPr>
                <w:rFonts w:ascii="Arial" w:cs="Arial" w:eastAsia="Arial" w:hAnsi="Arial"/>
                <w:sz w:val="18"/>
                <w:szCs w:val="18"/>
                <w:color w:val="auto"/>
                <w:w w:val="99"/>
              </w:rPr>
              <w:t>Total debt securities due after 1 year through 5 years</w:t>
            </w:r>
          </w:p>
        </w:tc>
        <w:tc>
          <w:tcPr>
            <w:tcW w:w="2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499,910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(13,638 )</w:t>
            </w:r>
          </w:p>
        </w:tc>
        <w:tc>
          <w:tcPr>
            <w:tcW w:w="24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486,277</w:t>
            </w:r>
          </w:p>
        </w:tc>
        <w:tc>
          <w:tcPr>
            <w:tcW w:w="80" w:type="dxa"/>
            <w:vAlign w:val="bottom"/>
          </w:tcPr>
          <w:p>
            <w:pPr>
              <w:spacing w:after="0"/>
              <w:rPr>
                <w:sz w:val="17"/>
                <w:szCs w:val="17"/>
                <w:color w:val="auto"/>
              </w:rPr>
            </w:pPr>
          </w:p>
        </w:tc>
      </w:tr>
      <w:tr>
        <w:trPr>
          <w:trHeight w:val="196"/>
        </w:trPr>
        <w:tc>
          <w:tcPr>
            <w:tcW w:w="48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After 5 years through 10 years</w:t>
            </w:r>
          </w:p>
        </w:tc>
        <w:tc>
          <w:tcPr>
            <w:tcW w:w="2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7,085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(180 )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6,905</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Redeemable preferred stock investment</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(2,391 )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17,609</w:t>
            </w:r>
          </w:p>
        </w:tc>
        <w:tc>
          <w:tcPr>
            <w:tcW w:w="80" w:type="dxa"/>
            <w:vAlign w:val="bottom"/>
            <w:shd w:val="clear" w:color="auto" w:fill="CFF0FC"/>
          </w:tcPr>
          <w:p>
            <w:pPr>
              <w:spacing w:after="0"/>
              <w:rPr>
                <w:sz w:val="17"/>
                <w:szCs w:val="17"/>
                <w:color w:val="auto"/>
              </w:rPr>
            </w:pP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4800" w:type="dxa"/>
            <w:vAlign w:val="bottom"/>
          </w:tcPr>
          <w:p>
            <w:pPr>
              <w:ind w:left="560"/>
              <w:spacing w:after="0" w:line="196" w:lineRule="exact"/>
              <w:rPr>
                <w:sz w:val="20"/>
                <w:szCs w:val="20"/>
                <w:color w:val="auto"/>
              </w:rPr>
            </w:pPr>
            <w:r>
              <w:rPr>
                <w:rFonts w:ascii="Arial" w:cs="Arial" w:eastAsia="Arial" w:hAnsi="Arial"/>
                <w:sz w:val="18"/>
                <w:szCs w:val="18"/>
                <w:color w:val="auto"/>
                <w:w w:val="95"/>
              </w:rPr>
              <w:t>Total debt securities due after 5 years through 10 years</w:t>
            </w:r>
          </w:p>
        </w:tc>
        <w:tc>
          <w:tcPr>
            <w:tcW w:w="2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27,085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(2,571 )</w:t>
            </w:r>
          </w:p>
        </w:tc>
        <w:tc>
          <w:tcPr>
            <w:tcW w:w="24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24,514</w:t>
            </w:r>
          </w:p>
        </w:tc>
        <w:tc>
          <w:tcPr>
            <w:tcW w:w="80" w:type="dxa"/>
            <w:vAlign w:val="bottom"/>
          </w:tcPr>
          <w:p>
            <w:pPr>
              <w:spacing w:after="0"/>
              <w:rPr>
                <w:sz w:val="17"/>
                <w:szCs w:val="17"/>
                <w:color w:val="auto"/>
              </w:rPr>
            </w:pPr>
          </w:p>
        </w:tc>
      </w:tr>
      <w:tr>
        <w:trPr>
          <w:trHeight w:val="196"/>
        </w:trPr>
        <w:tc>
          <w:tcPr>
            <w:tcW w:w="4800" w:type="dxa"/>
            <w:vAlign w:val="bottom"/>
            <w:tcBorders>
              <w:bottom w:val="single" w:sz="8" w:color="CFF0FC"/>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Total available-for-sale debt securities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760,615</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(17,793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742,836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800" w:type="dxa"/>
            <w:vAlign w:val="bottom"/>
          </w:tcPr>
          <w:p>
            <w:pPr>
              <w:ind w:left="740"/>
              <w:spacing w:after="0" w:line="182" w:lineRule="exact"/>
              <w:rPr>
                <w:sz w:val="20"/>
                <w:szCs w:val="20"/>
                <w:color w:val="auto"/>
              </w:rPr>
            </w:pPr>
            <w:r>
              <w:rPr>
                <w:rFonts w:ascii="Arial" w:cs="Arial" w:eastAsia="Arial" w:hAnsi="Arial"/>
                <w:sz w:val="18"/>
                <w:szCs w:val="18"/>
                <w:color w:val="auto"/>
              </w:rPr>
              <w:t>Total equity and debt securities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775,615</w:t>
            </w:r>
          </w:p>
        </w:tc>
        <w:tc>
          <w:tcPr>
            <w:tcW w:w="240" w:type="dxa"/>
            <w:vAlign w:val="bottom"/>
          </w:tcPr>
          <w:p>
            <w:pPr>
              <w:spacing w:after="0"/>
              <w:rPr>
                <w:sz w:val="17"/>
                <w:szCs w:val="17"/>
                <w:color w:val="auto"/>
              </w:rPr>
            </w:pPr>
          </w:p>
        </w:tc>
        <w:tc>
          <w:tcPr>
            <w:tcW w:w="240" w:type="dxa"/>
            <w:vAlign w:val="bottom"/>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58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40"/>
              <w:spacing w:after="0" w:line="182" w:lineRule="exact"/>
              <w:rPr>
                <w:sz w:val="20"/>
                <w:szCs w:val="20"/>
                <w:color w:val="auto"/>
              </w:rPr>
            </w:pPr>
            <w:r>
              <w:rPr>
                <w:rFonts w:ascii="Arial" w:cs="Arial" w:eastAsia="Arial" w:hAnsi="Arial"/>
                <w:sz w:val="18"/>
                <w:szCs w:val="18"/>
                <w:color w:val="auto"/>
              </w:rPr>
              <w:t>(17,793 )  $</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757,836</w:t>
            </w:r>
          </w:p>
        </w:tc>
        <w:tc>
          <w:tcPr>
            <w:tcW w:w="8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15"/>
        </w:trPr>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43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8"/>
        </w:trPr>
        <w:tc>
          <w:tcPr>
            <w:tcW w:w="4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-3528060</wp:posOffset>
            </wp:positionV>
            <wp:extent cx="6032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-3528060</wp:posOffset>
            </wp:positionV>
            <wp:extent cx="431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-3528060</wp:posOffset>
            </wp:positionV>
            <wp:extent cx="514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-3528060</wp:posOffset>
            </wp:positionV>
            <wp:extent cx="5143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-2216785</wp:posOffset>
            </wp:positionV>
            <wp:extent cx="603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-2216785</wp:posOffset>
            </wp:positionV>
            <wp:extent cx="431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-2216785</wp:posOffset>
            </wp:positionV>
            <wp:extent cx="5143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-2216785</wp:posOffset>
            </wp:positionV>
            <wp:extent cx="5143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-1436370</wp:posOffset>
            </wp:positionV>
            <wp:extent cx="603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-1436370</wp:posOffset>
            </wp:positionV>
            <wp:extent cx="431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-1436370</wp:posOffset>
            </wp:positionV>
            <wp:extent cx="5143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-1436370</wp:posOffset>
            </wp:positionV>
            <wp:extent cx="5143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-904875</wp:posOffset>
            </wp:positionV>
            <wp:extent cx="6032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-904875</wp:posOffset>
            </wp:positionV>
            <wp:extent cx="431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-904875</wp:posOffset>
            </wp:positionV>
            <wp:extent cx="514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-904875</wp:posOffset>
            </wp:positionV>
            <wp:extent cx="514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-630555</wp:posOffset>
            </wp:positionV>
            <wp:extent cx="6032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-630555</wp:posOffset>
            </wp:positionV>
            <wp:extent cx="431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-630555</wp:posOffset>
            </wp:positionV>
            <wp:extent cx="5143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-630555</wp:posOffset>
            </wp:positionV>
            <wp:extent cx="514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right"/>
              <w:ind w:right="111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4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1180" w:type="dxa"/>
            <w:vAlign w:val="bottom"/>
          </w:tcPr>
          <w:p>
            <w:pPr>
              <w:jc w:val="right"/>
              <w:ind w:right="273"/>
              <w:spacing w:after="0" w:line="13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gridSpan w:val="2"/>
          </w:tcPr>
          <w:p>
            <w:pPr>
              <w:jc w:val="right"/>
              <w:ind w:right="510"/>
              <w:spacing w:after="0" w:line="13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11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1"/>
                <w:szCs w:val="11"/>
                <w:color w:val="auto"/>
              </w:rPr>
            </w:pPr>
          </w:p>
        </w:tc>
      </w:tr>
      <w:tr>
        <w:trPr>
          <w:trHeight w:val="185"/>
        </w:trPr>
        <w:tc>
          <w:tcPr>
            <w:tcW w:w="4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Cost Basis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74"/>
              </w:rPr>
              <w:t>thousands)</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Equity securities: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200"/>
              <w:spacing w:after="0" w:line="202" w:lineRule="exact"/>
              <w:rPr>
                <w:sz w:val="20"/>
                <w:szCs w:val="20"/>
                <w:color w:val="auto"/>
              </w:rPr>
            </w:pPr>
            <w:r>
              <w:rPr>
                <w:rFonts w:ascii="Arial" w:cs="Arial" w:eastAsia="Arial" w:hAnsi="Arial"/>
                <w:sz w:val="18"/>
                <w:szCs w:val="18"/>
                <w:color w:val="auto"/>
              </w:rPr>
              <w:t>Short-term</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Bond funds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99,314</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(515 )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98,799</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Exchange traded funds</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35,174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(174 )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80" w:type="dxa"/>
            <w:vAlign w:val="bottom"/>
          </w:tcPr>
          <w:p>
            <w:pPr>
              <w:spacing w:after="0"/>
              <w:rPr>
                <w:sz w:val="17"/>
                <w:szCs w:val="17"/>
                <w:color w:val="auto"/>
              </w:rPr>
            </w:pPr>
          </w:p>
        </w:tc>
      </w:tr>
      <w:tr>
        <w:trPr>
          <w:trHeight w:val="196"/>
        </w:trPr>
        <w:tc>
          <w:tcPr>
            <w:tcW w:w="480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equity securities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134,488</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(689</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133,799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8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Short-term</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92,116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(148 )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91,992</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Money market accounts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77,067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77,067</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U.S. government debt securities</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51,318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(81 )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51,237</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(12 )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4,968</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Yankee debt securities</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3,615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3,609</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Less: Cash equivalents</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(77,067 )</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(77,067 )</w:t>
            </w:r>
          </w:p>
        </w:tc>
      </w:tr>
      <w:tr>
        <w:trPr>
          <w:trHeight w:val="20"/>
        </w:trPr>
        <w:tc>
          <w:tcPr>
            <w:tcW w:w="4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4800" w:type="dxa"/>
            <w:vAlign w:val="bottom"/>
          </w:tcPr>
          <w:p>
            <w:pPr>
              <w:ind w:left="560"/>
              <w:spacing w:after="0" w:line="196" w:lineRule="exact"/>
              <w:rPr>
                <w:sz w:val="20"/>
                <w:szCs w:val="20"/>
                <w:color w:val="auto"/>
              </w:rPr>
            </w:pPr>
            <w:r>
              <w:rPr>
                <w:rFonts w:ascii="Arial" w:cs="Arial" w:eastAsia="Arial" w:hAnsi="Arial"/>
                <w:sz w:val="18"/>
                <w:szCs w:val="18"/>
                <w:color w:val="auto"/>
              </w:rPr>
              <w:t>Total debt securities due within 1 year</w:t>
            </w:r>
          </w:p>
        </w:tc>
        <w:tc>
          <w:tcPr>
            <w:tcW w:w="2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152,029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(247 )</w:t>
            </w:r>
          </w:p>
        </w:tc>
        <w:tc>
          <w:tcPr>
            <w:tcW w:w="24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151,806</w:t>
            </w:r>
          </w:p>
        </w:tc>
        <w:tc>
          <w:tcPr>
            <w:tcW w:w="80" w:type="dxa"/>
            <w:vAlign w:val="bottom"/>
          </w:tcPr>
          <w:p>
            <w:pPr>
              <w:spacing w:after="0"/>
              <w:rPr>
                <w:sz w:val="17"/>
                <w:szCs w:val="17"/>
                <w:color w:val="auto"/>
              </w:rPr>
            </w:pPr>
          </w:p>
        </w:tc>
      </w:tr>
      <w:tr>
        <w:trPr>
          <w:trHeight w:val="196"/>
        </w:trPr>
        <w:tc>
          <w:tcPr>
            <w:tcW w:w="48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After 1 year through 5 years</w:t>
            </w:r>
          </w:p>
        </w:tc>
        <w:tc>
          <w:tcPr>
            <w:tcW w:w="2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242,421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(1,913 )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240,537</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U.S. Government debt securities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147,699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(786 )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146,920</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U.S. agency debt securities</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70,069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(535 )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69,534</w:t>
            </w: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11,920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(11 )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11,922</w:t>
            </w:r>
          </w:p>
        </w:tc>
        <w:tc>
          <w:tcPr>
            <w:tcW w:w="80" w:type="dxa"/>
            <w:vAlign w:val="bottom"/>
            <w:shd w:val="clear" w:color="auto" w:fill="CFF0FC"/>
          </w:tcPr>
          <w:p>
            <w:pPr>
              <w:spacing w:after="0"/>
              <w:rPr>
                <w:sz w:val="17"/>
                <w:szCs w:val="17"/>
                <w:color w:val="auto"/>
              </w:rPr>
            </w:pPr>
          </w:p>
        </w:tc>
      </w:tr>
      <w:tr>
        <w:trPr>
          <w:trHeight w:val="203"/>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Yankee debt securities</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8,633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(89 )</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8,544</w:t>
            </w:r>
          </w:p>
        </w:tc>
        <w:tc>
          <w:tcPr>
            <w:tcW w:w="80" w:type="dxa"/>
            <w:vAlign w:val="bottom"/>
          </w:tcPr>
          <w:p>
            <w:pPr>
              <w:spacing w:after="0"/>
              <w:rPr>
                <w:sz w:val="17"/>
                <w:szCs w:val="17"/>
                <w:color w:val="auto"/>
              </w:rPr>
            </w:pPr>
          </w:p>
        </w:tc>
      </w:tr>
      <w:tr>
        <w:trPr>
          <w:trHeight w:val="196"/>
        </w:trPr>
        <w:tc>
          <w:tcPr>
            <w:tcW w:w="480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99"/>
              </w:rPr>
              <w:t>Total debt securities due after 1 year through 5 years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480,742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477,457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800" w:type="dxa"/>
            <w:vAlign w:val="bottom"/>
          </w:tcPr>
          <w:p>
            <w:pPr>
              <w:ind w:left="200"/>
              <w:spacing w:after="0" w:line="196" w:lineRule="exact"/>
              <w:rPr>
                <w:sz w:val="20"/>
                <w:szCs w:val="20"/>
                <w:color w:val="auto"/>
              </w:rPr>
            </w:pPr>
            <w:r>
              <w:rPr>
                <w:rFonts w:ascii="Arial" w:cs="Arial" w:eastAsia="Arial" w:hAnsi="Arial"/>
                <w:sz w:val="18"/>
                <w:szCs w:val="18"/>
                <w:color w:val="auto"/>
              </w:rPr>
              <w:t>After 5 years through 10 years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8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(43 )</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7,590</w:t>
            </w:r>
          </w:p>
        </w:tc>
        <w:tc>
          <w:tcPr>
            <w:tcW w:w="80" w:type="dxa"/>
            <w:vAlign w:val="bottom"/>
            <w:shd w:val="clear" w:color="auto" w:fill="CFF0FC"/>
          </w:tcPr>
          <w:p>
            <w:pPr>
              <w:spacing w:after="0"/>
              <w:rPr>
                <w:sz w:val="17"/>
                <w:szCs w:val="17"/>
                <w:color w:val="auto"/>
              </w:rPr>
            </w:pPr>
          </w:p>
        </w:tc>
      </w:tr>
      <w:tr>
        <w:trPr>
          <w:trHeight w:val="202"/>
        </w:trPr>
        <w:tc>
          <w:tcPr>
            <w:tcW w:w="4800" w:type="dxa"/>
            <w:vAlign w:val="bottom"/>
          </w:tcPr>
          <w:p>
            <w:pPr>
              <w:ind w:left="380"/>
              <w:spacing w:after="0" w:line="202" w:lineRule="exact"/>
              <w:rPr>
                <w:sz w:val="20"/>
                <w:szCs w:val="20"/>
                <w:color w:val="auto"/>
              </w:rPr>
            </w:pPr>
            <w:r>
              <w:rPr>
                <w:rFonts w:ascii="Arial" w:cs="Arial" w:eastAsia="Arial" w:hAnsi="Arial"/>
                <w:sz w:val="18"/>
                <w:szCs w:val="18"/>
                <w:color w:val="auto"/>
              </w:rPr>
              <w:t>Redeemable preferred stock investment</w:t>
            </w:r>
          </w:p>
        </w:tc>
        <w:tc>
          <w:tcPr>
            <w:tcW w:w="2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1,965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21,965</w:t>
            </w:r>
          </w:p>
        </w:tc>
        <w:tc>
          <w:tcPr>
            <w:tcW w:w="80" w:type="dxa"/>
            <w:vAlign w:val="bottom"/>
          </w:tcPr>
          <w:p>
            <w:pPr>
              <w:spacing w:after="0"/>
              <w:rPr>
                <w:sz w:val="17"/>
                <w:szCs w:val="17"/>
                <w:color w:val="auto"/>
              </w:rPr>
            </w:pPr>
          </w:p>
        </w:tc>
      </w:tr>
      <w:tr>
        <w:trPr>
          <w:trHeight w:val="196"/>
        </w:trPr>
        <w:tc>
          <w:tcPr>
            <w:tcW w:w="480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95"/>
              </w:rPr>
              <w:t>Total debt securities due after 5 years through 10 years</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27,633</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1,965</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29,555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4800" w:type="dxa"/>
            <w:vAlign w:val="bottom"/>
          </w:tcPr>
          <w:p>
            <w:pPr>
              <w:ind w:left="740"/>
              <w:spacing w:after="0" w:line="196" w:lineRule="exact"/>
              <w:rPr>
                <w:sz w:val="20"/>
                <w:szCs w:val="20"/>
                <w:color w:val="auto"/>
              </w:rPr>
            </w:pPr>
            <w:r>
              <w:rPr>
                <w:rFonts w:ascii="Arial" w:cs="Arial" w:eastAsia="Arial" w:hAnsi="Arial"/>
                <w:sz w:val="18"/>
                <w:szCs w:val="18"/>
                <w:color w:val="auto"/>
              </w:rPr>
              <w:t>Total available-for-sale debt securities</w:t>
            </w:r>
          </w:p>
        </w:tc>
        <w:tc>
          <w:tcPr>
            <w:tcW w:w="24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660,404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2,038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(3,624 )</w:t>
            </w:r>
          </w:p>
        </w:tc>
        <w:tc>
          <w:tcPr>
            <w:tcW w:w="24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658,818</w:t>
            </w:r>
          </w:p>
        </w:tc>
        <w:tc>
          <w:tcPr>
            <w:tcW w:w="80" w:type="dxa"/>
            <w:vAlign w:val="bottom"/>
          </w:tcPr>
          <w:p>
            <w:pPr>
              <w:spacing w:after="0"/>
              <w:rPr>
                <w:sz w:val="17"/>
                <w:szCs w:val="17"/>
                <w:color w:val="auto"/>
              </w:rPr>
            </w:pPr>
          </w:p>
        </w:tc>
      </w:tr>
      <w:tr>
        <w:trPr>
          <w:trHeight w:val="236"/>
        </w:trPr>
        <w:tc>
          <w:tcPr>
            <w:tcW w:w="4800" w:type="dxa"/>
            <w:vAlign w:val="bottom"/>
            <w:tcBorders>
              <w:bottom w:val="single" w:sz="8" w:color="CFF0FC"/>
            </w:tcBorders>
            <w:shd w:val="clear" w:color="auto" w:fill="CFF0FC"/>
          </w:tcPr>
          <w:p>
            <w:pPr>
              <w:ind w:left="740"/>
              <w:spacing w:after="0" w:line="182" w:lineRule="exact"/>
              <w:rPr>
                <w:sz w:val="20"/>
                <w:szCs w:val="20"/>
                <w:color w:val="auto"/>
              </w:rPr>
            </w:pPr>
            <w:r>
              <w:rPr>
                <w:rFonts w:ascii="Arial" w:cs="Arial" w:eastAsia="Arial" w:hAnsi="Arial"/>
                <w:sz w:val="18"/>
                <w:szCs w:val="18"/>
                <w:color w:val="auto"/>
              </w:rPr>
              <w:t>Total equity and debt securities</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794,892</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2,038</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center"/>
              <w:ind w:right="1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(4,313</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792,617</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-2919730</wp:posOffset>
            </wp:positionV>
            <wp:extent cx="6032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-2919730</wp:posOffset>
            </wp:positionV>
            <wp:extent cx="431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-2919730</wp:posOffset>
            </wp:positionV>
            <wp:extent cx="5143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-2919730</wp:posOffset>
            </wp:positionV>
            <wp:extent cx="514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-1882140</wp:posOffset>
            </wp:positionV>
            <wp:extent cx="6032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-1882140</wp:posOffset>
            </wp:positionV>
            <wp:extent cx="431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-1882140</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-1882140</wp:posOffset>
            </wp:positionV>
            <wp:extent cx="5143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-828040</wp:posOffset>
            </wp:positionV>
            <wp:extent cx="6032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-828040</wp:posOffset>
            </wp:positionV>
            <wp:extent cx="431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-828040</wp:posOffset>
            </wp:positionV>
            <wp:extent cx="514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-828040</wp:posOffset>
            </wp:positionV>
            <wp:extent cx="5143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-296545</wp:posOffset>
            </wp:positionV>
            <wp:extent cx="6032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-296545</wp:posOffset>
            </wp:positionV>
            <wp:extent cx="431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-296545</wp:posOffset>
            </wp:positionV>
            <wp:extent cx="5143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jc w:val="both"/>
        <w:ind w:right="540" w:firstLine="509"/>
        <w:spacing w:after="0" w:line="248" w:lineRule="auto"/>
        <w:rPr>
          <w:sz w:val="20"/>
          <w:szCs w:val="20"/>
          <w:color w:val="auto"/>
        </w:rPr>
      </w:pPr>
      <w:r>
        <w:rPr>
          <w:rFonts w:ascii="Arial" w:cs="Arial" w:eastAsia="Arial" w:hAnsi="Arial"/>
          <w:sz w:val="18"/>
          <w:szCs w:val="18"/>
          <w:color w:val="auto"/>
        </w:rPr>
        <w:t>Gross unrealized losses on the Company’s equity and debt securities were $17.8 million as of March 31, 2022. Gross unrealized losses on the Company’s equity and debt securities were $4.3 million as of December 31, 2021. During the first quarters of 2022 and 2021, the Company did not recognize any credit losses.</w:t>
      </w:r>
    </w:p>
    <w:p>
      <w:pPr>
        <w:spacing w:after="0" w:line="182"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Company’s securities of $492.4 million are used as collateral for an outstanding margin account borrowing. As of March 31, 2022, the Company had an outstanding borrowing of $15.0 million under its margin account. Margin account borrowings were used for the purchase of real property located in El Monte, California in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08"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left="1540" w:right="480" w:hanging="1025"/>
        <w:spacing w:after="0" w:line="235" w:lineRule="auto"/>
        <w:tabs>
          <w:tab w:leader="none" w:pos="15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are quoted prices (unadjusted) in active markets for identical assets or liabilities that the reporting entity can access at the measurement date.</w:t>
      </w:r>
    </w:p>
    <w:p>
      <w:pPr>
        <w:spacing w:after="0" w:line="148" w:lineRule="exact"/>
        <w:rPr>
          <w:sz w:val="20"/>
          <w:szCs w:val="20"/>
          <w:color w:val="auto"/>
        </w:rPr>
      </w:pPr>
    </w:p>
    <w:p>
      <w:pPr>
        <w:ind w:left="1540" w:right="560" w:hanging="1025"/>
        <w:spacing w:after="0" w:line="235" w:lineRule="auto"/>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inputs other than quoted prices included within Level 1 that are observable for the asset or liability, either directly or indirectly.</w:t>
      </w:r>
    </w:p>
    <w:p>
      <w:pPr>
        <w:spacing w:after="0" w:line="162"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are unobservable for the asset or liability.</w:t>
      </w:r>
    </w:p>
    <w:p>
      <w:pPr>
        <w:spacing w:after="0" w:line="293"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above three-tier fair value hierarchy: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4"/>
              </w:rPr>
              <w:t>March 31, 2022</w:t>
            </w: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Level 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r>
      <w:tr>
        <w:trPr>
          <w:trHeight w:val="169"/>
        </w:trPr>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71"/>
              </w:rPr>
              <w:t>thousands)</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w w:val="99"/>
              </w:rPr>
              <w:t>Equity securities, debt securities and cash equivalents: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Investment in private equity securities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15,000</w:t>
            </w:r>
          </w:p>
        </w:tc>
        <w:tc>
          <w:tcPr>
            <w:tcW w:w="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15,000</w:t>
            </w:r>
          </w:p>
        </w:tc>
        <w:tc>
          <w:tcPr>
            <w:tcW w:w="60" w:type="dxa"/>
            <w:vAlign w:val="bottom"/>
          </w:tcPr>
          <w:p>
            <w:pPr>
              <w:spacing w:after="0"/>
              <w:rPr>
                <w:sz w:val="17"/>
                <w:szCs w:val="17"/>
                <w:color w:val="auto"/>
              </w:rPr>
            </w:pPr>
          </w:p>
        </w:tc>
      </w:tr>
      <w:tr>
        <w:trPr>
          <w:trHeight w:val="203"/>
        </w:trPr>
        <w:tc>
          <w:tcPr>
            <w:tcW w:w="4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government debt securities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321,902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321,902</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299,833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299,833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agency debt securities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67,493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67,493</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Municipal bonds</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24,101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24,101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Yankee debt securities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11,898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11,898</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Redeemable preferred stock investment</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17,609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17,609</w:t>
            </w:r>
          </w:p>
        </w:tc>
        <w:tc>
          <w:tcPr>
            <w:tcW w:w="60" w:type="dxa"/>
            <w:vAlign w:val="bottom"/>
          </w:tcPr>
          <w:p>
            <w:pPr>
              <w:spacing w:after="0"/>
              <w:rPr>
                <w:sz w:val="17"/>
                <w:szCs w:val="17"/>
                <w:color w:val="auto"/>
              </w:rPr>
            </w:pPr>
          </w:p>
        </w:tc>
      </w:tr>
      <w:tr>
        <w:trPr>
          <w:trHeight w:val="203"/>
        </w:trPr>
        <w:tc>
          <w:tcPr>
            <w:tcW w:w="4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Money market accounts</w:t>
            </w: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105,415</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105,415</w:t>
            </w:r>
          </w:p>
        </w:tc>
        <w:tc>
          <w:tcPr>
            <w:tcW w:w="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760" w:type="dxa"/>
            <w:vAlign w:val="bottom"/>
          </w:tcPr>
          <w:p>
            <w:pPr>
              <w:ind w:left="380"/>
              <w:spacing w:after="0" w:line="182" w:lineRule="exact"/>
              <w:rPr>
                <w:sz w:val="20"/>
                <w:szCs w:val="20"/>
                <w:color w:val="auto"/>
              </w:rPr>
            </w:pPr>
            <w:r>
              <w:rPr>
                <w:rFonts w:ascii="Arial" w:cs="Arial" w:eastAsia="Arial" w:hAnsi="Arial"/>
                <w:sz w:val="18"/>
                <w:szCs w:val="18"/>
                <w:color w:val="auto"/>
                <w:w w:val="91"/>
              </w:rPr>
              <w:t>Total equity securities, debt securities and cash equivalents</w:t>
            </w: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863,251</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105,415</w:t>
            </w:r>
          </w:p>
        </w:tc>
        <w:tc>
          <w:tcPr>
            <w:tcW w:w="220" w:type="dxa"/>
            <w:vAlign w:val="bottom"/>
          </w:tcPr>
          <w:p>
            <w:pPr>
              <w:spacing w:after="0"/>
              <w:rPr>
                <w:sz w:val="17"/>
                <w:szCs w:val="17"/>
                <w:color w:val="auto"/>
              </w:rPr>
            </w:pPr>
          </w:p>
        </w:tc>
        <w:tc>
          <w:tcPr>
            <w:tcW w:w="480" w:type="dxa"/>
            <w:vAlign w:val="bottom"/>
            <w:tcBorders>
              <w:bottom w:val="single" w:sz="8" w:color="auto"/>
            </w:tcBorders>
          </w:tcPr>
          <w:p>
            <w:pPr>
              <w:jc w:val="center"/>
              <w:ind w:right="25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725,227</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32,609</w:t>
            </w:r>
          </w:p>
        </w:tc>
        <w:tc>
          <w:tcPr>
            <w:tcW w:w="60" w:type="dxa"/>
            <w:vAlign w:val="bottom"/>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4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91"/>
              </w:rPr>
              <w:t>December 31, 2021</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47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Level 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r>
      <w:tr>
        <w:trPr>
          <w:trHeight w:val="169"/>
        </w:trPr>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71"/>
              </w:rPr>
              <w:t>thousands)</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4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w w:val="99"/>
              </w:rPr>
              <w:t>Equity securities, debt securities and cash equivalents: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332,529</w:t>
            </w:r>
          </w:p>
        </w:tc>
        <w:tc>
          <w:tcPr>
            <w:tcW w:w="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332,529</w:t>
            </w:r>
          </w:p>
        </w:tc>
        <w:tc>
          <w:tcPr>
            <w:tcW w:w="5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government debt securities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198,157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198,157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Bond funds</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98,799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98,799</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agency debt securities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69,534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69,534</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Exchange traded funds</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Municipal bonds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24,480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24,480</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Yankee debt securities</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12,153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12,153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Redeemable preferred stock investment</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21,965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21,965</w:t>
            </w:r>
          </w:p>
        </w:tc>
        <w:tc>
          <w:tcPr>
            <w:tcW w:w="60" w:type="dxa"/>
            <w:vAlign w:val="bottom"/>
            <w:shd w:val="clear" w:color="auto" w:fill="CFF0FC"/>
          </w:tcPr>
          <w:p>
            <w:pPr>
              <w:spacing w:after="0"/>
              <w:rPr>
                <w:sz w:val="17"/>
                <w:szCs w:val="17"/>
                <w:color w:val="auto"/>
              </w:rPr>
            </w:pPr>
          </w:p>
        </w:tc>
      </w:tr>
      <w:tr>
        <w:trPr>
          <w:trHeight w:val="203"/>
        </w:trPr>
        <w:tc>
          <w:tcPr>
            <w:tcW w:w="4760" w:type="dxa"/>
            <w:vAlign w:val="bottom"/>
          </w:tcPr>
          <w:p>
            <w:pPr>
              <w:ind w:left="200"/>
              <w:spacing w:after="0" w:line="202" w:lineRule="exact"/>
              <w:rPr>
                <w:sz w:val="20"/>
                <w:szCs w:val="20"/>
                <w:color w:val="auto"/>
              </w:rPr>
            </w:pPr>
            <w:r>
              <w:rPr>
                <w:rFonts w:ascii="Arial" w:cs="Arial" w:eastAsia="Arial" w:hAnsi="Arial"/>
                <w:sz w:val="18"/>
                <w:szCs w:val="18"/>
                <w:color w:val="auto"/>
              </w:rPr>
              <w:t>Money market accounts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77,067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77,067</w:t>
            </w: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476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w w:val="91"/>
              </w:rPr>
              <w:t>Total equity securities, debt securities and cash equivalents</w:t>
            </w: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869,684</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210,866</w:t>
            </w:r>
          </w:p>
        </w:tc>
        <w:tc>
          <w:tcPr>
            <w:tcW w:w="2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center"/>
              <w:ind w:right="25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636,853</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21,965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-2079625</wp:posOffset>
            </wp:positionV>
            <wp:extent cx="431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-2079625</wp:posOffset>
            </wp:positionV>
            <wp:extent cx="431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-2079625</wp:posOffset>
            </wp:positionV>
            <wp:extent cx="431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-2079625</wp:posOffset>
            </wp:positionV>
            <wp:extent cx="3429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5"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The Company’s Level 1 assets include bond funds, exchange traded funds,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March 31, 2022, the Company had $15.0 million of investment in private equity securities and $17.6 million of redeemable preferred stock of Helio Health that were measured using unobservable (Level 3) inputs. The fair value of redeemable preferred stock is based on the most recent valuation as of March 31, 2022 performed by a third-party valuation company utilizing the guideline public company method under market approach and the discounted cash flow method under income approach. For the value of the investment in private equity securities, the Company elected to measure it at cost minus impairment as the private equity securities did not have a readily determinable fair value, and the Company did not believe the investment was impaired as of March 31, 2022.</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measurement levels during the first quarter of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Fixed Assets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Major classes of fixed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4300" w:type="dxa"/>
            <w:vAlign w:val="bottom"/>
          </w:tcPr>
          <w:p>
            <w:pPr>
              <w:spacing w:after="0"/>
              <w:rPr>
                <w:sz w:val="14"/>
                <w:szCs w:val="1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3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4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Medical lab equipment</w:t>
            </w:r>
          </w:p>
        </w:tc>
        <w:tc>
          <w:tcPr>
            <w:tcW w:w="4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7"/>
              </w:rPr>
              <w:t>1 to 12 Years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40,079</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35,930</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ind w:left="20"/>
              <w:spacing w:after="0" w:line="202" w:lineRule="exact"/>
              <w:rPr>
                <w:sz w:val="20"/>
                <w:szCs w:val="20"/>
                <w:color w:val="auto"/>
              </w:rPr>
            </w:pPr>
            <w:r>
              <w:rPr>
                <w:rFonts w:ascii="Arial" w:cs="Arial" w:eastAsia="Arial" w:hAnsi="Arial"/>
                <w:sz w:val="18"/>
                <w:szCs w:val="18"/>
                <w:color w:val="auto"/>
              </w:rPr>
              <w:t>Building</w:t>
            </w:r>
          </w:p>
        </w:tc>
        <w:tc>
          <w:tcPr>
            <w:tcW w:w="4300" w:type="dxa"/>
            <w:vAlign w:val="bottom"/>
          </w:tcPr>
          <w:p>
            <w:pPr>
              <w:jc w:val="center"/>
              <w:spacing w:after="0" w:line="202" w:lineRule="exact"/>
              <w:rPr>
                <w:sz w:val="20"/>
                <w:szCs w:val="20"/>
                <w:color w:val="auto"/>
              </w:rPr>
            </w:pPr>
            <w:r>
              <w:rPr>
                <w:rFonts w:ascii="Arial" w:cs="Arial" w:eastAsia="Arial" w:hAnsi="Arial"/>
                <w:sz w:val="18"/>
                <w:szCs w:val="18"/>
                <w:color w:val="auto"/>
                <w:w w:val="85"/>
              </w:rPr>
              <w:t>39 Years</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6,731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6,731</w:t>
            </w:r>
          </w:p>
        </w:tc>
        <w:tc>
          <w:tcPr>
            <w:tcW w:w="100" w:type="dxa"/>
            <w:vAlign w:val="bottom"/>
          </w:tcPr>
          <w:p>
            <w:pPr>
              <w:spacing w:after="0"/>
              <w:rPr>
                <w:sz w:val="17"/>
                <w:szCs w:val="17"/>
                <w:color w:val="auto"/>
              </w:rPr>
            </w:pPr>
          </w:p>
        </w:tc>
      </w:tr>
      <w:tr>
        <w:trPr>
          <w:trHeight w:val="203"/>
        </w:trPr>
        <w:tc>
          <w:tcPr>
            <w:tcW w:w="4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Aircraft</w:t>
            </w:r>
          </w:p>
        </w:tc>
        <w:tc>
          <w:tcPr>
            <w:tcW w:w="4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6"/>
              </w:rPr>
              <w:t>7 Years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6,503</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ind w:left="20"/>
              <w:spacing w:after="0" w:line="202" w:lineRule="exact"/>
              <w:rPr>
                <w:sz w:val="20"/>
                <w:szCs w:val="20"/>
                <w:color w:val="auto"/>
              </w:rPr>
            </w:pPr>
            <w:r>
              <w:rPr>
                <w:rFonts w:ascii="Arial" w:cs="Arial" w:eastAsia="Arial" w:hAnsi="Arial"/>
                <w:sz w:val="18"/>
                <w:szCs w:val="18"/>
                <w:color w:val="auto"/>
              </w:rPr>
              <w:t>Computer hardware</w:t>
            </w:r>
          </w:p>
        </w:tc>
        <w:tc>
          <w:tcPr>
            <w:tcW w:w="4300" w:type="dxa"/>
            <w:vAlign w:val="bottom"/>
          </w:tcPr>
          <w:p>
            <w:pPr>
              <w:jc w:val="center"/>
              <w:spacing w:after="0" w:line="202" w:lineRule="exact"/>
              <w:rPr>
                <w:sz w:val="20"/>
                <w:szCs w:val="20"/>
                <w:color w:val="auto"/>
              </w:rPr>
            </w:pPr>
            <w:r>
              <w:rPr>
                <w:rFonts w:ascii="Arial" w:cs="Arial" w:eastAsia="Arial" w:hAnsi="Arial"/>
                <w:sz w:val="18"/>
                <w:szCs w:val="18"/>
                <w:color w:val="auto"/>
                <w:w w:val="87"/>
              </w:rPr>
              <w:t>3-5 Years</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5,728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5,661</w:t>
            </w:r>
          </w:p>
        </w:tc>
        <w:tc>
          <w:tcPr>
            <w:tcW w:w="100" w:type="dxa"/>
            <w:vAlign w:val="bottom"/>
          </w:tcPr>
          <w:p>
            <w:pPr>
              <w:spacing w:after="0"/>
              <w:rPr>
                <w:sz w:val="17"/>
                <w:szCs w:val="17"/>
                <w:color w:val="auto"/>
              </w:rPr>
            </w:pPr>
          </w:p>
        </w:tc>
      </w:tr>
      <w:tr>
        <w:trPr>
          <w:trHeight w:val="203"/>
        </w:trPr>
        <w:tc>
          <w:tcPr>
            <w:tcW w:w="4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4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Shorter of lease term or estimated useful life</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4,003</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ind w:left="20"/>
              <w:spacing w:after="0" w:line="202" w:lineRule="exact"/>
              <w:rPr>
                <w:sz w:val="20"/>
                <w:szCs w:val="20"/>
                <w:color w:val="auto"/>
              </w:rPr>
            </w:pPr>
            <w:r>
              <w:rPr>
                <w:rFonts w:ascii="Arial" w:cs="Arial" w:eastAsia="Arial" w:hAnsi="Arial"/>
                <w:sz w:val="18"/>
                <w:szCs w:val="18"/>
                <w:color w:val="auto"/>
              </w:rPr>
              <w:t>Building improvements</w:t>
            </w:r>
          </w:p>
        </w:tc>
        <w:tc>
          <w:tcPr>
            <w:tcW w:w="4300" w:type="dxa"/>
            <w:vAlign w:val="bottom"/>
          </w:tcPr>
          <w:p>
            <w:pPr>
              <w:jc w:val="center"/>
              <w:spacing w:after="0" w:line="202" w:lineRule="exact"/>
              <w:rPr>
                <w:sz w:val="20"/>
                <w:szCs w:val="20"/>
                <w:color w:val="auto"/>
              </w:rPr>
            </w:pPr>
            <w:r>
              <w:rPr>
                <w:rFonts w:ascii="Arial" w:cs="Arial" w:eastAsia="Arial" w:hAnsi="Arial"/>
                <w:sz w:val="18"/>
                <w:szCs w:val="18"/>
                <w:color w:val="auto"/>
                <w:w w:val="87"/>
              </w:rPr>
              <w:t>6 months to 39 Years</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3,936</w:t>
            </w:r>
          </w:p>
        </w:tc>
        <w:tc>
          <w:tcPr>
            <w:tcW w:w="100" w:type="dxa"/>
            <w:vAlign w:val="bottom"/>
          </w:tcPr>
          <w:p>
            <w:pPr>
              <w:spacing w:after="0"/>
              <w:rPr>
                <w:sz w:val="17"/>
                <w:szCs w:val="17"/>
                <w:color w:val="auto"/>
              </w:rPr>
            </w:pPr>
          </w:p>
        </w:tc>
      </w:tr>
      <w:tr>
        <w:trPr>
          <w:trHeight w:val="203"/>
        </w:trPr>
        <w:tc>
          <w:tcPr>
            <w:tcW w:w="4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4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7"/>
              </w:rPr>
              <w:t>2 to 10 Years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2,713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2,255</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w:t>
            </w:r>
          </w:p>
        </w:tc>
        <w:tc>
          <w:tcPr>
            <w:tcW w:w="4300" w:type="dxa"/>
            <w:vAlign w:val="bottom"/>
          </w:tcPr>
          <w:p>
            <w:pPr>
              <w:jc w:val="center"/>
              <w:spacing w:after="0" w:line="202" w:lineRule="exact"/>
              <w:rPr>
                <w:sz w:val="20"/>
                <w:szCs w:val="20"/>
                <w:color w:val="auto"/>
              </w:rPr>
            </w:pPr>
            <w:r>
              <w:rPr>
                <w:rFonts w:ascii="Arial" w:cs="Arial" w:eastAsia="Arial" w:hAnsi="Arial"/>
                <w:sz w:val="18"/>
                <w:szCs w:val="18"/>
                <w:color w:val="auto"/>
                <w:w w:val="88"/>
              </w:rPr>
              <w:t>3 to 5 Years</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1,722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1,408</w:t>
            </w:r>
          </w:p>
        </w:tc>
        <w:tc>
          <w:tcPr>
            <w:tcW w:w="100" w:type="dxa"/>
            <w:vAlign w:val="bottom"/>
          </w:tcPr>
          <w:p>
            <w:pPr>
              <w:spacing w:after="0"/>
              <w:rPr>
                <w:sz w:val="17"/>
                <w:szCs w:val="17"/>
                <w:color w:val="auto"/>
              </w:rPr>
            </w:pPr>
          </w:p>
        </w:tc>
      </w:tr>
      <w:tr>
        <w:trPr>
          <w:trHeight w:val="203"/>
        </w:trPr>
        <w:tc>
          <w:tcPr>
            <w:tcW w:w="4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Automobile</w:t>
            </w:r>
          </w:p>
        </w:tc>
        <w:tc>
          <w:tcPr>
            <w:tcW w:w="4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2 to 7 Years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825</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ind w:left="20"/>
              <w:spacing w:after="0" w:line="202" w:lineRule="exact"/>
              <w:rPr>
                <w:sz w:val="20"/>
                <w:szCs w:val="20"/>
                <w:color w:val="auto"/>
              </w:rPr>
            </w:pPr>
            <w:r>
              <w:rPr>
                <w:rFonts w:ascii="Arial" w:cs="Arial" w:eastAsia="Arial" w:hAnsi="Arial"/>
                <w:sz w:val="18"/>
                <w:szCs w:val="18"/>
                <w:color w:val="auto"/>
              </w:rPr>
              <w:t>Land improvements</w:t>
            </w:r>
          </w:p>
        </w:tc>
        <w:tc>
          <w:tcPr>
            <w:tcW w:w="4300" w:type="dxa"/>
            <w:vAlign w:val="bottom"/>
          </w:tcPr>
          <w:p>
            <w:pPr>
              <w:jc w:val="center"/>
              <w:spacing w:after="0" w:line="202" w:lineRule="exact"/>
              <w:rPr>
                <w:sz w:val="20"/>
                <w:szCs w:val="20"/>
                <w:color w:val="auto"/>
              </w:rPr>
            </w:pPr>
            <w:r>
              <w:rPr>
                <w:rFonts w:ascii="Arial" w:cs="Arial" w:eastAsia="Arial" w:hAnsi="Arial"/>
                <w:sz w:val="18"/>
                <w:szCs w:val="18"/>
                <w:color w:val="auto"/>
                <w:w w:val="87"/>
              </w:rPr>
              <w:t>5 to 15 Years</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403</w:t>
            </w:r>
          </w:p>
        </w:tc>
        <w:tc>
          <w:tcPr>
            <w:tcW w:w="100" w:type="dxa"/>
            <w:vAlign w:val="bottom"/>
          </w:tcPr>
          <w:p>
            <w:pPr>
              <w:spacing w:after="0"/>
              <w:rPr>
                <w:sz w:val="17"/>
                <w:szCs w:val="17"/>
                <w:color w:val="auto"/>
              </w:rPr>
            </w:pPr>
          </w:p>
        </w:tc>
      </w:tr>
      <w:tr>
        <w:trPr>
          <w:trHeight w:val="203"/>
        </w:trPr>
        <w:tc>
          <w:tcPr>
            <w:tcW w:w="4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equipment</w:t>
            </w:r>
          </w:p>
        </w:tc>
        <w:tc>
          <w:tcPr>
            <w:tcW w:w="4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3 to 5 Years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7"/>
                <w:szCs w:val="17"/>
                <w:color w:val="auto"/>
              </w:rPr>
            </w:pPr>
          </w:p>
        </w:tc>
      </w:tr>
      <w:tr>
        <w:trPr>
          <w:trHeight w:val="203"/>
        </w:trPr>
        <w:tc>
          <w:tcPr>
            <w:tcW w:w="430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100" w:type="dxa"/>
            <w:vAlign w:val="bottom"/>
          </w:tcPr>
          <w:p>
            <w:pPr>
              <w:spacing w:after="0"/>
              <w:rPr>
                <w:sz w:val="17"/>
                <w:szCs w:val="17"/>
                <w:color w:val="auto"/>
              </w:rPr>
            </w:pPr>
          </w:p>
        </w:tc>
      </w:tr>
      <w:tr>
        <w:trPr>
          <w:trHeight w:val="203"/>
        </w:trPr>
        <w:tc>
          <w:tcPr>
            <w:tcW w:w="43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Assets not yet placed in service</w:t>
            </w:r>
          </w:p>
        </w:tc>
        <w:tc>
          <w:tcPr>
            <w:tcW w:w="4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10,690</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91,839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81,917</w:t>
            </w:r>
          </w:p>
        </w:tc>
        <w:tc>
          <w:tcPr>
            <w:tcW w:w="100" w:type="dxa"/>
            <w:vAlign w:val="bottom"/>
          </w:tcPr>
          <w:p>
            <w:pPr>
              <w:spacing w:after="0"/>
              <w:rPr>
                <w:sz w:val="17"/>
                <w:szCs w:val="17"/>
                <w:color w:val="auto"/>
              </w:rPr>
            </w:pPr>
          </w:p>
        </w:tc>
      </w:tr>
      <w:tr>
        <w:trPr>
          <w:trHeight w:val="203"/>
        </w:trPr>
        <w:tc>
          <w:tcPr>
            <w:tcW w:w="4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4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(23,217 )</w:t>
            </w: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(19,630 )</w:t>
            </w:r>
          </w:p>
        </w:tc>
      </w:tr>
      <w:tr>
        <w:trPr>
          <w:trHeight w:val="196"/>
        </w:trPr>
        <w:tc>
          <w:tcPr>
            <w:tcW w:w="430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Fixed assets, net</w:t>
            </w:r>
          </w:p>
        </w:tc>
        <w:tc>
          <w:tcPr>
            <w:tcW w:w="43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68,622</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62,287</w:t>
            </w:r>
          </w:p>
        </w:tc>
        <w:tc>
          <w:tcPr>
            <w:tcW w:w="100" w:type="dxa"/>
            <w:vAlign w:val="bottom"/>
            <w:tcBorders>
              <w:top w:val="single" w:sz="8" w:color="CFF0FC"/>
            </w:tcBorders>
          </w:tcPr>
          <w:p>
            <w:pPr>
              <w:spacing w:after="0"/>
              <w:rPr>
                <w:sz w:val="17"/>
                <w:szCs w:val="17"/>
                <w:color w:val="auto"/>
              </w:rPr>
            </w:pPr>
          </w:p>
        </w:tc>
      </w:tr>
      <w:tr>
        <w:trPr>
          <w:trHeight w:val="20"/>
        </w:trPr>
        <w:tc>
          <w:tcPr>
            <w:tcW w:w="4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-424815</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-159385</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Depreciation expenses on fixed assets totaled $3.7 million and $1.9 million for the first quarters of 2022 and 2021, respectively. During March 2022, the Company revised the estimated useful lives of certain fixed assets dedicated to the Company’s COVID-19 testing to conclude at the end of 2022 which resulted in an incremental depreciation expense of $866,000 in the first quarter of 2022.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Current Assets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69"/>
        </w:trPr>
        <w:tc>
          <w:tcPr>
            <w:tcW w:w="6780" w:type="dxa"/>
            <w:vAlign w:val="bottom"/>
          </w:tcPr>
          <w:p>
            <w:pPr>
              <w:spacing w:after="0"/>
              <w:rPr>
                <w:sz w:val="14"/>
                <w:szCs w:val="14"/>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76"/>
              </w:rPr>
              <w:t>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Reagents and supplies</w:t>
            </w:r>
          </w:p>
        </w:tc>
        <w:tc>
          <w:tcPr>
            <w:tcW w:w="1420" w:type="dxa"/>
            <w:vAlign w:val="bottom"/>
            <w:shd w:val="clear" w:color="auto" w:fill="CFF0FC"/>
          </w:tcPr>
          <w:p>
            <w:pPr>
              <w:jc w:val="right"/>
              <w:ind w:right="1239"/>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10,612</w:t>
            </w:r>
          </w:p>
        </w:tc>
        <w:tc>
          <w:tcPr>
            <w:tcW w:w="76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12,206</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w:t>
            </w:r>
          </w:p>
        </w:tc>
        <w:tc>
          <w:tcPr>
            <w:tcW w:w="14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4,696</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4,244</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Marketable securities interest receivable</w:t>
            </w:r>
          </w:p>
        </w:tc>
        <w:tc>
          <w:tcPr>
            <w:tcW w:w="14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2,914</w:t>
            </w:r>
          </w:p>
        </w:tc>
        <w:tc>
          <w:tcPr>
            <w:tcW w:w="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2,743</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Other receivable</w:t>
            </w:r>
          </w:p>
        </w:tc>
        <w:tc>
          <w:tcPr>
            <w:tcW w:w="14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1,505</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1,403</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assets</w:t>
            </w:r>
          </w:p>
        </w:tc>
        <w:tc>
          <w:tcPr>
            <w:tcW w:w="14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w:t>
            </w:r>
          </w:p>
        </w:tc>
        <w:tc>
          <w:tcPr>
            <w:tcW w:w="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Prepaid income taxes</w:t>
            </w:r>
          </w:p>
        </w:tc>
        <w:tc>
          <w:tcPr>
            <w:tcW w:w="1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1,716</w:t>
            </w:r>
          </w:p>
        </w:tc>
        <w:tc>
          <w:tcPr>
            <w:tcW w:w="100" w:type="dxa"/>
            <w:vAlign w:val="bottom"/>
          </w:tcPr>
          <w:p>
            <w:pPr>
              <w:spacing w:after="0"/>
              <w:rPr>
                <w:sz w:val="17"/>
                <w:szCs w:val="17"/>
                <w:color w:val="auto"/>
              </w:rPr>
            </w:pPr>
          </w:p>
        </w:tc>
      </w:tr>
      <w:tr>
        <w:trPr>
          <w:trHeight w:val="236"/>
        </w:trPr>
        <w:tc>
          <w:tcPr>
            <w:tcW w:w="67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FF0FC"/>
          </w:tcPr>
          <w:p>
            <w:pPr>
              <w:jc w:val="right"/>
              <w:ind w:right="1239"/>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19,958</w:t>
            </w:r>
          </w:p>
        </w:tc>
        <w:tc>
          <w:tcPr>
            <w:tcW w:w="3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22,549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Reagents and supplies include reagents and consumables used for COVID-19 testing and genetics testing and collection kits for COVID-19 testing.</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Reporting Segment and Geographic Information</w:t>
      </w:r>
    </w:p>
    <w:p>
      <w:pPr>
        <w:spacing w:after="0" w:line="108" w:lineRule="exact"/>
        <w:rPr>
          <w:sz w:val="20"/>
          <w:szCs w:val="20"/>
          <w:color w:val="auto"/>
        </w:rPr>
      </w:pPr>
    </w:p>
    <w:p>
      <w:pPr>
        <w:ind w:right="40" w:firstLine="509"/>
        <w:spacing w:after="0" w:line="291" w:lineRule="auto"/>
        <w:rPr>
          <w:sz w:val="20"/>
          <w:szCs w:val="20"/>
          <w:color w:val="auto"/>
        </w:rPr>
      </w:pPr>
      <w:r>
        <w:rPr>
          <w:rFonts w:ascii="Arial" w:cs="Arial" w:eastAsia="Arial" w:hAnsi="Arial"/>
          <w:sz w:val="17"/>
          <w:szCs w:val="17"/>
          <w:color w:val="auto"/>
        </w:rPr>
        <w:t>The Company views its operations and manages its business in one reporting segment. Long-lived assets were primarily located in the United States as of March 31, 2022 and December 31, 2021. Revenue by region during the first quarters of 2022 and 2021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4"/>
              </w:rPr>
              <w:t>Three Months Ended March 31,</w:t>
            </w:r>
          </w:p>
        </w:tc>
        <w:tc>
          <w:tcPr>
            <w:tcW w:w="11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thousands)</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Revenue:</w:t>
            </w:r>
          </w:p>
        </w:tc>
        <w:tc>
          <w:tcPr>
            <w:tcW w:w="33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line="202" w:lineRule="exact"/>
              <w:rPr>
                <w:sz w:val="20"/>
                <w:szCs w:val="20"/>
                <w:color w:val="auto"/>
              </w:rPr>
            </w:pPr>
            <w:r>
              <w:rPr>
                <w:rFonts w:ascii="Arial" w:cs="Arial" w:eastAsia="Arial" w:hAnsi="Arial"/>
                <w:sz w:val="18"/>
                <w:szCs w:val="18"/>
                <w:color w:val="auto"/>
              </w:rPr>
              <w:t>United States</w:t>
            </w:r>
          </w:p>
        </w:tc>
        <w:tc>
          <w:tcPr>
            <w:tcW w:w="4540" w:type="dxa"/>
            <w:vAlign w:val="bottom"/>
            <w:gridSpan w:val="2"/>
          </w:tcPr>
          <w:p>
            <w:pPr>
              <w:jc w:val="right"/>
              <w:ind w:right="988"/>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317,190</w:t>
            </w:r>
          </w:p>
        </w:tc>
        <w:tc>
          <w:tcPr>
            <w:tcW w:w="11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357,537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w:t>
            </w:r>
          </w:p>
        </w:tc>
        <w:tc>
          <w:tcPr>
            <w:tcW w:w="338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3,078</w:t>
            </w:r>
          </w:p>
        </w:tc>
        <w:tc>
          <w:tcPr>
            <w:tcW w:w="2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1,892</w:t>
            </w:r>
          </w:p>
        </w:tc>
        <w:tc>
          <w:tcPr>
            <w:tcW w:w="2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4540" w:type="dxa"/>
            <w:vAlign w:val="bottom"/>
            <w:gridSpan w:val="2"/>
          </w:tcPr>
          <w:p>
            <w:pPr>
              <w:jc w:val="right"/>
              <w:ind w:right="988"/>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320,268</w:t>
            </w:r>
          </w:p>
        </w:tc>
        <w:tc>
          <w:tcPr>
            <w:tcW w:w="1140" w:type="dxa"/>
            <w:vAlign w:val="bottom"/>
            <w:gridSpan w:val="2"/>
          </w:tcPr>
          <w:p>
            <w:pPr>
              <w:jc w:val="right"/>
              <w:ind w:right="760"/>
              <w:spacing w:after="0" w:line="18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359,429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380" w:type="dxa"/>
            <w:vAlign w:val="bottom"/>
            <w:vMerge w:val="restart"/>
          </w:tcPr>
          <w:p>
            <w:pPr>
              <w:jc w:val="right"/>
              <w:ind w:right="830"/>
              <w:spacing w:after="0"/>
              <w:rPr>
                <w:sz w:val="20"/>
                <w:szCs w:val="20"/>
                <w:color w:val="auto"/>
              </w:rPr>
            </w:pPr>
            <w:r>
              <w:rPr>
                <w:rFonts w:ascii="Arial" w:cs="Arial" w:eastAsia="Arial" w:hAnsi="Arial"/>
                <w:sz w:val="18"/>
                <w:szCs w:val="18"/>
                <w:color w:val="auto"/>
              </w:rPr>
              <w:t>13</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2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6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-639445</wp:posOffset>
            </wp:positionV>
            <wp:extent cx="431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-639445</wp:posOffset>
            </wp:positionV>
            <wp:extent cx="431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Debt,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04"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As of March 31, 2022, the Company had an outstanding borrowing of $15.0 million under its margin account with the custodian of the Company’s marketable debt security investment account, Pershing Advisor Solutions, LLC, a BNY Mellon Company. Margin account borrowings were used for the purchase of real property located in El Monte, California in 2020. The securities in the brokerage account were used as collateral for the margin loan. The custodian can issue a margin call at any time. The interest rate on the margin loan was the effective federal funds rate, or EFFR, plus a spread. The EFFR and/or the spread can be changed by BNY Mellon at any time. The interest was 1% at the time of withdrawal of $15.0 million from the margin account, and the interest rate at March 31, 2022 was less than 1%. The Company did not make any other withdrawals from the margin account, and the outstanding balance is included in the accompanying Condensed Consolidated Balance Sheets. The related interest expenses for the first quarters of 2022 and 2021 were both $29,000.</w:t>
      </w:r>
    </w:p>
    <w:p>
      <w:pPr>
        <w:spacing w:after="0" w:line="194"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Notes payable as of March 31, 2022 consisted of $3.8 million of notes payable related to an installment sale contract the Company entered in February 2022 for a building and $5.6 million of notes payable to Xilong Scientific Co., Ltd, or Xilong Scientific, by Fujian Fujun Gene Biotech Co., Ltd., or FF Gene Biotech. The notes payable related to the installment sale is due in February 2030, and the interest rate is 1.08%. The current portion and noncurrent portion are $461,000 and $3.4 million, respectively, and the noncurrent portion is included in the Other Long-Term Liabilities in the accompanying Condensed Consolidated Balance Sheet. The notes payable to Xilong Scientific are due on December 31, 2022, and the interest rate on the loan is 4.97%. The related interest expenses for the first quarter of 2022 were $78,000, and there were no related interest expenses in the first quarter of 2021 as the Company did not have such notes payable in the first quarter of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Leases, for further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As of March 31, 2022, the Company had non-cancelable purchase obligations of $9.0 million, of which, $8.3 million for reagents and other supplies, $400,000 for medical lab equipment, and $300,000 for medical lab furniture are payable within twelve months.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04" w:lineRule="exact"/>
        <w:rPr>
          <w:sz w:val="20"/>
          <w:szCs w:val="20"/>
          <w:color w:val="auto"/>
        </w:rPr>
      </w:pPr>
    </w:p>
    <w:p>
      <w:pPr>
        <w:jc w:val="both"/>
        <w:ind w:right="620" w:firstLine="509"/>
        <w:spacing w:after="0" w:line="248" w:lineRule="auto"/>
        <w:rPr>
          <w:sz w:val="20"/>
          <w:szCs w:val="20"/>
          <w:color w:val="auto"/>
        </w:rPr>
      </w:pPr>
      <w:r>
        <w:rPr>
          <w:rFonts w:ascii="Arial" w:cs="Arial" w:eastAsia="Arial" w:hAnsi="Arial"/>
          <w:sz w:val="18"/>
          <w:szCs w:val="18"/>
          <w:color w:val="auto"/>
        </w:rPr>
        <w:t>From time to time, the Company may be subject to legal proceedings and claims arising in the ordinary course of business. In the opinion of management, the outcome of these matters would not have a material effect on the Company’s condensed consolidated financial position, results of operations or cash flows.</w:t>
      </w:r>
    </w:p>
    <w:p>
      <w:pPr>
        <w:spacing w:after="0" w:line="182"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The Company has received a Civil Investigative Demand, or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This CID requests information and records relating to certain of the Company’s customers named in the CID, which represent a small portion of the Company’s revenues. The Company is fully cooperating with the U.S. Department of Justice to promptly respond to the requests for information in this CID, and does not presently expect this CID or resulting investigation to have a material adverse impact. However, the Company cannot predict when the investigation will be resolved, the outcome of the investigation or its potential impact, which may ultimately be greater than the Company currently expects.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10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Company is party as a lessee to various non-cancelable operating leases with varying terms through March 2028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two finance leases for lab equipment through December 2026, one of which was acquired in the acquisition of Cytometry Specialists, Inc., or CSI. The Company retained CSI’s classification of its leases.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ind w:right="20" w:firstLine="509"/>
        <w:spacing w:after="0" w:line="243" w:lineRule="auto"/>
        <w:rPr>
          <w:sz w:val="20"/>
          <w:szCs w:val="20"/>
          <w:color w:val="auto"/>
        </w:rPr>
      </w:pPr>
      <w:r>
        <w:rPr>
          <w:rFonts w:ascii="Arial" w:cs="Arial" w:eastAsia="Arial" w:hAnsi="Arial"/>
          <w:sz w:val="18"/>
          <w:szCs w:val="18"/>
          <w:color w:val="auto"/>
        </w:rPr>
        <w:t>The Company’s headquarters are located in Temple City,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Houston, Texas and Alpharetta, Georgia. Additional offices are located in Atlanta, Georgia and are used for certain report generation functions.</w:t>
      </w:r>
    </w:p>
    <w:p>
      <w:pPr>
        <w:spacing w:after="0" w:line="18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operating and finance lease right-of-use asset, short-term lease liabilities, and long-term lease liabilities as of March 31, 2022 and December 31, 2021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gridSpan w:val="2"/>
          </w:tcPr>
          <w:p>
            <w:pPr>
              <w:spacing w:after="0"/>
              <w:rPr>
                <w:sz w:val="16"/>
                <w:szCs w:val="16"/>
                <w:color w:val="auto"/>
              </w:rPr>
            </w:pPr>
          </w:p>
        </w:tc>
      </w:tr>
      <w:tr>
        <w:trPr>
          <w:trHeight w:val="183"/>
        </w:trPr>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gridSpan w:val="5"/>
          </w:tcPr>
          <w:p>
            <w:pPr>
              <w:jc w:val="right"/>
              <w:ind w:right="99"/>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ROU asset, net</w:t>
            </w:r>
          </w:p>
        </w:tc>
        <w:tc>
          <w:tcPr>
            <w:tcW w:w="1480" w:type="dxa"/>
            <w:vAlign w:val="bottom"/>
            <w:gridSpan w:val="2"/>
            <w:shd w:val="clear" w:color="auto" w:fill="CFF0FC"/>
          </w:tcPr>
          <w:p>
            <w:pPr>
              <w:jc w:val="right"/>
              <w:ind w:right="1288"/>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6,664</w:t>
            </w:r>
          </w:p>
        </w:tc>
        <w:tc>
          <w:tcPr>
            <w:tcW w:w="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39"/>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7,141</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short term</w:t>
            </w:r>
          </w:p>
        </w:tc>
        <w:tc>
          <w:tcPr>
            <w:tcW w:w="1480" w:type="dxa"/>
            <w:vAlign w:val="bottom"/>
            <w:gridSpan w:val="2"/>
          </w:tcPr>
          <w:p>
            <w:pPr>
              <w:jc w:val="right"/>
              <w:ind w:right="1288"/>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1,756</w:t>
            </w:r>
          </w:p>
        </w:tc>
        <w:tc>
          <w:tcPr>
            <w:tcW w:w="40" w:type="dxa"/>
            <w:vAlign w:val="bottom"/>
          </w:tcPr>
          <w:p>
            <w:pPr>
              <w:spacing w:after="0"/>
              <w:rPr>
                <w:sz w:val="17"/>
                <w:szCs w:val="17"/>
                <w:color w:val="auto"/>
              </w:rPr>
            </w:pPr>
          </w:p>
        </w:tc>
        <w:tc>
          <w:tcPr>
            <w:tcW w:w="720" w:type="dxa"/>
            <w:vAlign w:val="bottom"/>
            <w:gridSpan w:val="2"/>
          </w:tcPr>
          <w:p>
            <w:pPr>
              <w:jc w:val="right"/>
              <w:ind w:right="239"/>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long term</w:t>
            </w:r>
          </w:p>
        </w:tc>
        <w:tc>
          <w:tcPr>
            <w:tcW w:w="1480" w:type="dxa"/>
            <w:vAlign w:val="bottom"/>
            <w:gridSpan w:val="2"/>
            <w:shd w:val="clear" w:color="auto" w:fill="CFF0FC"/>
          </w:tcPr>
          <w:p>
            <w:pPr>
              <w:jc w:val="right"/>
              <w:ind w:right="1288"/>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4,957</w:t>
            </w:r>
          </w:p>
        </w:tc>
        <w:tc>
          <w:tcPr>
            <w:tcW w:w="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39"/>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5,344</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Finance lease ROU asset, net</w:t>
            </w:r>
          </w:p>
        </w:tc>
        <w:tc>
          <w:tcPr>
            <w:tcW w:w="1480" w:type="dxa"/>
            <w:vAlign w:val="bottom"/>
            <w:gridSpan w:val="2"/>
          </w:tcPr>
          <w:p>
            <w:pPr>
              <w:jc w:val="right"/>
              <w:ind w:right="1288"/>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1,647</w:t>
            </w:r>
          </w:p>
        </w:tc>
        <w:tc>
          <w:tcPr>
            <w:tcW w:w="40" w:type="dxa"/>
            <w:vAlign w:val="bottom"/>
          </w:tcPr>
          <w:p>
            <w:pPr>
              <w:spacing w:after="0"/>
              <w:rPr>
                <w:sz w:val="17"/>
                <w:szCs w:val="17"/>
                <w:color w:val="auto"/>
              </w:rPr>
            </w:pPr>
          </w:p>
        </w:tc>
        <w:tc>
          <w:tcPr>
            <w:tcW w:w="720" w:type="dxa"/>
            <w:vAlign w:val="bottom"/>
            <w:gridSpan w:val="2"/>
          </w:tcPr>
          <w:p>
            <w:pPr>
              <w:jc w:val="right"/>
              <w:ind w:right="239"/>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1,735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liabilities, short term</w:t>
            </w:r>
          </w:p>
        </w:tc>
        <w:tc>
          <w:tcPr>
            <w:tcW w:w="1480" w:type="dxa"/>
            <w:vAlign w:val="bottom"/>
            <w:gridSpan w:val="2"/>
            <w:shd w:val="clear" w:color="auto" w:fill="CFF0FC"/>
          </w:tcPr>
          <w:p>
            <w:pPr>
              <w:jc w:val="right"/>
              <w:ind w:right="1288"/>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335</w:t>
            </w:r>
          </w:p>
        </w:tc>
        <w:tc>
          <w:tcPr>
            <w:tcW w:w="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39"/>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332</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Finance lease liabilities, long term</w:t>
            </w:r>
          </w:p>
        </w:tc>
        <w:tc>
          <w:tcPr>
            <w:tcW w:w="1480" w:type="dxa"/>
            <w:vAlign w:val="bottom"/>
            <w:gridSpan w:val="2"/>
          </w:tcPr>
          <w:p>
            <w:pPr>
              <w:jc w:val="right"/>
              <w:ind w:right="1288"/>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1,314</w:t>
            </w:r>
          </w:p>
        </w:tc>
        <w:tc>
          <w:tcPr>
            <w:tcW w:w="40" w:type="dxa"/>
            <w:vAlign w:val="bottom"/>
          </w:tcPr>
          <w:p>
            <w:pPr>
              <w:spacing w:after="0"/>
              <w:rPr>
                <w:sz w:val="20"/>
                <w:szCs w:val="20"/>
                <w:color w:val="auto"/>
              </w:rPr>
            </w:pPr>
          </w:p>
        </w:tc>
        <w:tc>
          <w:tcPr>
            <w:tcW w:w="72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1,398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4"/>
        </w:trPr>
        <w:tc>
          <w:tcPr>
            <w:tcW w:w="6780" w:type="dxa"/>
            <w:vAlign w:val="bottom"/>
          </w:tcPr>
          <w:p>
            <w:pPr>
              <w:ind w:left="520"/>
              <w:spacing w:after="0"/>
              <w:rPr>
                <w:sz w:val="20"/>
                <w:szCs w:val="20"/>
                <w:color w:val="auto"/>
              </w:rPr>
            </w:pPr>
            <w:r>
              <w:rPr>
                <w:rFonts w:ascii="Arial" w:cs="Arial" w:eastAsia="Arial" w:hAnsi="Arial"/>
                <w:sz w:val="18"/>
                <w:szCs w:val="18"/>
                <w:color w:val="auto"/>
              </w:rPr>
              <w:t>The following was operating and finance lease expense:</w:t>
            </w: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10"/>
          </w:tcPr>
          <w:p>
            <w:pPr>
              <w:jc w:val="right"/>
              <w:ind w:right="1300"/>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6780" w:type="dxa"/>
            <w:vAlign w:val="bottom"/>
          </w:tcPr>
          <w:p>
            <w:pPr>
              <w:spacing w:after="0"/>
              <w:rPr>
                <w:sz w:val="15"/>
                <w:szCs w:val="15"/>
                <w:color w:val="auto"/>
              </w:rPr>
            </w:pPr>
          </w:p>
        </w:tc>
        <w:tc>
          <w:tcPr>
            <w:tcW w:w="1480" w:type="dxa"/>
            <w:vAlign w:val="bottom"/>
            <w:tcBorders>
              <w:top w:val="single" w:sz="8" w:color="auto"/>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gridSpan w:val="5"/>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cost</w:t>
            </w:r>
          </w:p>
        </w:tc>
        <w:tc>
          <w:tcPr>
            <w:tcW w:w="1480" w:type="dxa"/>
            <w:vAlign w:val="bottom"/>
            <w:gridSpan w:val="2"/>
            <w:shd w:val="clear" w:color="auto" w:fill="CFF0FC"/>
          </w:tcPr>
          <w:p>
            <w:pPr>
              <w:jc w:val="right"/>
              <w:ind w:right="1308"/>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538</w:t>
            </w:r>
          </w:p>
        </w:tc>
        <w:tc>
          <w:tcPr>
            <w:tcW w:w="720" w:type="dxa"/>
            <w:vAlign w:val="bottom"/>
            <w:gridSpan w:val="2"/>
            <w:shd w:val="clear" w:color="auto" w:fill="CFF0FC"/>
          </w:tcPr>
          <w:p>
            <w:pPr>
              <w:jc w:val="right"/>
              <w:ind w:right="259"/>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69</w:t>
            </w: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ROU assets</w:t>
            </w:r>
          </w:p>
        </w:tc>
        <w:tc>
          <w:tcPr>
            <w:tcW w:w="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60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96</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60" w:type="dxa"/>
            <w:vAlign w:val="bottom"/>
            <w:gridSpan w:val="4"/>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Interest on lease liabilities</w:t>
            </w: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780" w:type="dxa"/>
            <w:vAlign w:val="bottom"/>
          </w:tcPr>
          <w:p>
            <w:pPr>
              <w:ind w:left="20"/>
              <w:spacing w:after="0" w:line="182" w:lineRule="exact"/>
              <w:rPr>
                <w:sz w:val="20"/>
                <w:szCs w:val="20"/>
                <w:color w:val="auto"/>
              </w:rPr>
            </w:pPr>
            <w:r>
              <w:rPr>
                <w:rFonts w:ascii="Arial" w:cs="Arial" w:eastAsia="Arial" w:hAnsi="Arial"/>
                <w:sz w:val="18"/>
                <w:szCs w:val="18"/>
                <w:color w:val="auto"/>
              </w:rPr>
              <w:t>Total lease cost</w:t>
            </w:r>
          </w:p>
        </w:tc>
        <w:tc>
          <w:tcPr>
            <w:tcW w:w="1480" w:type="dxa"/>
            <w:vAlign w:val="bottom"/>
            <w:tcBorders>
              <w:bottom w:val="single" w:sz="8" w:color="auto"/>
            </w:tcBorders>
            <w:gridSpan w:val="2"/>
          </w:tcPr>
          <w:p>
            <w:pPr>
              <w:jc w:val="right"/>
              <w:ind w:right="1308"/>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3"/>
          </w:tcPr>
          <w:p>
            <w:pPr>
              <w:jc w:val="right"/>
              <w:ind w:right="20"/>
              <w:spacing w:after="0" w:line="182" w:lineRule="exact"/>
              <w:rPr>
                <w:sz w:val="20"/>
                <w:szCs w:val="20"/>
                <w:color w:val="auto"/>
              </w:rPr>
            </w:pPr>
            <w:r>
              <w:rPr>
                <w:rFonts w:ascii="Arial" w:cs="Arial" w:eastAsia="Arial" w:hAnsi="Arial"/>
                <w:sz w:val="18"/>
                <w:szCs w:val="18"/>
                <w:color w:val="auto"/>
              </w:rPr>
              <w:t>745</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gridSpan w:val="3"/>
          </w:tcPr>
          <w:p>
            <w:pPr>
              <w:jc w:val="right"/>
              <w:ind w:right="20"/>
              <w:spacing w:after="0" w:line="182" w:lineRule="exact"/>
              <w:rPr>
                <w:sz w:val="20"/>
                <w:szCs w:val="20"/>
                <w:color w:val="auto"/>
              </w:rPr>
            </w:pPr>
            <w:r>
              <w:rPr>
                <w:rFonts w:ascii="Arial" w:cs="Arial" w:eastAsia="Arial" w:hAnsi="Arial"/>
                <w:sz w:val="18"/>
                <w:szCs w:val="18"/>
                <w:color w:val="auto"/>
              </w:rPr>
              <w:t>200</w:t>
            </w:r>
          </w:p>
        </w:tc>
        <w:tc>
          <w:tcPr>
            <w:tcW w:w="60" w:type="dxa"/>
            <w:vAlign w:val="bottom"/>
          </w:tcPr>
          <w:p>
            <w:pPr>
              <w:spacing w:after="0"/>
              <w:rPr>
                <w:sz w:val="17"/>
                <w:szCs w:val="17"/>
                <w:color w:val="auto"/>
              </w:rPr>
            </w:pPr>
          </w:p>
        </w:tc>
      </w:tr>
      <w:tr>
        <w:trPr>
          <w:trHeight w:val="20"/>
        </w:trPr>
        <w:tc>
          <w:tcPr>
            <w:tcW w:w="67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8260" w:type="dxa"/>
            <w:vAlign w:val="bottom"/>
            <w:gridSpan w:val="3"/>
          </w:tcPr>
          <w:p>
            <w:pPr>
              <w:ind w:left="520"/>
              <w:spacing w:after="0"/>
              <w:rPr>
                <w:sz w:val="20"/>
                <w:szCs w:val="20"/>
                <w:color w:val="auto"/>
              </w:rPr>
            </w:pPr>
            <w:r>
              <w:rPr>
                <w:rFonts w:ascii="Arial" w:cs="Arial" w:eastAsia="Arial" w:hAnsi="Arial"/>
                <w:sz w:val="18"/>
                <w:szCs w:val="18"/>
                <w:color w:val="auto"/>
              </w:rPr>
              <w:t>Supplemental information related to operating leases and finance lease was the following:</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March 31, 2022</w:t>
            </w:r>
          </w:p>
        </w:tc>
      </w:tr>
      <w:tr>
        <w:trPr>
          <w:trHeight w:val="196"/>
        </w:trPr>
        <w:tc>
          <w:tcPr>
            <w:tcW w:w="6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remaining lease term - operating leases</w:t>
            </w:r>
          </w:p>
        </w:tc>
        <w:tc>
          <w:tcPr>
            <w:tcW w:w="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ind w:left="700"/>
              <w:spacing w:after="0" w:line="196" w:lineRule="exact"/>
              <w:rPr>
                <w:sz w:val="20"/>
                <w:szCs w:val="20"/>
                <w:color w:val="auto"/>
              </w:rPr>
            </w:pPr>
            <w:r>
              <w:rPr>
                <w:rFonts w:ascii="Arial" w:cs="Arial" w:eastAsia="Arial" w:hAnsi="Arial"/>
                <w:sz w:val="18"/>
                <w:szCs w:val="18"/>
                <w:color w:val="auto"/>
                <w:w w:val="85"/>
              </w:rPr>
              <w:t>4.83 years</w:t>
            </w:r>
          </w:p>
        </w:tc>
        <w:tc>
          <w:tcPr>
            <w:tcW w:w="220" w:type="dxa"/>
            <w:vAlign w:val="bottom"/>
            <w:gridSpan w:val="3"/>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discount rate - operating leases</w:t>
            </w: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3.14 %</w:t>
            </w: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remaining lease term -finance lease</w:t>
            </w:r>
          </w:p>
        </w:tc>
        <w:tc>
          <w:tcPr>
            <w:tcW w:w="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60" w:type="dxa"/>
            <w:vAlign w:val="bottom"/>
            <w:gridSpan w:val="4"/>
            <w:shd w:val="clear" w:color="auto" w:fill="CFF0FC"/>
          </w:tcPr>
          <w:p>
            <w:pPr>
              <w:ind w:left="700"/>
              <w:spacing w:after="0" w:line="202" w:lineRule="exact"/>
              <w:rPr>
                <w:sz w:val="20"/>
                <w:szCs w:val="20"/>
                <w:color w:val="auto"/>
              </w:rPr>
            </w:pPr>
            <w:r>
              <w:rPr>
                <w:rFonts w:ascii="Arial" w:cs="Arial" w:eastAsia="Arial" w:hAnsi="Arial"/>
                <w:sz w:val="18"/>
                <w:szCs w:val="18"/>
                <w:color w:val="auto"/>
              </w:rPr>
              <w:t>4.69 years</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Weighted average discount rate - finance lease</w:t>
            </w: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gridSpan w:val="4"/>
          </w:tcPr>
          <w:p>
            <w:pPr>
              <w:jc w:val="right"/>
              <w:ind w:right="60"/>
              <w:spacing w:after="0"/>
              <w:rPr>
                <w:sz w:val="20"/>
                <w:szCs w:val="20"/>
                <w:color w:val="auto"/>
              </w:rPr>
            </w:pPr>
            <w:r>
              <w:rPr>
                <w:rFonts w:ascii="Arial" w:cs="Arial" w:eastAsia="Arial" w:hAnsi="Arial"/>
                <w:sz w:val="18"/>
                <w:szCs w:val="18"/>
                <w:color w:val="auto"/>
              </w:rPr>
              <w:t>3.21 %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-1214120</wp:posOffset>
            </wp:positionV>
            <wp:extent cx="43180" cy="1600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-1214120</wp:posOffset>
            </wp:positionV>
            <wp:extent cx="43180" cy="160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160020"/>
                    </a:xfrm>
                    <a:prstGeom prst="rect">
                      <a:avLst/>
                    </a:prstGeom>
                    <a:noFill/>
                  </pic:spPr>
                </pic:pic>
              </a:graphicData>
            </a:graphic>
          </wp:anchor>
        </w:drawing>
      </w:r>
    </w:p>
    <w:p>
      <w:pPr>
        <w:spacing w:after="0" w:line="154" w:lineRule="exact"/>
        <w:rPr>
          <w:sz w:val="20"/>
          <w:szCs w:val="20"/>
          <w:color w:val="auto"/>
        </w:rPr>
      </w:pPr>
    </w:p>
    <w:p>
      <w:pPr>
        <w:jc w:val="both"/>
        <w:ind w:right="40" w:firstLine="509"/>
        <w:spacing w:after="0" w:line="261" w:lineRule="auto"/>
        <w:rPr>
          <w:sz w:val="20"/>
          <w:szCs w:val="20"/>
          <w:color w:val="auto"/>
        </w:rPr>
      </w:pPr>
      <w:r>
        <w:rPr>
          <w:rFonts w:ascii="Arial" w:cs="Arial" w:eastAsia="Arial" w:hAnsi="Arial"/>
          <w:sz w:val="18"/>
          <w:szCs w:val="18"/>
          <w:color w:val="auto"/>
        </w:rPr>
        <w:t>The following is a maturity analysis of operating and finance lease liabilities using undiscounted cash flows on an annual basis with renewal periods included: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Finance Lease</w:t>
            </w:r>
          </w:p>
        </w:tc>
        <w:tc>
          <w:tcPr>
            <w:tcW w:w="100" w:type="dxa"/>
            <w:vAlign w:val="bottom"/>
          </w:tcPr>
          <w:p>
            <w:pPr>
              <w:spacing w:after="0"/>
              <w:rPr>
                <w:sz w:val="16"/>
                <w:szCs w:val="16"/>
                <w:color w:val="auto"/>
              </w:rPr>
            </w:pPr>
          </w:p>
        </w:tc>
      </w:tr>
      <w:tr>
        <w:trPr>
          <w:trHeight w:val="196"/>
        </w:trPr>
        <w:tc>
          <w:tcPr>
            <w:tcW w:w="37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Year Ending December 31,</w:t>
            </w:r>
          </w:p>
        </w:tc>
        <w:tc>
          <w:tcPr>
            <w:tcW w:w="30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2022 (remaining 9 months)</w:t>
            </w:r>
          </w:p>
        </w:tc>
        <w:tc>
          <w:tcPr>
            <w:tcW w:w="4600" w:type="dxa"/>
            <w:vAlign w:val="bottom"/>
            <w:gridSpan w:val="2"/>
          </w:tcPr>
          <w:p>
            <w:pPr>
              <w:jc w:val="right"/>
              <w:ind w:right="1399"/>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1,505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100" w:type="dxa"/>
            <w:vAlign w:val="bottom"/>
          </w:tcPr>
          <w:p>
            <w:pPr>
              <w:spacing w:after="0"/>
              <w:rPr>
                <w:sz w:val="17"/>
                <w:szCs w:val="17"/>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30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1,580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383</w:t>
            </w:r>
          </w:p>
        </w:tc>
        <w:tc>
          <w:tcPr>
            <w:tcW w:w="100" w:type="dxa"/>
            <w:vAlign w:val="bottom"/>
            <w:shd w:val="clear" w:color="auto" w:fill="CFF0FC"/>
          </w:tcPr>
          <w:p>
            <w:pPr>
              <w:spacing w:after="0"/>
              <w:rPr>
                <w:sz w:val="17"/>
                <w:szCs w:val="17"/>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1,156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100" w:type="dxa"/>
            <w:vAlign w:val="bottom"/>
          </w:tcPr>
          <w:p>
            <w:pPr>
              <w:spacing w:after="0"/>
              <w:rPr>
                <w:sz w:val="17"/>
                <w:szCs w:val="17"/>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30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1,049</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17"/>
                <w:szCs w:val="17"/>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884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366</w:t>
            </w:r>
          </w:p>
        </w:tc>
        <w:tc>
          <w:tcPr>
            <w:tcW w:w="100" w:type="dxa"/>
            <w:vAlign w:val="bottom"/>
          </w:tcPr>
          <w:p>
            <w:pPr>
              <w:spacing w:after="0"/>
              <w:rPr>
                <w:sz w:val="17"/>
                <w:szCs w:val="17"/>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30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376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lease payments</w:t>
            </w:r>
          </w:p>
        </w:tc>
        <w:tc>
          <w:tcPr>
            <w:tcW w:w="302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7,254</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1,779</w:t>
            </w:r>
          </w:p>
        </w:tc>
        <w:tc>
          <w:tcPr>
            <w:tcW w:w="100" w:type="dxa"/>
            <w:vAlign w:val="bottom"/>
            <w:shd w:val="clear" w:color="auto" w:fill="CFF0FC"/>
          </w:tcPr>
          <w:p>
            <w:pPr>
              <w:spacing w:after="0"/>
              <w:rPr>
                <w:sz w:val="17"/>
                <w:szCs w:val="17"/>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(541 )</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(130 )</w:t>
            </w:r>
          </w:p>
        </w:tc>
      </w:tr>
      <w:tr>
        <w:trPr>
          <w:trHeight w:val="236"/>
        </w:trPr>
        <w:tc>
          <w:tcPr>
            <w:tcW w:w="3760" w:type="dxa"/>
            <w:vAlign w:val="bottom"/>
            <w:tcBorders>
              <w:bottom w:val="single" w:sz="8" w:color="CFF0FC"/>
            </w:tcBorders>
            <w:shd w:val="clear" w:color="auto" w:fill="CFF0FC"/>
          </w:tcPr>
          <w:p>
            <w:pPr>
              <w:ind w:left="120"/>
              <w:spacing w:after="0" w:line="182" w:lineRule="exact"/>
              <w:rPr>
                <w:sz w:val="20"/>
                <w:szCs w:val="20"/>
                <w:color w:val="auto"/>
              </w:rPr>
            </w:pPr>
            <w:r>
              <w:rPr>
                <w:rFonts w:ascii="Arial" w:cs="Arial" w:eastAsia="Arial" w:hAnsi="Arial"/>
                <w:sz w:val="18"/>
                <w:szCs w:val="18"/>
                <w:color w:val="auto"/>
              </w:rPr>
              <w:t>Total</w:t>
            </w:r>
          </w:p>
        </w:tc>
        <w:tc>
          <w:tcPr>
            <w:tcW w:w="30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ind w:right="1399"/>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3"/>
              </w:rPr>
              <w:t>6,713</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3760" w:type="dxa"/>
            <w:vAlign w:val="bottom"/>
          </w:tcPr>
          <w:p>
            <w:pPr>
              <w:spacing w:after="0"/>
              <w:rPr>
                <w:sz w:val="24"/>
                <w:szCs w:val="24"/>
                <w:color w:val="auto"/>
              </w:rPr>
            </w:pPr>
          </w:p>
        </w:tc>
        <w:tc>
          <w:tcPr>
            <w:tcW w:w="3020" w:type="dxa"/>
            <w:vAlign w:val="bottom"/>
          </w:tcPr>
          <w:p>
            <w:pPr>
              <w:jc w:val="right"/>
              <w:ind w:right="970"/>
              <w:spacing w:after="0"/>
              <w:rPr>
                <w:sz w:val="20"/>
                <w:szCs w:val="20"/>
                <w:color w:val="auto"/>
              </w:rPr>
            </w:pPr>
            <w:r>
              <w:rPr>
                <w:rFonts w:ascii="Arial" w:cs="Arial" w:eastAsia="Arial" w:hAnsi="Arial"/>
                <w:sz w:val="18"/>
                <w:szCs w:val="18"/>
                <w:color w:val="auto"/>
              </w:rPr>
              <w:t>15</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76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-496570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-479425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Lessor</w:t>
      </w:r>
    </w:p>
    <w:p>
      <w:pPr>
        <w:spacing w:after="0" w:line="1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 leases out space in buildings it owns and leases to third-party tenants under noncancelable operating leases. As of March 31, 2022, the remaining lease terms left range from 8 months to 41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88"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lease income was included in interest and other income, net, in the accompanying Condensed Consolidated Statements of Income. Total lease income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w w:val="93"/>
              </w:rPr>
              <w:t>Three months ended March 31,</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64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6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00" w:type="dxa"/>
            <w:vAlign w:val="bottom"/>
            <w:gridSpan w:val="4"/>
          </w:tcPr>
          <w:p>
            <w:pPr>
              <w:jc w:val="right"/>
              <w:ind w:right="1202"/>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 income</w:t>
            </w:r>
          </w:p>
        </w:tc>
        <w:tc>
          <w:tcPr>
            <w:tcW w:w="1180" w:type="dxa"/>
            <w:vAlign w:val="bottom"/>
            <w:shd w:val="clear" w:color="auto" w:fill="CFF0FC"/>
          </w:tcPr>
          <w:p>
            <w:pPr>
              <w:jc w:val="right"/>
              <w:ind w:right="996"/>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1402"/>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Variable lease income</w:t>
            </w:r>
          </w:p>
        </w:tc>
        <w:tc>
          <w:tcPr>
            <w:tcW w:w="1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6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income</w:t>
            </w:r>
          </w:p>
        </w:tc>
        <w:tc>
          <w:tcPr>
            <w:tcW w:w="1180" w:type="dxa"/>
            <w:vAlign w:val="bottom"/>
            <w:tcBorders>
              <w:bottom w:val="single" w:sz="8" w:color="auto"/>
            </w:tcBorders>
            <w:shd w:val="clear" w:color="auto" w:fill="CFF0FC"/>
          </w:tcPr>
          <w:p>
            <w:pPr>
              <w:jc w:val="right"/>
              <w:ind w:right="99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28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1402"/>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w:t>
            </w:r>
          </w:p>
        </w:tc>
        <w:tc>
          <w:tcPr>
            <w:tcW w:w="2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r>
        <w:trPr>
          <w:trHeight w:val="413"/>
        </w:trPr>
        <w:tc>
          <w:tcPr>
            <w:tcW w:w="8940" w:type="dxa"/>
            <w:vAlign w:val="bottom"/>
            <w:gridSpan w:val="5"/>
          </w:tcPr>
          <w:p>
            <w:pPr>
              <w:ind w:left="520"/>
              <w:spacing w:after="0"/>
              <w:rPr>
                <w:sz w:val="20"/>
                <w:szCs w:val="20"/>
                <w:color w:val="auto"/>
              </w:rPr>
            </w:pPr>
            <w:r>
              <w:rPr>
                <w:rFonts w:ascii="Arial" w:cs="Arial" w:eastAsia="Arial" w:hAnsi="Arial"/>
                <w:sz w:val="18"/>
                <w:szCs w:val="18"/>
                <w:color w:val="auto"/>
                <w:w w:val="90"/>
              </w:rPr>
              <w:t>Future fixed lease payments from tenants for all noncancelable operating leases as of March 31, 2022 are as follows: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3"/>
        </w:trPr>
        <w:tc>
          <w:tcPr>
            <w:tcW w:w="6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jc w:val="center"/>
              <w:ind w:left="202"/>
              <w:spacing w:after="0"/>
              <w:rPr>
                <w:sz w:val="20"/>
                <w:szCs w:val="20"/>
                <w:color w:val="auto"/>
              </w:rPr>
            </w:pPr>
            <w:r>
              <w:rPr>
                <w:rFonts w:ascii="Arial" w:cs="Arial" w:eastAsia="Arial" w:hAnsi="Arial"/>
                <w:sz w:val="14"/>
                <w:szCs w:val="14"/>
                <w:b w:val="1"/>
                <w:bCs w:val="1"/>
                <w:color w:val="auto"/>
                <w:w w:val="89"/>
              </w:rPr>
              <w:t>Lease Payments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8"/>
        </w:trPr>
        <w:tc>
          <w:tcPr>
            <w:tcW w:w="6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left="202"/>
              <w:spacing w:after="0"/>
              <w:rPr>
                <w:sz w:val="20"/>
                <w:szCs w:val="20"/>
                <w:color w:val="auto"/>
              </w:rPr>
            </w:pPr>
            <w:r>
              <w:rPr>
                <w:rFonts w:ascii="Arial" w:cs="Arial" w:eastAsia="Arial" w:hAnsi="Arial"/>
                <w:sz w:val="14"/>
                <w:szCs w:val="14"/>
                <w:b w:val="1"/>
                <w:bCs w:val="1"/>
                <w:color w:val="auto"/>
                <w:w w:val="92"/>
              </w:rPr>
              <w:t>from Tenants</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6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center"/>
              <w:ind w:left="202"/>
              <w:spacing w:after="0"/>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Year Ending December 31,</w:t>
            </w: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2022 (remaining 9 months)</w:t>
            </w:r>
          </w:p>
        </w:tc>
        <w:tc>
          <w:tcPr>
            <w:tcW w:w="1180" w:type="dxa"/>
            <w:vAlign w:val="bottom"/>
          </w:tcPr>
          <w:p>
            <w:pPr>
              <w:spacing w:after="0"/>
              <w:rPr>
                <w:sz w:val="17"/>
                <w:szCs w:val="17"/>
                <w:color w:val="auto"/>
              </w:rPr>
            </w:pPr>
          </w:p>
        </w:tc>
        <w:tc>
          <w:tcPr>
            <w:tcW w:w="11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266</w:t>
            </w:r>
          </w:p>
        </w:tc>
        <w:tc>
          <w:tcPr>
            <w:tcW w:w="60" w:type="dxa"/>
            <w:vAlign w:val="bottom"/>
          </w:tcPr>
          <w:p>
            <w:pPr>
              <w:spacing w:after="0"/>
              <w:rPr>
                <w:sz w:val="17"/>
                <w:szCs w:val="17"/>
                <w:color w:val="auto"/>
              </w:rPr>
            </w:pP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264</w:t>
            </w:r>
          </w:p>
        </w:tc>
        <w:tc>
          <w:tcPr>
            <w:tcW w:w="60" w:type="dxa"/>
            <w:vAlign w:val="bottom"/>
            <w:shd w:val="clear" w:color="auto" w:fill="CFF0FC"/>
          </w:tcPr>
          <w:p>
            <w:pPr>
              <w:spacing w:after="0"/>
              <w:rPr>
                <w:sz w:val="17"/>
                <w:szCs w:val="17"/>
                <w:color w:val="auto"/>
              </w:rPr>
            </w:pP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180</w:t>
            </w:r>
          </w:p>
        </w:tc>
        <w:tc>
          <w:tcPr>
            <w:tcW w:w="60" w:type="dxa"/>
            <w:vAlign w:val="bottom"/>
          </w:tcPr>
          <w:p>
            <w:pPr>
              <w:spacing w:after="0"/>
              <w:rPr>
                <w:sz w:val="17"/>
                <w:szCs w:val="17"/>
                <w:color w:val="auto"/>
              </w:rPr>
            </w:pPr>
          </w:p>
        </w:tc>
      </w:tr>
      <w:tr>
        <w:trPr>
          <w:trHeight w:val="203"/>
        </w:trPr>
        <w:tc>
          <w:tcPr>
            <w:tcW w:w="6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11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ind w:left="120"/>
              <w:spacing w:after="0" w:line="182" w:lineRule="exact"/>
              <w:rPr>
                <w:sz w:val="20"/>
                <w:szCs w:val="20"/>
                <w:color w:val="auto"/>
              </w:rPr>
            </w:pPr>
            <w:r>
              <w:rPr>
                <w:rFonts w:ascii="Arial" w:cs="Arial" w:eastAsia="Arial" w:hAnsi="Arial"/>
                <w:sz w:val="18"/>
                <w:szCs w:val="18"/>
                <w:color w:val="auto"/>
              </w:rPr>
              <w:t>Total</w:t>
            </w:r>
          </w:p>
        </w:tc>
        <w:tc>
          <w:tcPr>
            <w:tcW w:w="1180" w:type="dxa"/>
            <w:vAlign w:val="bottom"/>
          </w:tcPr>
          <w:p>
            <w:pPr>
              <w:spacing w:after="0"/>
              <w:rPr>
                <w:sz w:val="17"/>
                <w:szCs w:val="17"/>
                <w:color w:val="auto"/>
              </w:rPr>
            </w:pPr>
          </w:p>
        </w:tc>
        <w:tc>
          <w:tcPr>
            <w:tcW w:w="1120" w:type="dxa"/>
            <w:vAlign w:val="bottom"/>
            <w:gridSpan w:val="3"/>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1580" w:type="dxa"/>
            <w:vAlign w:val="bottom"/>
          </w:tcPr>
          <w:p>
            <w:pPr>
              <w:spacing w:after="0"/>
              <w:rPr>
                <w:sz w:val="17"/>
                <w:szCs w:val="17"/>
                <w:color w:val="auto"/>
              </w:rPr>
            </w:pPr>
          </w:p>
        </w:tc>
        <w:tc>
          <w:tcPr>
            <w:tcW w:w="6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830</w:t>
            </w:r>
          </w:p>
        </w:tc>
        <w:tc>
          <w:tcPr>
            <w:tcW w:w="6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-1610995</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-1593850</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-1610995</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-1593850</wp:posOffset>
            </wp:positionV>
            <wp:extent cx="431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1600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160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Equity-Based Compensation</w:t>
      </w:r>
    </w:p>
    <w:p>
      <w:pPr>
        <w:spacing w:after="0" w:line="81" w:lineRule="exact"/>
        <w:rPr>
          <w:sz w:val="20"/>
          <w:szCs w:val="20"/>
          <w:color w:val="auto"/>
        </w:rPr>
      </w:pPr>
    </w:p>
    <w:p>
      <w:pPr>
        <w:ind w:right="140" w:firstLine="509"/>
        <w:spacing w:after="0" w:line="235" w:lineRule="auto"/>
        <w:rPr>
          <w:sz w:val="20"/>
          <w:szCs w:val="20"/>
          <w:color w:val="auto"/>
        </w:rPr>
      </w:pPr>
      <w:r>
        <w:rPr>
          <w:rFonts w:ascii="Arial" w:cs="Arial" w:eastAsia="Arial" w:hAnsi="Arial"/>
          <w:sz w:val="18"/>
          <w:szCs w:val="18"/>
          <w:color w:val="auto"/>
        </w:rPr>
        <w:t>The Company has included equity-based compensation expense as part of cost of revenue and operating expenses in the accompanying Condensed Consolidated Statements of Income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4"/>
              </w:rPr>
              <w:t>Three Months Ended March 31,</w:t>
            </w:r>
          </w:p>
        </w:tc>
        <w:tc>
          <w:tcPr>
            <w:tcW w:w="11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3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r>
      <w:tr>
        <w:trPr>
          <w:trHeight w:val="169"/>
        </w:trPr>
        <w:tc>
          <w:tcPr>
            <w:tcW w:w="3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thousands)</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4040" w:type="dxa"/>
            <w:vAlign w:val="bottom"/>
            <w:gridSpan w:val="2"/>
            <w:shd w:val="clear" w:color="auto" w:fill="CFF0FC"/>
          </w:tcPr>
          <w:p>
            <w:pPr>
              <w:jc w:val="right"/>
              <w:ind w:right="979"/>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1,465</w:t>
            </w:r>
          </w:p>
        </w:tc>
        <w:tc>
          <w:tcPr>
            <w:tcW w:w="1140" w:type="dxa"/>
            <w:vAlign w:val="bottom"/>
            <w:gridSpan w:val="3"/>
            <w:shd w:val="clear" w:color="auto" w:fill="CFF0FC"/>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w:t>
            </w:r>
          </w:p>
        </w:tc>
        <w:tc>
          <w:tcPr>
            <w:tcW w:w="280" w:type="dxa"/>
            <w:vAlign w:val="bottom"/>
            <w:shd w:val="clear" w:color="auto" w:fill="CFF0FC"/>
          </w:tcPr>
          <w:p>
            <w:pPr>
              <w:spacing w:after="0"/>
              <w:rPr>
                <w:sz w:val="17"/>
                <w:szCs w:val="17"/>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1,921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c>
          <w:tcPr>
            <w:tcW w:w="280" w:type="dxa"/>
            <w:vAlign w:val="bottom"/>
          </w:tcPr>
          <w:p>
            <w:pPr>
              <w:spacing w:after="0"/>
              <w:rPr>
                <w:sz w:val="17"/>
                <w:szCs w:val="17"/>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and marketing</w:t>
            </w:r>
          </w:p>
        </w:tc>
        <w:tc>
          <w:tcPr>
            <w:tcW w:w="28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825</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426</w:t>
            </w:r>
          </w:p>
        </w:tc>
        <w:tc>
          <w:tcPr>
            <w:tcW w:w="280" w:type="dxa"/>
            <w:vAlign w:val="bottom"/>
            <w:shd w:val="clear" w:color="auto" w:fill="CFF0FC"/>
          </w:tcPr>
          <w:p>
            <w:pPr>
              <w:spacing w:after="0"/>
              <w:rPr>
                <w:sz w:val="17"/>
                <w:szCs w:val="17"/>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8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1,405</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639</w:t>
            </w:r>
          </w:p>
        </w:tc>
        <w:tc>
          <w:tcPr>
            <w:tcW w:w="280" w:type="dxa"/>
            <w:vAlign w:val="bottom"/>
          </w:tcPr>
          <w:p>
            <w:pPr>
              <w:spacing w:after="0"/>
              <w:rPr>
                <w:sz w:val="17"/>
                <w:szCs w:val="17"/>
                <w:color w:val="auto"/>
              </w:rPr>
            </w:pPr>
          </w:p>
        </w:tc>
      </w:tr>
      <w:tr>
        <w:trPr>
          <w:trHeight w:val="236"/>
        </w:trPr>
        <w:tc>
          <w:tcPr>
            <w:tcW w:w="37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28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79"/>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5,616</w:t>
            </w:r>
          </w:p>
        </w:tc>
        <w:tc>
          <w:tcPr>
            <w:tcW w:w="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gridSpan w:val="2"/>
            <w:shd w:val="clear" w:color="auto" w:fill="CFF0FC"/>
          </w:tcPr>
          <w:p>
            <w:pPr>
              <w:jc w:val="right"/>
              <w:ind w:right="76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2,962</w:t>
            </w:r>
          </w:p>
        </w:tc>
        <w:tc>
          <w:tcPr>
            <w:tcW w:w="280" w:type="dxa"/>
            <w:vAlign w:val="bottom"/>
            <w:tcBorders>
              <w:bottom w:val="single" w:sz="8" w:color="CFF0FC"/>
            </w:tcBorders>
            <w:shd w:val="clear" w:color="auto" w:fill="CFF0FC"/>
          </w:tcPr>
          <w:p>
            <w:pPr>
              <w:spacing w:after="0"/>
              <w:rPr>
                <w:sz w:val="20"/>
                <w:szCs w:val="20"/>
                <w:color w:val="auto"/>
              </w:rPr>
            </w:pPr>
          </w:p>
        </w:tc>
      </w:tr>
      <w:tr>
        <w:trPr>
          <w:trHeight w:val="588"/>
        </w:trPr>
        <w:tc>
          <w:tcPr>
            <w:tcW w:w="3760" w:type="dxa"/>
            <w:vAlign w:val="bottom"/>
          </w:tcPr>
          <w:p>
            <w:pPr>
              <w:spacing w:after="0"/>
              <w:rPr>
                <w:sz w:val="24"/>
                <w:szCs w:val="24"/>
                <w:color w:val="auto"/>
              </w:rPr>
            </w:pP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16</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01"/>
        </w:trPr>
        <w:tc>
          <w:tcPr>
            <w:tcW w:w="3760" w:type="dxa"/>
            <w:vAlign w:val="bottom"/>
            <w:tcBorders>
              <w:bottom w:val="single" w:sz="8" w:color="9A9A9A"/>
            </w:tcBorders>
          </w:tcPr>
          <w:p>
            <w:pPr>
              <w:spacing w:after="0"/>
              <w:rPr>
                <w:sz w:val="8"/>
                <w:szCs w:val="8"/>
                <w:color w:val="auto"/>
              </w:rPr>
            </w:pPr>
          </w:p>
        </w:tc>
        <w:tc>
          <w:tcPr>
            <w:tcW w:w="28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-488315</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-471170</wp:posOffset>
            </wp:positionV>
            <wp:extent cx="431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-488315</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-471170</wp:posOffset>
            </wp:positionV>
            <wp:extent cx="431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11. Provision for Income Taxes</w:t>
      </w:r>
    </w:p>
    <w:p>
      <w:pPr>
        <w:spacing w:after="0" w:line="9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59"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The Company recorded consolidated provision for income taxes of $48.4 million and $66.5 million for the first quarters of 2022 and 2021, respectively, or 24% of earnings before income taxes for the first quarter of 2022, compared to 25% of earnings before income taxes for the first quarter of 2021. The decrease in the effective tax rate for the first quarter of 2022, relative to 2021, was primarily attributable to international restructuring.</w:t>
      </w:r>
    </w:p>
    <w:p>
      <w:pPr>
        <w:spacing w:after="0" w:line="147"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The Company is not currently under examination by any major income tax jurisdiction. During 2022, the statutes of limitations will lapse on the Company's 2018 federal tax year and certain 2017 and 2018 state tax years. The Company does not believe the federal or state statute lapses or any other event will significantly impact the balance of unrecognized tax benefits in the next twelve months. The net balance of unrecognized tax benefits was not material to the interim financial statements for the first quarters of 2022 and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basic and diluted income per share for the first quarters of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w w:val="95"/>
              </w:rPr>
              <w:t>Three Months Ended March 31,</w:t>
            </w: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78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6780" w:type="dxa"/>
            <w:vAlign w:val="bottom"/>
          </w:tcPr>
          <w:p>
            <w:pPr>
              <w:spacing w:after="0"/>
              <w:rPr>
                <w:sz w:val="17"/>
                <w:szCs w:val="17"/>
                <w:color w:val="auto"/>
              </w:rPr>
            </w:pPr>
          </w:p>
        </w:tc>
        <w:tc>
          <w:tcPr>
            <w:tcW w:w="3660" w:type="dxa"/>
            <w:vAlign w:val="bottom"/>
            <w:gridSpan w:val="5"/>
          </w:tcPr>
          <w:p>
            <w:pPr>
              <w:jc w:val="right"/>
              <w:ind w:right="250"/>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attributable to Fulgent</w:t>
            </w:r>
          </w:p>
        </w:tc>
        <w:tc>
          <w:tcPr>
            <w:tcW w:w="1180" w:type="dxa"/>
            <w:vAlign w:val="bottom"/>
            <w:shd w:val="clear" w:color="auto" w:fill="CFF0FC"/>
          </w:tcPr>
          <w:p>
            <w:pPr>
              <w:jc w:val="right"/>
              <w:ind w:right="997"/>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153,979</w:t>
            </w:r>
          </w:p>
        </w:tc>
        <w:tc>
          <w:tcPr>
            <w:tcW w:w="1600" w:type="dxa"/>
            <w:vAlign w:val="bottom"/>
            <w:gridSpan w:val="3"/>
            <w:shd w:val="clear" w:color="auto" w:fill="CFF0FC"/>
          </w:tcPr>
          <w:p>
            <w:pPr>
              <w:jc w:val="right"/>
              <w:ind w:right="113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200,691</w:t>
            </w:r>
          </w:p>
        </w:tc>
        <w:tc>
          <w:tcPr>
            <w:tcW w:w="60" w:type="dxa"/>
            <w:vAlign w:val="bottom"/>
            <w:shd w:val="clear" w:color="auto" w:fill="CFF0FC"/>
          </w:tcPr>
          <w:p>
            <w:pPr>
              <w:spacing w:after="0"/>
              <w:rPr>
                <w:sz w:val="21"/>
                <w:szCs w:val="21"/>
                <w:color w:val="auto"/>
              </w:rPr>
            </w:pPr>
          </w:p>
        </w:tc>
      </w:tr>
      <w:tr>
        <w:trPr>
          <w:trHeight w:val="183"/>
        </w:trPr>
        <w:tc>
          <w:tcPr>
            <w:tcW w:w="67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Weighted-average common shares—outstanding, basic</w:t>
            </w:r>
          </w:p>
        </w:tc>
        <w:tc>
          <w:tcPr>
            <w:tcW w:w="1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30,234</w:t>
            </w:r>
          </w:p>
        </w:tc>
        <w:tc>
          <w:tcPr>
            <w:tcW w:w="6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3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28,831</w:t>
            </w:r>
          </w:p>
        </w:tc>
        <w:tc>
          <w:tcPr>
            <w:tcW w:w="60" w:type="dxa"/>
            <w:vAlign w:val="bottom"/>
            <w:tcBorders>
              <w:top w:val="single" w:sz="8" w:color="CFF0FC"/>
            </w:tcBorders>
          </w:tcPr>
          <w:p>
            <w:pPr>
              <w:spacing w:after="0"/>
              <w:rPr>
                <w:sz w:val="15"/>
                <w:szCs w:val="15"/>
                <w:color w:val="auto"/>
              </w:rPr>
            </w:pPr>
          </w:p>
        </w:tc>
      </w:tr>
      <w:tr>
        <w:trPr>
          <w:trHeight w:val="20"/>
        </w:trPr>
        <w:tc>
          <w:tcPr>
            <w:tcW w:w="6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7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Weighted-average common shares—outstanding, diluted</w:t>
            </w:r>
          </w:p>
        </w:tc>
        <w:tc>
          <w:tcPr>
            <w:tcW w:w="1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31,240</w:t>
            </w: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30,770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183"/>
        </w:trPr>
        <w:tc>
          <w:tcPr>
            <w:tcW w:w="6780" w:type="dxa"/>
            <w:vAlign w:val="bottom"/>
          </w:tcPr>
          <w:p>
            <w:pPr>
              <w:ind w:left="20"/>
              <w:spacing w:after="0" w:line="183" w:lineRule="exact"/>
              <w:rPr>
                <w:sz w:val="20"/>
                <w:szCs w:val="20"/>
                <w:color w:val="auto"/>
              </w:rPr>
            </w:pPr>
            <w:r>
              <w:rPr>
                <w:rFonts w:ascii="Arial" w:cs="Arial" w:eastAsia="Arial" w:hAnsi="Arial"/>
                <w:sz w:val="18"/>
                <w:szCs w:val="18"/>
                <w:color w:val="auto"/>
              </w:rPr>
              <w:t>Net income per common share, basic</w:t>
            </w:r>
          </w:p>
        </w:tc>
        <w:tc>
          <w:tcPr>
            <w:tcW w:w="1180" w:type="dxa"/>
            <w:vAlign w:val="bottom"/>
          </w:tcPr>
          <w:p>
            <w:pPr>
              <w:jc w:val="right"/>
              <w:ind w:right="997"/>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83" w:lineRule="exact"/>
              <w:rPr>
                <w:sz w:val="20"/>
                <w:szCs w:val="20"/>
                <w:color w:val="auto"/>
              </w:rPr>
            </w:pPr>
            <w:r>
              <w:rPr>
                <w:rFonts w:ascii="Arial" w:cs="Arial" w:eastAsia="Arial" w:hAnsi="Arial"/>
                <w:sz w:val="18"/>
                <w:szCs w:val="18"/>
                <w:color w:val="auto"/>
              </w:rPr>
              <w:t>5.09</w:t>
            </w:r>
          </w:p>
        </w:tc>
        <w:tc>
          <w:tcPr>
            <w:tcW w:w="1600" w:type="dxa"/>
            <w:vAlign w:val="bottom"/>
            <w:gridSpan w:val="3"/>
          </w:tcPr>
          <w:p>
            <w:pPr>
              <w:jc w:val="right"/>
              <w:ind w:right="1130"/>
              <w:spacing w:after="0" w:line="18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8"/>
                <w:szCs w:val="18"/>
                <w:color w:val="auto"/>
              </w:rPr>
              <w:t>6.96</w:t>
            </w:r>
          </w:p>
        </w:tc>
        <w:tc>
          <w:tcPr>
            <w:tcW w:w="60" w:type="dxa"/>
            <w:vAlign w:val="bottom"/>
          </w:tcPr>
          <w:p>
            <w:pPr>
              <w:spacing w:after="0"/>
              <w:rPr>
                <w:sz w:val="15"/>
                <w:szCs w:val="15"/>
                <w:color w:val="auto"/>
              </w:rPr>
            </w:pPr>
          </w:p>
        </w:tc>
      </w:tr>
      <w:tr>
        <w:trPr>
          <w:trHeight w:val="20"/>
        </w:trPr>
        <w:tc>
          <w:tcPr>
            <w:tcW w:w="6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7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income per common share, diluted</w:t>
            </w:r>
          </w:p>
        </w:tc>
        <w:tc>
          <w:tcPr>
            <w:tcW w:w="1180" w:type="dxa"/>
            <w:vAlign w:val="bottom"/>
            <w:tcBorders>
              <w:bottom w:val="single" w:sz="8" w:color="auto"/>
            </w:tcBorders>
            <w:shd w:val="clear" w:color="auto" w:fill="CFF0FC"/>
          </w:tcPr>
          <w:p>
            <w:pPr>
              <w:jc w:val="right"/>
              <w:ind w:right="997"/>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4.93</w:t>
            </w:r>
          </w:p>
        </w:tc>
        <w:tc>
          <w:tcPr>
            <w:tcW w:w="280" w:type="dxa"/>
            <w:vAlign w:val="bottom"/>
            <w:tcBorders>
              <w:bottom w:val="single" w:sz="8" w:color="CFF0FC"/>
            </w:tcBorders>
            <w:gridSpan w:val="2"/>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130"/>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6.52</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-642620</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-624840</wp:posOffset>
            </wp:positionV>
            <wp:extent cx="431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-642620</wp:posOffset>
            </wp:positionV>
            <wp:extent cx="431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-624840</wp:posOffset>
            </wp:positionV>
            <wp:extent cx="431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-334010</wp:posOffset>
            </wp:positionV>
            <wp:extent cx="431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-316230</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-334010</wp:posOffset>
            </wp:positionV>
            <wp:extent cx="431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-316230</wp:posOffset>
            </wp:positionV>
            <wp:extent cx="431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431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securities have been excluded from the calculation of diluted income per share because their effect would have been anti-dilutive:</w:t>
      </w:r>
    </w:p>
    <w:p>
      <w:pPr>
        <w:spacing w:after="0" w:line="226"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8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6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82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Options</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60" w:type="dxa"/>
            <w:vAlign w:val="bottom"/>
            <w:shd w:val="clear" w:color="auto" w:fill="CFF0FC"/>
          </w:tcPr>
          <w:p>
            <w:pPr>
              <w:ind w:left="12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600" w:type="dxa"/>
            <w:vAlign w:val="bottom"/>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ind w:left="1260"/>
              <w:spacing w:after="0"/>
              <w:rPr>
                <w:sz w:val="20"/>
                <w:szCs w:val="20"/>
                <w:color w:val="auto"/>
              </w:rPr>
            </w:pPr>
            <w:r>
              <w:rPr>
                <w:rFonts w:ascii="Arial" w:cs="Arial" w:eastAsia="Arial" w:hAnsi="Arial"/>
                <w:sz w:val="18"/>
                <w:szCs w:val="18"/>
                <w:color w:val="auto"/>
                <w:w w:val="89"/>
              </w:rPr>
              <w:t>37</w:t>
            </w:r>
          </w:p>
        </w:tc>
        <w:tc>
          <w:tcPr>
            <w:tcW w:w="60" w:type="dxa"/>
            <w:vAlign w:val="bottom"/>
          </w:tcPr>
          <w:p>
            <w:pPr>
              <w:spacing w:after="0"/>
              <w:rPr>
                <w:sz w:val="20"/>
                <w:szCs w:val="20"/>
                <w:color w:val="auto"/>
              </w:rPr>
            </w:pPr>
          </w:p>
        </w:tc>
      </w:tr>
    </w:tbl>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anti-dilutive shares described above were calculated using the treasury stock method.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Parties</w:t>
      </w:r>
    </w:p>
    <w:p>
      <w:pPr>
        <w:spacing w:after="0" w:line="108"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Linda Marsh, who is a member of the Company’s board of directors, is currently the Senior Executive Vice President of AHMC Healthcare Inc., or AHMC. The Company performs genetic testing and other testing services, on an arms-length basis, for AHMC, and the Company recognized $775,000 and $1.1 million in revenue from AHMC in the first quarters of 2022 and 2021, respectively. As of March 31, 2022 and December 31, 2021, $509,000 and $556,000, respectively, was owed to the Company by AHMC, which is included in trade accounts receivable, net, in the accompanying Condensed Consolidated Balance Sheets, in connection with this relationship.</w:t>
      </w:r>
    </w:p>
    <w:p>
      <w:pPr>
        <w:spacing w:after="0" w:line="18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Company and Fulgent Pharma LLC, the Company’s former subsidiary, are party to shared services arrangements where research and development, administrative services and office space and equipment are provided between the companies, on an arms-length basis. Ming Hsieh is the Manager and a member of Fulgent Pharma LLC. The cost of research and development services rendered by Fulgent Pharma LLC for the Company was not significant in the first quarter of 2022. During the first quarter of 2021, the cost of research and development services rendered by Fulgent Pharma LLC for the Company was $108,000. Amounts for services performed by the Company for Fulgent Pharma LLC were not significant during the first quarters of 2022 and 2021. As of March 31, 2022, and December 31, 2021, $689,000 and $679,000, respectively, were owed to Fulgent Pharma LLC by the Company, which are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included in in other current liabilities in the accompanying Condensed Consolidated Balance Sheets, in connection with these relationships.</w:t>
      </w:r>
    </w:p>
    <w:p>
      <w:pPr>
        <w:spacing w:after="0" w:line="212"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The Chief Executive Officer and Chairman of the Company’s board of directors, Ming Hsieh, is the owner of PTJ Associates Inc., or PTJ. PTJ provides flight services to the Company on an arms-length basis. During the first quarter of 2022, the Company incurred $136,000 in expenses for flights between California and Texas to transport employees and supplies. Such expenses were not significant in the first quarter of 2021. As of March 31, 2022 and December 31, 2021, no amount was owed to PTJ by the Company in connection with this relationship.</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Equity Distribution Agreement</w:t>
      </w:r>
    </w:p>
    <w:p>
      <w:pPr>
        <w:spacing w:after="0" w:line="108"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In November 2020, the Company entered into an Equity Distribution Agreement, or the November 2020 Equity Distribution Agreement, with Piper Sandler &amp; Co. (f/k/a Piper Jaffray &amp; Co.), or Piper, Oppenheimer &amp; Co. Inc., and BTIG LLC, as sales agents, pursuant to which the Company may offer and sell, from time to time through Piper, shares of its common stock having an aggregate offering price of up to $175.0 million. Piper may receive a commission of up to 3% of the gross proceeds received by the Company for sales pursuant to the November 2020 Equity Distribution Agreement. During the first quarter of 2021, the Company sold approximately 583,000 shares of its common stock pursuant to the November 2020 Equity Distribution Agreement at a weighted-average net selling price of $52.00, and no shares of common stock were sold during the first quarter of 2022.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Goodwill and Acquisition-Related Intangibles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Summaries of goodwill and intangibles balances assets as of March 31, 2022 and December 31, 2021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Weighted-Average Amortization Period</w:t>
            </w:r>
          </w:p>
        </w:tc>
        <w:tc>
          <w:tcPr>
            <w:tcW w:w="12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(in thousands)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40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Goodwill</w:t>
            </w:r>
          </w:p>
        </w:tc>
        <w:tc>
          <w:tcPr>
            <w:tcW w:w="36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037"/>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0"/>
              </w:rPr>
              <w:t>50,999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50,897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Royalty-free technology</w:t>
            </w:r>
          </w:p>
        </w:tc>
        <w:tc>
          <w:tcPr>
            <w:tcW w:w="3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5"/>
              </w:rPr>
              <w:t>10 Years</w:t>
            </w:r>
          </w:p>
        </w:tc>
        <w:tc>
          <w:tcPr>
            <w:tcW w:w="1220" w:type="dxa"/>
            <w:vAlign w:val="bottom"/>
            <w:shd w:val="clear" w:color="auto" w:fill="CFF0FC"/>
          </w:tcPr>
          <w:p>
            <w:pPr>
              <w:jc w:val="right"/>
              <w:ind w:right="1037"/>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5,828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3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(534 )</w:t>
            </w:r>
          </w:p>
        </w:tc>
        <w:tc>
          <w:tcPr>
            <w:tcW w:w="24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Royalty-free technology, net</w:t>
            </w:r>
          </w:p>
        </w:tc>
        <w:tc>
          <w:tcPr>
            <w:tcW w:w="368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5,294</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5,416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3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5"/>
              </w:rPr>
              <w:t>12 Years</w:t>
            </w:r>
          </w:p>
        </w:tc>
        <w:tc>
          <w:tcPr>
            <w:tcW w:w="12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0"/>
              </w:rPr>
              <w:t>28,850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3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3"/>
              </w:rPr>
              <w:t>(1,764 )</w:t>
            </w:r>
          </w:p>
        </w:tc>
        <w:tc>
          <w:tcPr>
            <w:tcW w:w="24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(1,125 )</w:t>
            </w: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Customer relationships, net</w:t>
            </w:r>
          </w:p>
        </w:tc>
        <w:tc>
          <w:tcPr>
            <w:tcW w:w="368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27,086</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27,720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w:t>
            </w:r>
          </w:p>
        </w:tc>
        <w:tc>
          <w:tcPr>
            <w:tcW w:w="3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5"/>
              </w:rPr>
              <w:t>10 Years</w:t>
            </w:r>
          </w:p>
        </w:tc>
        <w:tc>
          <w:tcPr>
            <w:tcW w:w="12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3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(73 )</w:t>
            </w:r>
          </w:p>
        </w:tc>
        <w:tc>
          <w:tcPr>
            <w:tcW w:w="24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Trade name, net</w:t>
            </w:r>
          </w:p>
        </w:tc>
        <w:tc>
          <w:tcPr>
            <w:tcW w:w="368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1,017</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Laboratory information system platform</w:t>
            </w:r>
          </w:p>
        </w:tc>
        <w:tc>
          <w:tcPr>
            <w:tcW w:w="3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6"/>
              </w:rPr>
              <w:t>5 Years</w:t>
            </w:r>
          </w:p>
        </w:tc>
        <w:tc>
          <w:tcPr>
            <w:tcW w:w="12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3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(248 )</w:t>
            </w:r>
          </w:p>
        </w:tc>
        <w:tc>
          <w:tcPr>
            <w:tcW w:w="24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Laboratory information system platform, net</w:t>
            </w:r>
          </w:p>
        </w:tc>
        <w:tc>
          <w:tcPr>
            <w:tcW w:w="368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1,612</w:t>
            </w: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Purchased patent</w:t>
            </w:r>
          </w:p>
        </w:tc>
        <w:tc>
          <w:tcPr>
            <w:tcW w:w="36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5"/>
              </w:rPr>
              <w:t>10 Years</w:t>
            </w:r>
          </w:p>
        </w:tc>
        <w:tc>
          <w:tcPr>
            <w:tcW w:w="12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3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(4 )</w:t>
            </w:r>
          </w:p>
        </w:tc>
        <w:tc>
          <w:tcPr>
            <w:tcW w:w="24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Purchased patent, net</w:t>
            </w:r>
          </w:p>
        </w:tc>
        <w:tc>
          <w:tcPr>
            <w:tcW w:w="368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top w:val="single" w:sz="8" w:color="auto"/>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line="182" w:lineRule="exact"/>
              <w:rPr>
                <w:sz w:val="20"/>
                <w:szCs w:val="20"/>
                <w:color w:val="auto"/>
              </w:rPr>
            </w:pPr>
            <w:r>
              <w:rPr>
                <w:rFonts w:ascii="Arial" w:cs="Arial" w:eastAsia="Arial" w:hAnsi="Arial"/>
                <w:sz w:val="18"/>
                <w:szCs w:val="18"/>
                <w:color w:val="auto"/>
              </w:rPr>
              <w:t>Total intangible assets, net</w:t>
            </w:r>
          </w:p>
        </w:tc>
        <w:tc>
          <w:tcPr>
            <w:tcW w:w="3680" w:type="dxa"/>
            <w:vAlign w:val="bottom"/>
          </w:tcPr>
          <w:p>
            <w:pPr>
              <w:spacing w:after="0"/>
              <w:rPr>
                <w:sz w:val="17"/>
                <w:szCs w:val="17"/>
                <w:color w:val="auto"/>
              </w:rPr>
            </w:pPr>
          </w:p>
        </w:tc>
        <w:tc>
          <w:tcPr>
            <w:tcW w:w="1220" w:type="dxa"/>
            <w:vAlign w:val="bottom"/>
            <w:tcBorders>
              <w:bottom w:val="single" w:sz="8" w:color="auto"/>
            </w:tcBorders>
          </w:tcPr>
          <w:p>
            <w:pPr>
              <w:jc w:val="right"/>
              <w:ind w:right="1037"/>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0"/>
              </w:rPr>
              <w:t>35,037</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35,914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680" w:type="dxa"/>
            <w:vAlign w:val="bottom"/>
            <w:vMerge w:val="restart"/>
          </w:tcPr>
          <w:p>
            <w:pPr>
              <w:jc w:val="right"/>
              <w:ind w:right="1873"/>
              <w:spacing w:after="0"/>
              <w:rPr>
                <w:sz w:val="20"/>
                <w:szCs w:val="20"/>
                <w:color w:val="auto"/>
              </w:rPr>
            </w:pPr>
            <w:r>
              <w:rPr>
                <w:rFonts w:ascii="Arial" w:cs="Arial" w:eastAsia="Arial" w:hAnsi="Arial"/>
                <w:sz w:val="18"/>
                <w:szCs w:val="18"/>
                <w:color w:val="auto"/>
              </w:rPr>
              <w:t>18</w:t>
            </w: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0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00" w:type="dxa"/>
            <w:vAlign w:val="bottom"/>
            <w:tcBorders>
              <w:bottom w:val="single" w:sz="8" w:color="9A9A9A"/>
            </w:tcBorders>
          </w:tcPr>
          <w:p>
            <w:pPr>
              <w:spacing w:after="0"/>
              <w:rPr>
                <w:sz w:val="7"/>
                <w:szCs w:val="7"/>
                <w:color w:val="auto"/>
              </w:rPr>
            </w:pPr>
          </w:p>
        </w:tc>
        <w:tc>
          <w:tcPr>
            <w:tcW w:w="36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-3274060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-3256915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-3274060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-3256915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-630555</wp:posOffset>
            </wp:positionV>
            <wp:extent cx="5143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220" w:firstLine="509"/>
        <w:spacing w:after="0" w:line="261" w:lineRule="auto"/>
        <w:rPr>
          <w:sz w:val="20"/>
          <w:szCs w:val="20"/>
          <w:color w:val="auto"/>
        </w:rPr>
      </w:pPr>
      <w:r>
        <w:rPr>
          <w:rFonts w:ascii="Arial" w:cs="Arial" w:eastAsia="Arial" w:hAnsi="Arial"/>
          <w:sz w:val="18"/>
          <w:szCs w:val="18"/>
          <w:color w:val="auto"/>
        </w:rPr>
        <w:t>Based on the carrying value of intangible assets recorded as of March 31, 2022, and assuming no subsequent impairment of the underlying assets, the annual amortization expense for intangible assets is expected to be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jc w:val="right"/>
              <w:ind w:right="1454"/>
              <w:spacing w:after="0"/>
              <w:rPr>
                <w:sz w:val="20"/>
                <w:szCs w:val="20"/>
                <w:color w:val="auto"/>
              </w:rPr>
            </w:pPr>
            <w:r>
              <w:rPr>
                <w:rFonts w:ascii="Arial" w:cs="Arial" w:eastAsia="Arial" w:hAnsi="Arial"/>
                <w:sz w:val="14"/>
                <w:szCs w:val="14"/>
                <w:b w:val="1"/>
                <w:bCs w:val="1"/>
                <w:color w:val="auto"/>
              </w:rPr>
              <w:t>Amounts</w:t>
            </w:r>
          </w:p>
        </w:tc>
        <w:tc>
          <w:tcPr>
            <w:tcW w:w="60" w:type="dxa"/>
            <w:vAlign w:val="bottom"/>
          </w:tcPr>
          <w:p>
            <w:pPr>
              <w:spacing w:after="0"/>
              <w:rPr>
                <w:sz w:val="16"/>
                <w:szCs w:val="16"/>
                <w:color w:val="auto"/>
              </w:rPr>
            </w:pPr>
          </w:p>
        </w:tc>
      </w:tr>
      <w:tr>
        <w:trPr>
          <w:trHeight w:val="169"/>
        </w:trPr>
        <w:tc>
          <w:tcPr>
            <w:tcW w:w="7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jc w:val="right"/>
              <w:ind w:right="1294"/>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CFF0FC"/>
          </w:tcPr>
          <w:p>
            <w:pPr>
              <w:spacing w:after="0"/>
              <w:rPr>
                <w:sz w:val="17"/>
                <w:szCs w:val="17"/>
                <w:color w:val="auto"/>
              </w:rPr>
            </w:pPr>
          </w:p>
        </w:tc>
        <w:tc>
          <w:tcPr>
            <w:tcW w:w="28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2022 (remaining 9 months)</w:t>
            </w:r>
          </w:p>
        </w:tc>
        <w:tc>
          <w:tcPr>
            <w:tcW w:w="740" w:type="dxa"/>
            <w:vAlign w:val="bottom"/>
          </w:tcPr>
          <w:p>
            <w:pPr>
              <w:spacing w:after="0"/>
              <w:rPr>
                <w:sz w:val="17"/>
                <w:szCs w:val="17"/>
                <w:color w:val="auto"/>
              </w:rPr>
            </w:pP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2,714</w:t>
            </w:r>
          </w:p>
        </w:tc>
        <w:tc>
          <w:tcPr>
            <w:tcW w:w="60" w:type="dxa"/>
            <w:vAlign w:val="bottom"/>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740" w:type="dxa"/>
            <w:vAlign w:val="bottom"/>
            <w:shd w:val="clear" w:color="auto" w:fill="CFF0FC"/>
          </w:tcPr>
          <w:p>
            <w:pPr>
              <w:spacing w:after="0"/>
              <w:rPr>
                <w:sz w:val="17"/>
                <w:szCs w:val="17"/>
                <w:color w:val="auto"/>
              </w:rPr>
            </w:pPr>
          </w:p>
        </w:tc>
        <w:tc>
          <w:tcPr>
            <w:tcW w:w="2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3,618</w:t>
            </w:r>
          </w:p>
        </w:tc>
        <w:tc>
          <w:tcPr>
            <w:tcW w:w="6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740" w:type="dxa"/>
            <w:vAlign w:val="bottom"/>
          </w:tcPr>
          <w:p>
            <w:pPr>
              <w:spacing w:after="0"/>
              <w:rPr>
                <w:sz w:val="17"/>
                <w:szCs w:val="17"/>
                <w:color w:val="auto"/>
              </w:rPr>
            </w:pP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3,618</w:t>
            </w:r>
          </w:p>
        </w:tc>
        <w:tc>
          <w:tcPr>
            <w:tcW w:w="60" w:type="dxa"/>
            <w:vAlign w:val="bottom"/>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740" w:type="dxa"/>
            <w:vAlign w:val="bottom"/>
            <w:shd w:val="clear" w:color="auto" w:fill="CFF0FC"/>
          </w:tcPr>
          <w:p>
            <w:pPr>
              <w:spacing w:after="0"/>
              <w:rPr>
                <w:sz w:val="17"/>
                <w:szCs w:val="17"/>
                <w:color w:val="auto"/>
              </w:rPr>
            </w:pPr>
          </w:p>
        </w:tc>
        <w:tc>
          <w:tcPr>
            <w:tcW w:w="2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3,618</w:t>
            </w:r>
          </w:p>
        </w:tc>
        <w:tc>
          <w:tcPr>
            <w:tcW w:w="6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740" w:type="dxa"/>
            <w:vAlign w:val="bottom"/>
          </w:tcPr>
          <w:p>
            <w:pPr>
              <w:spacing w:after="0"/>
              <w:rPr>
                <w:sz w:val="17"/>
                <w:szCs w:val="17"/>
                <w:color w:val="auto"/>
              </w:rPr>
            </w:pP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3,295</w:t>
            </w:r>
          </w:p>
        </w:tc>
        <w:tc>
          <w:tcPr>
            <w:tcW w:w="60" w:type="dxa"/>
            <w:vAlign w:val="bottom"/>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740" w:type="dxa"/>
            <w:vAlign w:val="bottom"/>
            <w:shd w:val="clear" w:color="auto" w:fill="CFF0FC"/>
          </w:tcPr>
          <w:p>
            <w:pPr>
              <w:spacing w:after="0"/>
              <w:rPr>
                <w:sz w:val="17"/>
                <w:szCs w:val="17"/>
                <w:color w:val="auto"/>
              </w:rPr>
            </w:pPr>
          </w:p>
        </w:tc>
        <w:tc>
          <w:tcPr>
            <w:tcW w:w="2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2,994</w:t>
            </w:r>
          </w:p>
        </w:tc>
        <w:tc>
          <w:tcPr>
            <w:tcW w:w="60" w:type="dxa"/>
            <w:vAlign w:val="bottom"/>
            <w:shd w:val="clear" w:color="auto" w:fill="CFF0FC"/>
          </w:tcPr>
          <w:p>
            <w:pPr>
              <w:spacing w:after="0"/>
              <w:rPr>
                <w:sz w:val="17"/>
                <w:szCs w:val="17"/>
                <w:color w:val="auto"/>
              </w:rPr>
            </w:pPr>
          </w:p>
        </w:tc>
      </w:tr>
      <w:tr>
        <w:trPr>
          <w:trHeight w:val="203"/>
        </w:trPr>
        <w:tc>
          <w:tcPr>
            <w:tcW w:w="75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15,180</w:t>
            </w:r>
          </w:p>
        </w:tc>
        <w:tc>
          <w:tcPr>
            <w:tcW w:w="60" w:type="dxa"/>
            <w:vAlign w:val="bottom"/>
          </w:tcPr>
          <w:p>
            <w:pPr>
              <w:spacing w:after="0"/>
              <w:rPr>
                <w:sz w:val="17"/>
                <w:szCs w:val="17"/>
                <w:color w:val="auto"/>
              </w:rPr>
            </w:pPr>
          </w:p>
        </w:tc>
      </w:tr>
      <w:tr>
        <w:trPr>
          <w:trHeight w:val="236"/>
        </w:trPr>
        <w:tc>
          <w:tcPr>
            <w:tcW w:w="756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FF0FC"/>
          </w:tcPr>
          <w:p>
            <w:pPr>
              <w:jc w:val="right"/>
              <w:ind w:right="550"/>
              <w:spacing w:after="0" w:line="182" w:lineRule="exact"/>
              <w:rPr>
                <w:sz w:val="20"/>
                <w:szCs w:val="20"/>
                <w:color w:val="auto"/>
              </w:rPr>
            </w:pPr>
            <w:r>
              <w:rPr>
                <w:rFonts w:ascii="Arial" w:cs="Arial" w:eastAsia="Arial" w:hAnsi="Arial"/>
                <w:sz w:val="18"/>
                <w:szCs w:val="18"/>
                <w:color w:val="auto"/>
                <w:w w:val="79"/>
              </w:rPr>
              <w:t>$</w:t>
            </w:r>
          </w:p>
        </w:tc>
        <w:tc>
          <w:tcPr>
            <w:tcW w:w="2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35,037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108" w:lineRule="exact"/>
        <w:rPr>
          <w:sz w:val="20"/>
          <w:szCs w:val="20"/>
          <w:color w:val="auto"/>
        </w:rPr>
      </w:pPr>
    </w:p>
    <w:p>
      <w:pPr>
        <w:ind w:right="40" w:firstLine="494"/>
        <w:spacing w:after="0" w:line="257" w:lineRule="auto"/>
        <w:rPr>
          <w:sz w:val="20"/>
          <w:szCs w:val="20"/>
          <w:color w:val="auto"/>
        </w:rPr>
      </w:pPr>
      <w:r>
        <w:rPr>
          <w:rFonts w:ascii="Arial" w:cs="Arial" w:eastAsia="Arial" w:hAnsi="Arial"/>
          <w:sz w:val="17"/>
          <w:szCs w:val="17"/>
          <w:color w:val="auto"/>
        </w:rPr>
        <w:t>In April 2022, the Company entered into an Agreement and Plan of Merger, or the Merger Agreement, pursuant to which the Company acquired Symphony Buyer, Inc., an indirect parent of Inform Diagnostics, Inc., or InformDx. InformDx is a leading national independent pathology laboratory based in Irving, Texas. The acquisition was completed on April 26, 2022. Under the terms of the Merger Agreement, the total purchase price payable to the securityholders of Symphony Buyer, Inc. was approximately $170 million, as adjusted for closing cash, closing indebtedness, closing working capital, closing transaction expenses and other transaction matters. With the addition of InformDx, the Company will extend its test menu into breast pathology, gastrointestinal pathology, dermatopathology, urologic pathology, neuropathology, and hematopathology.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Securities and Exchange Commission in preparing this discussion and analysis, we presume that readers have access to and have read the discussion and analysis of our financial condition and results of operations included in our annual report on Form 10-K for our fiscal year ended December 31, 2021 filed with the SEC on February 28, 2022, or the 2021 Annual Report. As used in this discussion and analysis and elsewhere in this report, unless the context otherwise requires, the terms “Fulgent,” the “Company,” “we,” “us” and “our” refer to Fulgent Genetics, Inc. and its consolidated subsidiaries.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04" w:lineRule="exact"/>
        <w:rPr>
          <w:sz w:val="20"/>
          <w:szCs w:val="20"/>
          <w:color w:val="auto"/>
        </w:rPr>
      </w:pPr>
    </w:p>
    <w:p>
      <w:pPr>
        <w:spacing w:after="0" w:line="267" w:lineRule="auto"/>
        <w:rPr>
          <w:sz w:val="20"/>
          <w:szCs w:val="20"/>
          <w:color w:val="auto"/>
        </w:rPr>
      </w:pPr>
      <w:r>
        <w:rPr>
          <w:rFonts w:ascii="Arial" w:cs="Arial" w:eastAsia="Arial" w:hAnsi="Arial"/>
          <w:sz w:val="16"/>
          <w:szCs w:val="16"/>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the 2021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are a technology company offering large-scale COVID-19 testing services, molecular diagnostic testing services and comprehensive genetic testing designed to provide physicians and patients with clinically actionable diagnostic information to improve the quality of patient care. A cornerstone of our business is our ability to provide expansive options and flexibility for all clients’ unique testing needs. To this end, we have developed a proprietary technology platform allowing us to offer a broad and flexible test menu and to continually expand and improve our proprietary genetic reference library, while maintaining accessible pricing, high accuracy and competitive turnaround times. Combining next generation sequencing, or NGS, with our technology platform, we perform full-gene sequencing with deletion/duplication analysis in single-gene tests; pre-established, multi-gene, disease-specific panels; and customized panels that can be tailored to meet specific customer needs.</w:t>
      </w:r>
    </w:p>
    <w:p>
      <w:pPr>
        <w:spacing w:after="0" w:line="18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technology platform, which integrates sophisticated data comparison and suppression algorithms, adaptive learning software, in comparison to our competitors advanced genetic diagnostics tools and integrated laboratory processes, allows us to offer a test menu with expansive genetic coverage. We believe the comprehensive data output and high detection rates of our tests, both made possible by this expansive genetic coverage, provide physicians with information they can readily incorporate into treatment decisions for their patients, which we refer to as clinical actionability. In addition, our technology platform facilitates our ability to perform customized genetic tests using our expansive library of genes, and we believe this flexibility increases the utility of the genetic data we produce. Further, our technology platform provides us with operating efficiencies that help lower our internal costs, which allows us to offer our tests at accessible price points. As a result, our efforts to build and continually enhance our technology platform allow us to deliver comprehensive, adaptable, clinically actionable and affordable genetic analysis while maintaining a low cost per billable test, enabling us to efficiently meet the needs of our growing base of customers.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2" w:name="page23"/>
    <w:bookmarkEnd w:id="22"/>
    <w:p>
      <w:pPr>
        <w:ind w:left="520"/>
        <w:spacing w:after="0"/>
        <w:rPr>
          <w:sz w:val="20"/>
          <w:szCs w:val="20"/>
          <w:color w:val="auto"/>
        </w:rPr>
      </w:pPr>
      <w:r>
        <w:rPr>
          <w:rFonts w:ascii="Arial" w:cs="Arial" w:eastAsia="Arial" w:hAnsi="Arial"/>
          <w:sz w:val="17"/>
          <w:szCs w:val="17"/>
          <w:color w:val="auto"/>
        </w:rPr>
        <w:t>We offer tests at competitive prices, averaging approximately $99 per billable test delivered in the first quarter of 2022, and at a low cost to us,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averaging approximately $24 per billable test delivered in the first quarter of 2022. We delivered over 3.2 million billable tests in the first quarter of 2022,</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compared to approximately 3.8 million billable tests delivered in the first quarter of 2021. We recorded revenue and net income of $320.3 million 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$154.0 million, respectively, in the first quarter of 2022, compared to revenue and net income of $359.4 million and $200.7 million, respectively, in the first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quarter of 2021. As of March 31, 2022, an aggregate of approximately 17.7 million billable tests have been delivered to approximately 1,900 customers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since launching our first commercial genetic tests in 2013. We have experienced compound quarterly growth of 51% in the number of billable tests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delivered in our last eight completed fiscal quarters. We achieved profitability in the first half of 2017, and in the second and the third quarter of 2019,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second, third and fourth quarters of 2020, each quarter of 2021, and the first quarter of 2022, but we have recorded losses in all other periods since our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inception.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COVID-19 Considerations</w:t>
      </w:r>
    </w:p>
    <w:p>
      <w:pPr>
        <w:spacing w:after="0" w:line="108" w:lineRule="exact"/>
        <w:rPr>
          <w:sz w:val="20"/>
          <w:szCs w:val="20"/>
          <w:color w:val="auto"/>
        </w:rPr>
      </w:pPr>
    </w:p>
    <w:p>
      <w:pPr>
        <w:ind w:firstLine="509"/>
        <w:spacing w:after="0" w:line="204" w:lineRule="exact"/>
        <w:rPr>
          <w:sz w:val="20"/>
          <w:szCs w:val="20"/>
          <w:color w:val="auto"/>
        </w:rPr>
      </w:pPr>
      <w:r>
        <w:rPr>
          <w:rFonts w:ascii="Arial" w:cs="Arial" w:eastAsia="Arial" w:hAnsi="Arial"/>
          <w:sz w:val="16"/>
          <w:szCs w:val="16"/>
          <w:color w:val="auto"/>
        </w:rPr>
        <w:t>During the first quarter of 2022, and for the entirety of the COVID-19 pandemic to such point, we continued to operate as an essential business in response to COVID-19. In the first quarter of 2022 and 2021, the COVID-19 pandemic did not have a negative impact on our consolidated operating results. Since the outbreak of the current COVID-19 pandemic there has been strong demand for accurate COVID-19 testing with rapid turn-around times as private businesses, municipalities and healthcare providers began to increasingly rely on diagnostic testing to continue operations and as a tool to aide containment efforts, and as result we have recognized significant revenue growth in connection with sales of our COVID-19 tests. The duration of the ongoing COVID-19 pandemic and continuing market for COVID-19 diagnostic tests remains subject to a number of uncertainties, including uncertainties regarding the effectiveness of disease containment efforts, speed and effectiveness of global COVID-19 vaccine distributions, newly emerging viral variants, continuing government actions in response to the pandemic and regulatory requirements or preferences that may emerge following the pandemic, a robust market for COVID-19 diagnostic testing persists to present day. The responses of the federal, international, state and regional governments to the pandemic, including any shelter in place orders and the allocation of healthcare resources to treating those infected with the virus, previously caused a significant decline in the number of our core genetic tests ordered and, if repeated, may again cause the volume of our core genetic tests to decline. Even after the COVID-19 outbreak has subsided, we may experience materially adverse impacts on our financial condition and results of operations. Our ability to continue to operate as currently planned, including our ability to continue to offer our COVID</w:t>
      </w:r>
      <w:r>
        <w:rPr>
          <w:rFonts w:ascii="MS PGothic" w:cs="MS PGothic" w:eastAsia="MS PGothic" w:hAnsi="MS PGothic"/>
          <w:sz w:val="16"/>
          <w:szCs w:val="16"/>
          <w:color w:val="auto"/>
        </w:rPr>
        <w:t>‑</w:t>
      </w:r>
      <w:r>
        <w:rPr>
          <w:rFonts w:ascii="Arial" w:cs="Arial" w:eastAsia="Arial" w:hAnsi="Arial"/>
          <w:sz w:val="16"/>
          <w:szCs w:val="16"/>
          <w:color w:val="auto"/>
        </w:rPr>
        <w:t>19 tests with accurate results and competitive turn-around times without any significant negative operational impact from the COVID-19 pandemic will depend in part on our, and any of our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and suppliers’ ability to protect our respective employees and supply chains. We have endeavored to follow the recommended actions of government and health authorities to protect our employees. We intend to continue to adhere to our employee safety measures to ensure that any disruptions to our operations remain minimal during the pandemic. However, the uncertainty resulting from the pandemic could result in an unforeseen disruption to our, or our third-party service providers’ and suppliers’, workforce and supply chain.</w:t>
      </w:r>
    </w:p>
    <w:p>
      <w:pPr>
        <w:spacing w:after="0" w:line="190" w:lineRule="exact"/>
        <w:rPr>
          <w:sz w:val="20"/>
          <w:szCs w:val="20"/>
          <w:color w:val="auto"/>
        </w:rPr>
      </w:pPr>
    </w:p>
    <w:p>
      <w:pPr>
        <w:ind w:right="220" w:firstLine="509"/>
        <w:spacing w:after="0" w:line="291" w:lineRule="auto"/>
        <w:rPr>
          <w:sz w:val="20"/>
          <w:szCs w:val="20"/>
          <w:color w:val="auto"/>
        </w:rPr>
      </w:pPr>
      <w:r>
        <w:rPr>
          <w:rFonts w:ascii="Arial" w:cs="Arial" w:eastAsia="Arial" w:hAnsi="Arial"/>
          <w:sz w:val="17"/>
          <w:szCs w:val="17"/>
          <w:color w:val="auto"/>
        </w:rPr>
        <w:t>The COVID-19 pandemic has not negatively impacted the Company’s liquidity position as of March 31, 2022. We have not incurred any material impairments of our assets or a significant change in the fair value of our assets due to the COVID-19 pandemic as of March 31, 2022.</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additional information on risk factors related to the COVID-19 pandemic or other risks that could impact our results, please refer to “Item 1A.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Part I of the 2021 Annual Report.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Risks and Uncertainties and Other Factors Affecting Our Performance</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business and prospects are exposed to numerous risks and uncertainties. For more information, see “Item 1A. Risk Factors” in Part I of the 2021 Annual Report. In addition, our performance in any period is affected by a number of other factors. See the description of some of the material factors affecting our performance in “Item 7. Management’s Discussion and Analysis of Financial Condition and Results of Operations” of the 2021 Annual Report.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table below summarizes our results of operations for the periods indicated. For a financial overview relating to our results of operations, including general descriptions of the make-up of material line items of our statement of income data, see “Item 7. Management’s Discussion and Analysis of Financial Condition and Results of Operations” of the 2021 Annual Report.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692"/>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Income Data:</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4760" w:type="dxa"/>
            <w:vAlign w:val="bottom"/>
            <w:gridSpan w:val="7"/>
          </w:tcPr>
          <w:p>
            <w:pPr>
              <w:jc w:val="right"/>
              <w:ind w:right="12"/>
              <w:spacing w:after="0"/>
              <w:rPr>
                <w:sz w:val="20"/>
                <w:szCs w:val="20"/>
                <w:color w:val="auto"/>
              </w:rPr>
            </w:pPr>
            <w:r>
              <w:rPr>
                <w:rFonts w:ascii="Arial" w:cs="Arial" w:eastAsia="Arial" w:hAnsi="Arial"/>
                <w:sz w:val="14"/>
                <w:szCs w:val="14"/>
                <w:b w:val="1"/>
                <w:bCs w:val="1"/>
                <w:color w:val="auto"/>
              </w:rPr>
              <w:t>(dollars and billable tests in thousands, except per billable test data)</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320,268</w:t>
            </w:r>
          </w:p>
        </w:tc>
        <w:tc>
          <w:tcPr>
            <w:tcW w:w="760" w:type="dxa"/>
            <w:vAlign w:val="bottom"/>
            <w:gridSpan w:val="2"/>
            <w:shd w:val="clear" w:color="auto" w:fill="CFF0FC"/>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359,429</w:t>
            </w:r>
          </w:p>
        </w:tc>
        <w:tc>
          <w:tcPr>
            <w:tcW w:w="4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(39,161 )</w:t>
            </w:r>
          </w:p>
        </w:tc>
        <w:tc>
          <w:tcPr>
            <w:tcW w:w="106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77,725</w:t>
            </w: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74,075</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3,650</w:t>
            </w:r>
          </w:p>
        </w:tc>
        <w:tc>
          <w:tcPr>
            <w:tcW w:w="106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242,543</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285,354</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(42,811 )</w:t>
            </w:r>
          </w:p>
        </w:tc>
        <w:tc>
          <w:tcPr>
            <w:tcW w:w="1060" w:type="dxa"/>
            <w:vAlign w:val="bottom"/>
            <w:tcBorders>
              <w:bottom w:val="single" w:sz="8" w:color="CFF0FC"/>
            </w:tcBorders>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5,989</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5,422</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567</w:t>
            </w:r>
          </w:p>
        </w:tc>
        <w:tc>
          <w:tcPr>
            <w:tcW w:w="106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7,940</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5,008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2,932</w:t>
            </w:r>
          </w:p>
        </w:tc>
        <w:tc>
          <w:tcPr>
            <w:tcW w:w="106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25,775</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8,002</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17,773</w:t>
            </w:r>
          </w:p>
        </w:tc>
        <w:tc>
          <w:tcPr>
            <w:tcW w:w="106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03"/>
        </w:trPr>
        <w:tc>
          <w:tcPr>
            <w:tcW w:w="506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906</w:t>
            </w:r>
          </w:p>
        </w:tc>
        <w:tc>
          <w:tcPr>
            <w:tcW w:w="1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906</w:t>
            </w:r>
          </w:p>
        </w:tc>
        <w:tc>
          <w:tcPr>
            <w:tcW w:w="106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40,610</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18,432</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22,178</w:t>
            </w:r>
          </w:p>
        </w:tc>
        <w:tc>
          <w:tcPr>
            <w:tcW w:w="1060" w:type="dxa"/>
            <w:vAlign w:val="bottom"/>
            <w:tcBorders>
              <w:bottom w:val="single" w:sz="8" w:color="CFF0FC"/>
            </w:tcBorders>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201,933</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266,922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(64,989 )</w:t>
            </w:r>
          </w:p>
        </w:tc>
        <w:tc>
          <w:tcPr>
            <w:tcW w:w="106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and other income, net</w:t>
            </w: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282</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(237 )</w:t>
            </w:r>
          </w:p>
        </w:tc>
        <w:tc>
          <w:tcPr>
            <w:tcW w:w="1060" w:type="dxa"/>
            <w:vAlign w:val="bottom"/>
            <w:tcBorders>
              <w:bottom w:val="single" w:sz="8" w:color="CFF0FC"/>
            </w:tcBorders>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line="196" w:lineRule="exact"/>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201,978</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267,204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(65,226 )</w:t>
            </w:r>
          </w:p>
        </w:tc>
        <w:tc>
          <w:tcPr>
            <w:tcW w:w="106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48,421</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66,513</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(18,092 )</w:t>
            </w:r>
          </w:p>
        </w:tc>
        <w:tc>
          <w:tcPr>
            <w:tcW w:w="1060" w:type="dxa"/>
            <w:vAlign w:val="bottom"/>
            <w:tcBorders>
              <w:bottom w:val="single" w:sz="8" w:color="CFF0FC"/>
            </w:tcBorders>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line="196" w:lineRule="exact"/>
              <w:rPr>
                <w:sz w:val="20"/>
                <w:szCs w:val="20"/>
                <w:color w:val="auto"/>
              </w:rPr>
            </w:pPr>
            <w:r>
              <w:rPr>
                <w:rFonts w:ascii="Arial" w:cs="Arial" w:eastAsia="Arial" w:hAnsi="Arial"/>
                <w:sz w:val="18"/>
                <w:szCs w:val="18"/>
                <w:color w:val="auto"/>
              </w:rPr>
              <w:t>Net income from consolidated operations</w:t>
            </w:r>
          </w:p>
        </w:tc>
        <w:tc>
          <w:tcPr>
            <w:tcW w:w="36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153,557</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200,691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(47,134 )</w:t>
            </w:r>
          </w:p>
        </w:tc>
        <w:tc>
          <w:tcPr>
            <w:tcW w:w="106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3"/>
        </w:trPr>
        <w:tc>
          <w:tcPr>
            <w:tcW w:w="50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attributable to noncontrolling interests</w:t>
            </w: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422</w:t>
            </w:r>
          </w:p>
        </w:tc>
        <w:tc>
          <w:tcPr>
            <w:tcW w:w="1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422</w:t>
            </w:r>
          </w:p>
        </w:tc>
        <w:tc>
          <w:tcPr>
            <w:tcW w:w="1060" w:type="dxa"/>
            <w:vAlign w:val="bottom"/>
            <w:tcBorders>
              <w:bottom w:val="single" w:sz="8" w:color="CFF0FC"/>
            </w:tcBorders>
            <w:gridSpan w:val="2"/>
            <w:shd w:val="clear" w:color="auto" w:fill="CFF0FC"/>
          </w:tcPr>
          <w:p>
            <w:pPr>
              <w:jc w:val="right"/>
              <w:ind w:right="24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060" w:type="dxa"/>
            <w:vAlign w:val="bottom"/>
          </w:tcPr>
          <w:p>
            <w:pPr>
              <w:ind w:left="20"/>
              <w:spacing w:after="0" w:line="182" w:lineRule="exact"/>
              <w:rPr>
                <w:sz w:val="20"/>
                <w:szCs w:val="20"/>
                <w:color w:val="auto"/>
              </w:rPr>
            </w:pPr>
            <w:r>
              <w:rPr>
                <w:rFonts w:ascii="Arial" w:cs="Arial" w:eastAsia="Arial" w:hAnsi="Arial"/>
                <w:sz w:val="18"/>
                <w:szCs w:val="18"/>
                <w:color w:val="auto"/>
              </w:rPr>
              <w:t>Net income attributable to Fulgent</w:t>
            </w: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153,979</w:t>
            </w:r>
          </w:p>
        </w:tc>
        <w:tc>
          <w:tcPr>
            <w:tcW w:w="760" w:type="dxa"/>
            <w:vAlign w:val="bottom"/>
            <w:gridSpan w:val="2"/>
          </w:tcPr>
          <w:p>
            <w:pPr>
              <w:jc w:val="right"/>
              <w:ind w:right="480"/>
              <w:spacing w:after="0" w:line="18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200,691</w:t>
            </w:r>
          </w:p>
        </w:tc>
        <w:tc>
          <w:tcPr>
            <w:tcW w:w="48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(46,712 )</w:t>
            </w:r>
          </w:p>
        </w:tc>
        <w:tc>
          <w:tcPr>
            <w:tcW w:w="1060" w:type="dxa"/>
            <w:vAlign w:val="bottom"/>
            <w:gridSpan w:val="2"/>
          </w:tcPr>
          <w:p>
            <w:pPr>
              <w:jc w:val="right"/>
              <w:ind w:right="8"/>
              <w:spacing w:after="0" w:line="18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Operating Data:</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Billable tests delivered</w:t>
            </w:r>
            <w:r>
              <w:rPr>
                <w:rFonts w:ascii="Arial" w:cs="Arial" w:eastAsia="Arial" w:hAnsi="Arial"/>
                <w:sz w:val="23"/>
                <w:szCs w:val="23"/>
                <w:color w:val="auto"/>
                <w:vertAlign w:val="superscript"/>
              </w:rPr>
              <w:t>(1)</w:t>
            </w: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3,224</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3,774</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(550 )</w:t>
            </w:r>
          </w:p>
        </w:tc>
        <w:tc>
          <w:tcPr>
            <w:tcW w:w="106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line="202" w:lineRule="exact"/>
              <w:rPr>
                <w:sz w:val="20"/>
                <w:szCs w:val="20"/>
                <w:color w:val="auto"/>
              </w:rPr>
            </w:pPr>
            <w:r>
              <w:rPr>
                <w:rFonts w:ascii="Arial" w:cs="Arial" w:eastAsia="Arial" w:hAnsi="Arial"/>
                <w:sz w:val="17"/>
                <w:szCs w:val="17"/>
                <w:color w:val="auto"/>
              </w:rPr>
              <w:t>Average price per billable test delivered</w:t>
            </w:r>
            <w:r>
              <w:rPr>
                <w:rFonts w:ascii="Arial" w:cs="Arial" w:eastAsia="Arial" w:hAnsi="Arial"/>
                <w:sz w:val="23"/>
                <w:szCs w:val="23"/>
                <w:color w:val="auto"/>
                <w:vertAlign w:val="superscript"/>
              </w:rPr>
              <w:t>(2)</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7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Cost per billable test delivered</w:t>
            </w:r>
            <w:r>
              <w:rPr>
                <w:rFonts w:ascii="Arial" w:cs="Arial" w:eastAsia="Arial" w:hAnsi="Arial"/>
                <w:sz w:val="23"/>
                <w:szCs w:val="23"/>
                <w:color w:val="auto"/>
                <w:vertAlign w:val="superscript"/>
              </w:rPr>
              <w:t>(3)</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760" w:type="dxa"/>
            <w:vAlign w:val="bottom"/>
            <w:gridSpan w:val="2"/>
            <w:shd w:val="clear" w:color="auto" w:fill="CFF0FC"/>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4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06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-2388235</wp:posOffset>
            </wp:positionV>
            <wp:extent cx="11112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-2388235</wp:posOffset>
            </wp:positionV>
            <wp:extent cx="11112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-2388235</wp:posOffset>
            </wp:positionV>
            <wp:extent cx="10287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-1599565</wp:posOffset>
            </wp:positionV>
            <wp:extent cx="11112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-1599565</wp:posOffset>
            </wp:positionV>
            <wp:extent cx="11112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-1599565</wp:posOffset>
            </wp:positionV>
            <wp:extent cx="10287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-1333500</wp:posOffset>
            </wp:positionV>
            <wp:extent cx="11112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-1333500</wp:posOffset>
            </wp:positionV>
            <wp:extent cx="11112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-1333500</wp:posOffset>
            </wp:positionV>
            <wp:extent cx="10287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-1068070</wp:posOffset>
            </wp:positionV>
            <wp:extent cx="11112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-1068070</wp:posOffset>
            </wp:positionV>
            <wp:extent cx="11112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-1068070</wp:posOffset>
            </wp:positionV>
            <wp:extent cx="10287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-802005</wp:posOffset>
            </wp:positionV>
            <wp:extent cx="11112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-802005</wp:posOffset>
            </wp:positionV>
            <wp:extent cx="11112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-802005</wp:posOffset>
            </wp:positionV>
            <wp:extent cx="10287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Percentage not meaningful.</w:t>
      </w:r>
    </w:p>
    <w:p>
      <w:pPr>
        <w:spacing w:after="0" w:line="104" w:lineRule="exact"/>
        <w:rPr>
          <w:sz w:val="20"/>
          <w:szCs w:val="20"/>
          <w:color w:val="auto"/>
        </w:rPr>
      </w:pPr>
    </w:p>
    <w:p>
      <w:pPr>
        <w:ind w:left="380" w:right="20" w:hanging="372"/>
        <w:spacing w:after="0" w:line="261" w:lineRule="auto"/>
        <w:tabs>
          <w:tab w:leader="none" w:pos="366"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determine the number of billable tests delivered in a period by counting the number of tests which are delivered to our customers and for which we bill our customers and recognize some amount of revenue in the period.</w:t>
      </w:r>
    </w:p>
    <w:p>
      <w:pPr>
        <w:spacing w:after="0" w:line="49" w:lineRule="exact"/>
        <w:rPr>
          <w:rFonts w:ascii="Arial" w:cs="Arial" w:eastAsia="Arial" w:hAnsi="Arial"/>
          <w:sz w:val="18"/>
          <w:szCs w:val="18"/>
          <w:color w:val="auto"/>
        </w:rPr>
      </w:pPr>
    </w:p>
    <w:p>
      <w:pPr>
        <w:ind w:left="380" w:right="60" w:hanging="372"/>
        <w:spacing w:after="0" w:line="235" w:lineRule="auto"/>
        <w:tabs>
          <w:tab w:leader="none" w:pos="366"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calculate the average price per billable test delivered by dividing the amount of revenue we recognized from the billable tests delivered in a period by the number of billable tests delivered in the same period.</w:t>
      </w:r>
    </w:p>
    <w:p>
      <w:pPr>
        <w:spacing w:after="0" w:line="53"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calculate cost per billable test delivered by dividing our cost of revenue in a period by the number of billable tests delivered in the same period.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Revenue decreased $39.2 million, or 11%, from $359.4 million in the first quarter of 2021 to $320.3 million in the first quarter of 2022. The decreases in revenue between periods were primarily due to decreases in the number of billable tests delivered, primarily related to decreased orders for our COVID-19 tests.</w:t>
      </w:r>
    </w:p>
    <w:p>
      <w:pPr>
        <w:spacing w:after="0" w:line="182"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average price of the billable tests we delivered increased from $95 in the first quarter of 2021 to $99 in the first quarter of 2022. The increase in the first quarter of 2022 was due to the mix of tests we delivered in 2022 and the mix of customers ordering tests in these periods, who may order tests at different rates depending on the arrangements we have negotiated with them.</w:t>
      </w:r>
    </w:p>
    <w:p>
      <w:pPr>
        <w:spacing w:after="0" w:line="182"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Revenue from non-U.S. sources increased $1.2 million, or 63%, from $1.9 million in the first quarter of 2021 to $3.1 million in the first quarter of 2022. The increase in revenue from non-U.S. sources between periods were primarily due to increased sales of our core genetic testing services to customers in China through FF Gene Biotech.</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number of billable tests we delivered decreased 550,000, from 3.8 million in the first quarter of 2021 to 3.2 million in the first quarter of 2022.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attributable to the decrease of COVID-19 tests.</w:t>
      </w:r>
    </w:p>
    <w:p>
      <w:pPr>
        <w:spacing w:after="0" w:line="196"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After aggregating customers that are under common control or affiliation, one customer contributed 27% and 25% of the Company’s revenue in the first quarters of 2022 and 2021,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Cost of revenue increased $3.7 million, or 5%, from $74.1 million in the first quarter of 2021 to $77.7 million in the first quarter of 2022. The increase was primarily due to increases of $7.1 million in consulting and outside labor costs for production, $4.2 million in personnel costs including equity-based compensation expense related to increased headcount and market price of the Company’s stock at grant dates, and $1.6 million in depreciation expenses related to medical lab equipment purchased, partially offset by decreases of $6.8 million in reagent and supply expenses related to decreased billable tests delivered, $1.7 million in software expense related to usage of COVID-19 testing software, and $850,000 in shipping and handling expense related to delivery of collection kits for of COVID-19 tests.</w:t>
      </w:r>
    </w:p>
    <w:p>
      <w:pPr>
        <w:spacing w:after="0" w:line="189"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Cost per billable test delivered increased $4, or 20%, from $20 in the first quarter of 2021 to $24 in the first quarter of 2022. The increase in cost per billable tests was primarily due to the mix of tests we delivered in 2022.</w:t>
      </w:r>
    </w:p>
    <w:p>
      <w:pPr>
        <w:spacing w:after="0" w:line="17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gross profit decreased $42.8 million, from $285.4 million in the first quarter of 2021 to $242.5 million in the first quarter of 2022. Our gross profit as a percentage of revenue, or gross margin, decreased from 79.4% to 75.7% between periods due to the decrease in revenue and increases in our cost per billable test and cost of revenue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0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Research and development expenses increased $567,000, or 10%, from $5.4 million in the first quarter of 2021 to $6.0 million in the first quarter of 2022. The increase was primarily due to increases of $1.3 million in personnel costs including equity-based compensation expense related to increased headcount and market price of the Company’s stock at grant dates, and partially offset by a decrease of $1.0 million in reagent and supply expenses related to decreased reagent usage for COVID-19 research.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Marketing</w:t>
      </w:r>
    </w:p>
    <w:p>
      <w:pPr>
        <w:spacing w:after="0" w:line="10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Selling and marketing expenses increased $2.9 million, or 59% from $5.0 million in the first quarter of 2021 to $7.9 million in the first quarter of 2022. The increase was primarily due to increases of $1.8 million in personnel costs including equity-based compensation expense related to increased commission expense and market price of the Company’s stock at grant dates and $839,000 in consulting and outside labor related to marketing projects in the current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0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General and administrative expenses increased $17.8 million, or 222% from $8.0 million in the first quarter of 2021 to $25.8 million in the first quarter of 2022. The increase was primarily due to increases of $10.5 million in additional provision for credit losses, $2.9 million in personnel costs including equity-based compensation expense related to increased headcount and market price of the Company’s stock at grant dates, $2.6 million in legal and professional fees primarily related to business acquisitions and general corporate matters, $965,000 in accounting fees related to financial statement and internal control audits, $401,000 in business insurance expenses, and $399,000 in consulting and outside labor costs.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108"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Amortization of intangible assets represents amortization expenses on the intangible assets arising from the business combinations and a patent purchased after the first quarter of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net</w:t>
      </w:r>
    </w:p>
    <w:p>
      <w:pPr>
        <w:spacing w:after="0" w:line="108"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Net interest (expense) income was $(50,000) and $230,000 in the first quarters of 2022 and 2021, respectively. This interest (expense) income related to interest earned on various investments in marketable securities including realized and holding gain (loss) on marketable equity securities, net of interest expenses incurred for our notes payable and margin loan.</w:t>
      </w:r>
    </w:p>
    <w:p>
      <w:pPr>
        <w:spacing w:after="0" w:line="18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Other income (expense) was not significant in the first quarters of 2022 and 2021, respectively. The primary components of other income (expense) were rental income net of rental expenses and foreign currency exchange gain (loss).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Provision for income taxes were $48.4 million and $66.5 million for the first quarters of 2022 and 2021, respectively. The effective tax rate was 24% and 25% for the first quarters of 2022 and 2021, respectively. The decrease in the effective tax rate for the first quarter of 2022, relative to 2021, was primarily attributable to international restructuring.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loss attributable to noncontrolling interest represents net loss of FF Gene Biotech attributable to the minority shareholders, Xilong Scientific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FJIP.</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Sources of Cash</w:t>
      </w:r>
    </w:p>
    <w:p>
      <w:pPr>
        <w:spacing w:after="0" w:line="108"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We had $1.1 billion and $935.5 million in cash, cash equivalents and marketable securities as of March 31, 2022 and December 31, 2021, respectively. Our marketable securities primarily consist of corporate bonds, municipal bonds, and U.S. government and U.S. agency debt securities as of March 31, 2022 and December 31, 2021.</w:t>
      </w:r>
    </w:p>
    <w:p>
      <w:pPr>
        <w:spacing w:after="0" w:line="182"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Our primary uses of cash are to fund our operations as we continue to invest in and seek to grow our business. Cash used to fund operating expenses is impacted by the timing of our expense payments, as reflected in the changes in our outstanding accounts payable and accrued expenses.</w:t>
      </w:r>
    </w:p>
    <w:p>
      <w:pPr>
        <w:spacing w:after="0" w:line="124"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On August 30, 2019, we entered into an Equity Distribution Agreement, or the 2019 Equity Distribution Agreement, with Piper, as sales agent, which was subsequently amended on August 4, 2020. Pursuant to the 2019 Equity Distribution Agreement, we offered and sold an aggregate of 104,000 shares of our common stock at a weighted-average net selling price of $9.37 per share, which resulted in $979,000 of net proceeds to the Company during the year ended December 31, 2019, and we sold an aggregate of 1.1 million shares of our common stock at a weighted-average net selling price of $38.50 per share, which resulted in $42.7 million of net proceeds to the Company during the year ended December 31, 2020. Shares sold under the 2019 Equity Distribution Agreement were offered and sold pursuant to the Company’s registration statement on Form S-3 (File No. 333-233227) filed with the SEC on August 12, 2019 and declared effective on August 23, 2019, and prospectus supplements and accompanying base prospectus filed with the SEC on August 30, 2019, May 6, 2020 and August 5, 2020.</w:t>
      </w:r>
    </w:p>
    <w:p>
      <w:pPr>
        <w:spacing w:after="0" w:line="181"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On November 13, 2019, we entered into a purchase agreement with Piper, as representative of the several underwriters, pursuant to which we sold 2.7 million shares of our common stock at a price of $10.52 per share, with a public offering price of $11.25 per share. We received net proceeds of approximately $27.6 million, after deducting underwriting discounts and commissions and offering expenses paid or payable by us of approximately $2.4 million. The shares issued and sold in the underwritten offering were sold pursuant to the Company’s registration statement on Form S-3 (File No. 333-233227), and a prospectus supplement and accompanying base prospectus filed with the SEC on November 13, 2019.</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6"/>
          <w:szCs w:val="16"/>
          <w:color w:val="auto"/>
        </w:rPr>
        <w:t>On September 25, 2020, we entered into an Equity Distribution Agreement, or the September 2020 Equity Distribution Agreement, with Piper 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sales agent, pursuant to which we offered and sold an aggregate of 2.8 million shares of our common stock at a weighted-average net selling price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$42.90 per share, which resulted in $122.1 million of net proceeds to the Company. Shares sold under the September 2020 Equity Distribution Agreement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were offered and sold pursuant to the Company’s registration statement on Form S-3 (File No. 333-239964) filed with the SEC on July 21, 2020, as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amended on August 5, 2020, and declared effective on August 12, 2020, and a prospectus supplement and accompanying base prospectus filed with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 on September 25, 2020.</w:t>
      </w:r>
    </w:p>
    <w:p>
      <w:pPr>
        <w:spacing w:after="0" w:line="19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On November 20, 2020, we entered into an Equity Distribution Agreement, or the November 2020 Equity Distribution Agreement, with Piper, Oppenheimer &amp; Co. Inc., and BTIG LLC, as sales agents, pursuant to which we may offer and sell, from time to time through Piper, shares of our common stock having an aggregate offering price of up to $175.0 million. Piper may receive a commission of up to 3% of the gross proceeds received by the Company for sales pursuant to the November 2020 Equity Distribution Agreement. During the year ended December 31, 2020, the Company sold an aggregate of 2.0 million shares of our common stock pursuant to the November 2020 Equity Distribution Agreement at a weighted-average net selling price of $48.70 per share, which resulted in $99.1 million of net proceeds to the Company. During the year ended December 31, 2021, we sold approximately 1.1 million shares of our common stock pursuant to the November 2020 Equity Distribution Agreement at a weighted-average net selling price of $64.83 per share, which resulted in $72.0 million of net proceeds to the Company. Shares sold under the November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November 20, 2020.</w:t>
      </w:r>
    </w:p>
    <w:p>
      <w:pPr>
        <w:spacing w:after="0" w:line="186"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We believe our existing cash, cash equivalent, short-term marketable securities, along with cash from operations, will be sufficient to meet our anticipated cash requirements for at least the next 12 months. Cash provided by operations has significantly contributed to our ability to meet our liquidity needs, including paying for capital expenditures, and we anticipate that cash from our operations will continue to play a meaningful role in our ability to meet our liquidity requirements and pursue our business plans and strategies during the next 12 months and in the longer term.</w:t>
      </w:r>
    </w:p>
    <w:p>
      <w:pPr>
        <w:spacing w:after="0" w:line="172" w:lineRule="exact"/>
        <w:rPr>
          <w:sz w:val="20"/>
          <w:szCs w:val="20"/>
          <w:color w:val="auto"/>
        </w:rPr>
      </w:pPr>
    </w:p>
    <w:p>
      <w:pPr>
        <w:ind w:right="160" w:firstLine="509"/>
        <w:spacing w:after="0" w:line="274" w:lineRule="auto"/>
        <w:rPr>
          <w:sz w:val="20"/>
          <w:szCs w:val="20"/>
          <w:color w:val="auto"/>
        </w:rPr>
      </w:pPr>
      <w:r>
        <w:rPr>
          <w:rFonts w:ascii="Arial" w:cs="Arial" w:eastAsia="Arial" w:hAnsi="Arial"/>
          <w:sz w:val="16"/>
          <w:szCs w:val="16"/>
          <w:color w:val="auto"/>
        </w:rPr>
        <w:t>However, our expectations regarding the cash that may be provided by our operations and our cash needs in future periods could turn out to be wrong. For instance, cash provided by our operations has in the past experienced fluctuations from period to period, which we expect may continue in the future. These fluctuations can occur because of a variety of factors, including, among others, factors relating to the ongoing COVID-19 pandemic, the amount and timing of sales of billable tests, the prices we charge for our tests due to changes in product mix, customer mix, general price degradation for tests, funding of government programs from which we receive government funding,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63"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For example, the COVID-19 pandemic caused extreme disruption and volatility in the global capital markets, which could reduce our ability to access capital.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Cash Flows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78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r>
      <w:tr>
        <w:trPr>
          <w:trHeight w:val="196"/>
        </w:trPr>
        <w:tc>
          <w:tcPr>
            <w:tcW w:w="6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180" w:type="dxa"/>
            <w:vAlign w:val="bottom"/>
            <w:shd w:val="clear" w:color="auto" w:fill="CFF0FC"/>
          </w:tcPr>
          <w:p>
            <w:pPr>
              <w:jc w:val="right"/>
              <w:ind w:right="995"/>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188,411</w:t>
            </w: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233,179</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180" w:type="dxa"/>
            <w:vAlign w:val="bottom"/>
          </w:tcPr>
          <w:p>
            <w:pPr>
              <w:jc w:val="right"/>
              <w:ind w:right="995"/>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340" w:type="dxa"/>
            <w:vAlign w:val="bottom"/>
          </w:tcPr>
          <w:p>
            <w:pPr>
              <w:spacing w:after="0"/>
              <w:rPr>
                <w:sz w:val="17"/>
                <w:szCs w:val="17"/>
                <w:color w:val="auto"/>
              </w:rPr>
            </w:pPr>
          </w:p>
        </w:tc>
        <w:tc>
          <w:tcPr>
            <w:tcW w:w="820" w:type="dxa"/>
            <w:vAlign w:val="bottom"/>
          </w:tcPr>
          <w:p>
            <w:pPr>
              <w:jc w:val="right"/>
              <w:ind w:right="6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(216,491 )</w:t>
            </w: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1180" w:type="dxa"/>
            <w:vAlign w:val="bottom"/>
            <w:shd w:val="clear" w:color="auto" w:fill="CFF0FC"/>
          </w:tcPr>
          <w:p>
            <w:pPr>
              <w:jc w:val="right"/>
              <w:ind w:right="995"/>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(934 )</w:t>
            </w:r>
          </w:p>
        </w:tc>
        <w:tc>
          <w:tcPr>
            <w:tcW w:w="820" w:type="dxa"/>
            <w:vAlign w:val="bottom"/>
            <w:shd w:val="clear" w:color="auto" w:fill="CFF0FC"/>
          </w:tcPr>
          <w:p>
            <w:pPr>
              <w:jc w:val="right"/>
              <w:ind w:right="6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47,347</w:t>
            </w:r>
          </w:p>
        </w:tc>
        <w:tc>
          <w:tcPr>
            <w:tcW w:w="100" w:type="dxa"/>
            <w:vAlign w:val="bottom"/>
            <w:shd w:val="clear" w:color="auto" w:fill="CFF0FC"/>
          </w:tcPr>
          <w:p>
            <w:pPr>
              <w:spacing w:after="0"/>
              <w:rPr>
                <w:sz w:val="17"/>
                <w:szCs w:val="17"/>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Cash provided by operating activities in the first quarter of 2022 was $188.4 million. The difference between net income and cash provided by operating activities for the period was primarily due to the effects of $11.6 million in provision for credit losses, $5.6 million in equity-based compensation expenses and $4.7 million in the depreciation and amortization. Cash provided by operating activities increased between periods primarily due to increases of $51.4 million in income tax payable and $2.1 million in accounts payable due to timing of payments and a decrease of $3.0 million in other current and long-term assets primarily related to reagents and supplies, partially offset by an increase of $32.9 million in trade receivable due to timing of collections and a decrease of $8.2 million in other current and non-current liabilities primarily due to the payments for bonus accruals.</w:t>
      </w:r>
    </w:p>
    <w:p>
      <w:pPr>
        <w:spacing w:after="0" w:line="162" w:lineRule="exact"/>
        <w:rPr>
          <w:sz w:val="20"/>
          <w:szCs w:val="20"/>
          <w:color w:val="auto"/>
        </w:rPr>
      </w:pPr>
    </w:p>
    <w:p>
      <w:pPr>
        <w:ind w:right="220" w:firstLine="509"/>
        <w:spacing w:after="0" w:line="272" w:lineRule="auto"/>
        <w:rPr>
          <w:sz w:val="20"/>
          <w:szCs w:val="20"/>
          <w:color w:val="auto"/>
        </w:rPr>
      </w:pPr>
      <w:r>
        <w:rPr>
          <w:rFonts w:ascii="Arial" w:cs="Arial" w:eastAsia="Arial" w:hAnsi="Arial"/>
          <w:sz w:val="16"/>
          <w:szCs w:val="16"/>
          <w:color w:val="auto"/>
        </w:rPr>
        <w:t>Cash provided by operating activities in the first quarter of 2021 was $233.2 million. The difference between net income and cash provided by operating activities for the period was primarily due to the effects of $3.0 million in equity-based compensation expenses and $1.9 million in the depreciation of assets. Cash provided by operating activities increased between periods primarily due to increases of $67.2 million in income tax payable due to a significant increase in income, $16.8 million in customer deposit due to payments received from customers in excess of their outstanding trade accounts receivable balances, and $3.9 million in other current liabilities related to increased payroll liabilities, partially offset by the negative impact of increases of $34.6 million in trade accounts receivable mainly due to timing of collections from customers and insurance companies and $9.1 million in other current and long-term assets related to additions in reagents and supplies, and decreases of $12.6 million in contract liabilities due to increased revenue recognized in the current period, and $6.3 million in accounts payable mainly due to timing of payments.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jc w:val="both"/>
        <w:ind w:right="680" w:firstLine="509"/>
        <w:spacing w:after="0" w:line="294" w:lineRule="auto"/>
        <w:rPr>
          <w:sz w:val="20"/>
          <w:szCs w:val="20"/>
          <w:color w:val="auto"/>
        </w:rPr>
      </w:pPr>
      <w:r>
        <w:rPr>
          <w:rFonts w:ascii="Arial" w:cs="Arial" w:eastAsia="Arial" w:hAnsi="Arial"/>
          <w:sz w:val="16"/>
          <w:szCs w:val="16"/>
          <w:color w:val="auto"/>
        </w:rPr>
        <w:t>Cash provided by investing activities in the first quarter of 2022 was $688,000, which primarily related to $133.4 million related to sales of marketable securities and $27.8 million related to maturities of marketable securities, partially offset by purchases of $130.1 million of marketable securities, $15.0 million investment in private equity securities, and $10.0 million contingent consideration payment related to acquisition of CSI.</w:t>
      </w:r>
    </w:p>
    <w:p>
      <w:pPr>
        <w:spacing w:after="0" w:line="147"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Cash used in investing activities in the first quarter of 2021 was $216.5 million, which primarily related to purchase of $219.5 million marketable securities, purchase of $11.5 million fixed assets consisting mainly of medical lab equipment, and partially offset by maturities of $14.5 million marketable securities.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Cash used in financing activities in the first quarter of 2022 was $934,000, which primarily related to $494,000 common stock withholding for employee tax obligations and $375,000 repayments of partial notes payable.</w:t>
      </w:r>
    </w:p>
    <w:p>
      <w:pPr>
        <w:spacing w:after="0" w:line="171"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Cash provided by the first quarter of 2021 was $47.3 million, which primarily represents net proceeds from sale of our common stock made pursuant to the November 2020 Equity Distribution Agreement.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08"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There have been no material changes to our critical accounting policies or estimates from the information provided in Item 7, “Management’s Discussion and Analysis of Financial Condition and Results of Operations”, included in the 2021 Annual Report.</w:t>
      </w:r>
    </w:p>
    <w:p>
      <w:pPr>
        <w:spacing w:after="0" w:line="275"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See Note 2, Summary of Significant Accounting Policies, to our condensed consolidated financial statements included in this report for information about recent accounting pronouncements.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jc w:val="center"/>
        <w:ind w:left="500"/>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We did not have during the periods presented, and do not currently have, any off-balance sheet arrangements,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required.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Chief Executive Officer and Chief Financial Officer, conducted an evaluation of the effectiveness of our disclosure controls and procedures as of March 31, 2022. Based on this evaluation, our Chief Executive Officer and Chief Financial Officer concluded that our disclosure controls and procedures were effective as of March 31, 2022.</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80" w:firstLine="509"/>
        <w:spacing w:after="0" w:line="291" w:lineRule="auto"/>
        <w:rPr>
          <w:sz w:val="20"/>
          <w:szCs w:val="20"/>
          <w:color w:val="auto"/>
        </w:rPr>
      </w:pPr>
      <w:r>
        <w:rPr>
          <w:rFonts w:ascii="Arial" w:cs="Arial" w:eastAsia="Arial" w:hAnsi="Arial"/>
          <w:sz w:val="17"/>
          <w:szCs w:val="17"/>
          <w:color w:val="auto"/>
        </w:rPr>
        <w:t>There have not been any changes in our internal control (as required by Rule 13a-15(b) under the Exchange Act) over the financial reporting during the first quarter of 2022 that have materially affected or are reasonably likely to materially affect our internal control over financial reporting.</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Inherent Limitations on Disclosure Controls and Procedures and Internal Control over Financial Reporting</w:t>
      </w:r>
    </w:p>
    <w:p>
      <w:pPr>
        <w:spacing w:after="0" w:line="108"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and our properties are not presently subject, to any legal proceedings that, in the opinion of management, would have a material effect on our business. Regardless of outcome, litigation can have an adverse impact on us due to defense and settlement costs, diversion of management resources, negative publicity and reputational harm, among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to the risk factors set forth in Part I, Item 1A of the 2021 Annual Report.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0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On October 4, 2016, we completed the IPO of our common stock, in which we issued and sold an aggregate of 4.8 million shares of common stock (including 630,000 shares issued and sold on October 7, 2016 pursuant to the underwriters’ exercise in full of their option to purchase additional shares) at a public offering price of $9.00 per share. We received net proceeds from the IPO of approximately $36.0 million, after deducting underwriting discounts and commissions and offering expenses paid or payable by us of approximately $4.4 million. The shares issued and sold in the IPO were registered under the Securities Act on a registration statement on Form S-1 (File No. 333-213469), as amended, and the final prospectus dated September 28, 2016 included in such registration statement, or the Prospectus.</w:t>
      </w:r>
    </w:p>
    <w:p>
      <w:pPr>
        <w:spacing w:after="0" w:line="18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To date, we have used $43.9 million of the net proceeds from sales of our common stock, of which, $4.5 million was used for contributions to FF Gene Biotech prior to the FF Gene Biotech Acquisition and $39.4 million was used to fund the Company’s operations. All other net proceeds from sales of our common stock are invested in investment-grade and interest-bearing securities, such as corporate bonds, municipal bonds, and U.S. government and U.S. agency debt securities. There has been no material change in the planned use of proceeds from the sales of our common stock from that described in the Prospectus.</w:t>
      </w:r>
    </w:p>
    <w:p>
      <w:pPr>
        <w:spacing w:after="0" w:line="189"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On August 30, 2019, we entered into the 2019 Equity Distribution Agreement with Piper as sales agent, which was amended on August 4, 2020. During the year ended December 31, 2019, we sold an aggregate of 104,000 shares of our common stock pursuant to the 2019 Equity Distribution Agreement at a weighted-average net selling price of $9.37 per share, which resulted in $979,000 of net proceeds to the Company. During the year ended December 31, 2020, we sold an aggregate of 1.1 million shares of our common stock pursuant to the 2019 Equity Distribution Agreement at a weighted-average net selling price of $38.50 per share, which resulted in $42.7 million of net proceeds to the Company. Shares sold under the Equity Distribution Agreement were offered and sold pursuant to our shelf registration statement on Form S-3 (File No. 333-233227) filed with the SEC on August 12, 2019 and declared effective on August 23, 2019, and prospectus supplements and accompanying base prospectus filed with the SEC on August 30, 2019, May 6, 2020 and August 5, 2020. There has been no material change in the planned use of proceeds as described in the prospectus supplements and accompanying base prospectus.</w:t>
      </w:r>
    </w:p>
    <w:p>
      <w:pPr>
        <w:spacing w:after="0" w:line="18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On November 13, 2019, we entered into a purchase agreement with Piper, as representative of the several underwriters, pursuant to which we sold 2.7 million shares of our common stock at a price of $10.52 per share, with a public offering price of $11.25 per share. We received net proceeds of approximately $27.6 million, after deducting underwriting discounts and commissions and offering expenses paid or payable by us of approximately $2.4 million. The shares issued and sold in the underwritten offering were registered under the Securities Act and sold pursuant to our shelf registration statement on Form S-3 (File No. 333-233227), and a prospectus supplement and accompanying base prospectus filed with the SEC on November 13, 2019. There has been no material change in the planned use of proceeds as described in the prospectus supplement and accompanying base prospectus.</w:t>
      </w:r>
    </w:p>
    <w:p>
      <w:pPr>
        <w:spacing w:after="0" w:line="16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On September 25, 2020, we entered into the September 2020 Equity Distribution Agreement, with Piper as sales agent, pursuant to which we sold 2.8 million shares of our common stock pursuant to the September 2020 Equity Distribution Agreement at a weighted-average net selling price of $42.90 per share during the year ended December 31, 2020, which resulted in $122.1 million of net proceeds to the Company. Piper may receive a commission of up to 3% of the gross proceeds received by the Company for sales pursuant to the September 2020 Equity Distribution Agreement. Shares sold under the September 2020 Equity Distribution Agreement were offered and sold pursuant to our registration statement on Form S-3 (File No. 333-239964) filed with the SEC on July 21, 2020, as amended on August 5, 2020, and declared effective on August 12, 2020, and a prospectus supplement and accompanying base prospectus filed with the SEC on September 25, 2020. There has been no material change in the planned use of proceeds as described in the prospectus supplement and accompanying base prospectus.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ind w:right="20" w:firstLine="509"/>
        <w:spacing w:after="0" w:line="270" w:lineRule="auto"/>
        <w:rPr>
          <w:sz w:val="20"/>
          <w:szCs w:val="20"/>
          <w:color w:val="auto"/>
        </w:rPr>
      </w:pPr>
      <w:r>
        <w:rPr>
          <w:rFonts w:ascii="Arial" w:cs="Arial" w:eastAsia="Arial" w:hAnsi="Arial"/>
          <w:sz w:val="16"/>
          <w:szCs w:val="16"/>
          <w:color w:val="auto"/>
        </w:rPr>
        <w:t>On November 20, 2020, we entered into the November 2020 Equity Distribution Agreement, with Piper, Oppenheimer &amp; Co. Inc., and BTIG LLC, as sales agents, pursuant to which we may offer and sell, from time to time through Piper, shares of our common stock having an aggregate offering price of up to $175.0 million. Piper may receive a commission of up to 3% of the gross proceeds received by the Company for sales pursuant to the November 2020 Equity Distribution Agreement. During the year ended December 31, 2020, the Company sold an aggregate of 2.0 million shares of our common stock pursuant to the November 2020 Equity Distribution Agreement at a weighted-average net selling price of $48.70 per share, which resulted in $99.1 million of net proceeds to the Company. During the year ended December 31, 2021, we sold approximately 1.1 million shares of our common stock pursuant to the November 2020 Equity Distribution Agreement at a weighted-average net selling price of $64.83 per share, which resulted in $72.0 million of net proceeds to the Company. Shares sold under the November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November 20, 2020. There has been no material change in the planned use of proceeds as described in the prospectus supplement and accompanying base prospectus.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jc w:val="both"/>
        <w:ind w:right="120" w:firstLine="509"/>
        <w:spacing w:after="0" w:line="270" w:lineRule="auto"/>
        <w:rPr>
          <w:sz w:val="20"/>
          <w:szCs w:val="20"/>
          <w:color w:val="auto"/>
        </w:rPr>
      </w:pPr>
      <w:r>
        <w:rPr>
          <w:rFonts w:ascii="Arial" w:cs="Arial" w:eastAsia="Arial" w:hAnsi="Arial"/>
          <w:sz w:val="17"/>
          <w:szCs w:val="17"/>
          <w:color w:val="auto"/>
        </w:rPr>
        <w:t>On May 3, 2022, the Board appointed Jian Xie, Chief Operating Officer of the Company, as the Company’s President, effective immediately. Mr. Xie will retain his role as Chief Operating Officer of the Company. Mr. Hsieh, the Company’s current President, Chief Executive Officer and Chair of the Board, will continue to serve as the Company’s Chief Executive Officer, Chair of the Board and principal executive officer.</w:t>
      </w:r>
    </w:p>
    <w:p>
      <w:pPr>
        <w:spacing w:after="0" w:line="16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Mr. Xie, a co-founder of Fulgent Genetics, Inc., has been Company’s Chief Operating Officer since April 2018. Prior to Mr. Xie’s service as our Chief Operating Officer, he served as our Vice President of Bioinformatics, a position he held since our inception. Prior to joining Fulgent, Mr. Xie served as the Senior Vice President of Cogent Inc., a publicly traded biometric identification service and product company from 1996 until 2011. As President and Chief Operating Officer of Fulgent, Mr. Xie is responsible for managing all global operations, product vision and product engineering. He is focused on unifying all departments to maximize efficiency, drive sustainable growth and inspire continuous innovation. He received his B.A. in Engineering from Chongqing University in 1987 and has both an M.S. in Industrial Engineering and an M.S. in Computer Science from the University of New South Wales in 1992.</w:t>
      </w:r>
    </w:p>
    <w:p>
      <w:pPr>
        <w:spacing w:after="0" w:line="191" w:lineRule="exact"/>
        <w:rPr>
          <w:sz w:val="20"/>
          <w:szCs w:val="20"/>
          <w:color w:val="auto"/>
        </w:rPr>
      </w:pPr>
    </w:p>
    <w:p>
      <w:pPr>
        <w:jc w:val="both"/>
        <w:ind w:right="40" w:firstLine="509"/>
        <w:spacing w:after="0" w:line="271" w:lineRule="auto"/>
        <w:rPr>
          <w:sz w:val="20"/>
          <w:szCs w:val="20"/>
          <w:color w:val="auto"/>
        </w:rPr>
      </w:pPr>
      <w:r>
        <w:rPr>
          <w:rFonts w:ascii="Arial" w:cs="Arial" w:eastAsia="Arial" w:hAnsi="Arial"/>
          <w:sz w:val="16"/>
          <w:szCs w:val="16"/>
          <w:color w:val="auto"/>
        </w:rPr>
        <w:t>Mr. Xie is not a party to any arrangement or understanding with any person pursuant to which he was appointed as President and is not party to any material plan, contract, or arrangement with the Company other than those related to his compensation as described in the Company’s Proxy Statement on Schedule 14A as filed with the U.S. Securities and Exchange Commission on March 29, 2022 (and such description is incorporated herein by reference).</w:t>
      </w:r>
    </w:p>
    <w:p>
      <w:pPr>
        <w:ind w:right="120"/>
        <w:spacing w:after="0" w:line="239" w:lineRule="auto"/>
        <w:rPr>
          <w:sz w:val="20"/>
          <w:szCs w:val="20"/>
          <w:color w:val="auto"/>
        </w:rPr>
      </w:pPr>
      <w:r>
        <w:rPr>
          <w:rFonts w:ascii="Arial" w:cs="Arial" w:eastAsia="Arial" w:hAnsi="Arial"/>
          <w:sz w:val="18"/>
          <w:szCs w:val="18"/>
          <w:color w:val="auto"/>
        </w:rPr>
        <w:t>Mr. Xie is also not a party to any transaction required to be disclosed under Item 404(a) of Regulation S-K involving the Company. With the exception of Mr. Xie’s familial relationship with Mr. Hsieh (Mr. Xie is Mr. Hsieh’s brother), there are no family relationships between Mr. Xie and any of the Company’s other directors or executive officers.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right="760" w:firstLine="509"/>
        <w:spacing w:after="0" w:line="261" w:lineRule="auto"/>
        <w:rPr>
          <w:sz w:val="20"/>
          <w:szCs w:val="20"/>
          <w:color w:val="auto"/>
        </w:rPr>
      </w:pPr>
      <w:r>
        <w:rPr>
          <w:rFonts w:ascii="Arial" w:cs="Arial" w:eastAsia="Arial" w:hAnsi="Arial"/>
          <w:sz w:val="18"/>
          <w:szCs w:val="18"/>
          <w:color w:val="auto"/>
        </w:rPr>
        <w:t>The information required by this Item 6 is set forth on the Exhibit Index that immediately precedes the signature page to this report and is incorporated herein by reference.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31" w:name="page32"/>
    <w:bookmarkEnd w:id="31"/>
    <w:tbl>
      <w:tblPr>
        <w:tblLayout w:type="fixed"/>
        <w:tblInd w:w="12"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gridSpan w:val="11"/>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542"/>
        </w:trPr>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60" w:type="dxa"/>
            <w:vAlign w:val="bottom"/>
            <w:gridSpan w:val="15"/>
          </w:tcPr>
          <w:p>
            <w:pPr>
              <w:ind w:left="1220"/>
              <w:spacing w:after="0"/>
              <w:rPr>
                <w:sz w:val="20"/>
                <w:szCs w:val="20"/>
                <w:color w:val="auto"/>
              </w:rPr>
            </w:pPr>
            <w:r>
              <w:rPr>
                <w:rFonts w:ascii="Arial" w:cs="Arial" w:eastAsia="Arial" w:hAnsi="Arial"/>
                <w:sz w:val="14"/>
                <w:szCs w:val="14"/>
                <w:b w:val="1"/>
                <w:bCs w:val="1"/>
                <w:color w:val="auto"/>
              </w:rPr>
              <w:t>Exhibit Title</w:t>
            </w:r>
          </w:p>
        </w:tc>
      </w:tr>
      <w:tr>
        <w:trPr>
          <w:trHeight w:val="471"/>
        </w:trPr>
        <w:tc>
          <w:tcPr>
            <w:tcW w:w="940" w:type="dxa"/>
            <w:vAlign w:val="bottom"/>
          </w:tcPr>
          <w:p>
            <w:pPr>
              <w:spacing w:after="0"/>
              <w:rPr>
                <w:sz w:val="20"/>
                <w:szCs w:val="20"/>
                <w:color w:val="auto"/>
              </w:rPr>
            </w:pPr>
            <w:r>
              <w:rPr>
                <w:rFonts w:ascii="Arial" w:cs="Arial" w:eastAsia="Arial" w:hAnsi="Arial"/>
                <w:sz w:val="14"/>
                <w:szCs w:val="14"/>
                <w:color w:val="auto"/>
              </w:rPr>
              <w:t>3.1</w:t>
            </w:r>
          </w:p>
        </w:tc>
        <w:tc>
          <w:tcPr>
            <w:tcW w:w="3780" w:type="dxa"/>
            <w:vAlign w:val="bottom"/>
            <w:tcBorders>
              <w:bottom w:val="single" w:sz="8" w:color="0000FF"/>
            </w:tcBorders>
            <w:gridSpan w:val="5"/>
          </w:tcPr>
          <w:p>
            <w:pPr>
              <w:spacing w:after="0"/>
              <w:rPr>
                <w:rFonts w:ascii="Arial" w:cs="Arial" w:eastAsia="Arial" w:hAnsi="Arial"/>
                <w:sz w:val="14"/>
                <w:szCs w:val="14"/>
                <w:color w:val="0000FF"/>
                <w:w w:val="93"/>
              </w:rPr>
            </w:pPr>
            <w:hyperlink r:id="rId246">
              <w:r>
                <w:rPr>
                  <w:rFonts w:ascii="Arial" w:cs="Arial" w:eastAsia="Arial" w:hAnsi="Arial"/>
                  <w:sz w:val="14"/>
                  <w:szCs w:val="14"/>
                  <w:color w:val="0000FF"/>
                  <w:w w:val="93"/>
                </w:rPr>
                <w:t>Certificate of Incorporation of the registrant, dated May 13, 2016.</w:t>
              </w:r>
            </w:hyperlink>
          </w:p>
        </w:tc>
        <w:tc>
          <w:tcPr>
            <w:tcW w:w="20" w:type="dxa"/>
            <w:vAlign w:val="bottom"/>
            <w:tcBorders>
              <w:bottom w:val="single" w:sz="8" w:color="0000EE"/>
            </w:tcBorders>
          </w:tcPr>
          <w:p>
            <w:pPr>
              <w:spacing w:after="0"/>
              <w:rPr>
                <w:sz w:val="24"/>
                <w:szCs w:val="24"/>
                <w:color w:val="auto"/>
              </w:rPr>
            </w:pPr>
          </w:p>
        </w:tc>
        <w:tc>
          <w:tcPr>
            <w:tcW w:w="2180" w:type="dxa"/>
            <w:vAlign w:val="bottom"/>
            <w:gridSpan w:val="12"/>
          </w:tcPr>
          <w:p>
            <w:pPr>
              <w:spacing w:after="0"/>
              <w:rPr>
                <w:sz w:val="24"/>
                <w:szCs w:val="24"/>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3.1.1</w:t>
            </w:r>
          </w:p>
        </w:tc>
        <w:tc>
          <w:tcPr>
            <w:tcW w:w="5560" w:type="dxa"/>
            <w:vAlign w:val="bottom"/>
            <w:tcBorders>
              <w:bottom w:val="single" w:sz="8" w:color="0000FF"/>
            </w:tcBorders>
            <w:gridSpan w:val="11"/>
          </w:tcPr>
          <w:p>
            <w:pPr>
              <w:spacing w:after="0"/>
              <w:rPr>
                <w:rFonts w:ascii="Arial" w:cs="Arial" w:eastAsia="Arial" w:hAnsi="Arial"/>
                <w:sz w:val="14"/>
                <w:szCs w:val="14"/>
                <w:color w:val="0000FF"/>
                <w:w w:val="94"/>
              </w:rPr>
            </w:pPr>
            <w:hyperlink r:id="rId247">
              <w:r>
                <w:rPr>
                  <w:rFonts w:ascii="Arial" w:cs="Arial" w:eastAsia="Arial" w:hAnsi="Arial"/>
                  <w:sz w:val="14"/>
                  <w:szCs w:val="14"/>
                  <w:color w:val="0000FF"/>
                  <w:w w:val="94"/>
                </w:rPr>
                <w:t>Certificate of Amendment to Certificate of Incorporation of the registrant, dated August 2, 2016.</w:t>
              </w:r>
            </w:hyperlink>
          </w:p>
        </w:tc>
        <w:tc>
          <w:tcPr>
            <w:tcW w:w="420" w:type="dxa"/>
            <w:vAlign w:val="bottom"/>
            <w:gridSpan w:val="7"/>
          </w:tcPr>
          <w:p>
            <w:pPr>
              <w:spacing w:after="0"/>
              <w:rPr>
                <w:sz w:val="24"/>
                <w:szCs w:val="24"/>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4"/>
                <w:szCs w:val="14"/>
                <w:color w:val="auto"/>
              </w:rPr>
              <w:t>3.1.2</w:t>
            </w:r>
          </w:p>
        </w:tc>
        <w:tc>
          <w:tcPr>
            <w:tcW w:w="5480" w:type="dxa"/>
            <w:vAlign w:val="bottom"/>
            <w:tcBorders>
              <w:bottom w:val="single" w:sz="8" w:color="0000FF"/>
            </w:tcBorders>
            <w:gridSpan w:val="9"/>
          </w:tcPr>
          <w:p>
            <w:pPr>
              <w:spacing w:after="0"/>
              <w:rPr>
                <w:rFonts w:ascii="Arial" w:cs="Arial" w:eastAsia="Arial" w:hAnsi="Arial"/>
                <w:sz w:val="14"/>
                <w:szCs w:val="14"/>
                <w:color w:val="0000FF"/>
                <w:w w:val="94"/>
              </w:rPr>
            </w:pPr>
            <w:hyperlink r:id="rId248">
              <w:r>
                <w:rPr>
                  <w:rFonts w:ascii="Arial" w:cs="Arial" w:eastAsia="Arial" w:hAnsi="Arial"/>
                  <w:sz w:val="14"/>
                  <w:szCs w:val="14"/>
                  <w:color w:val="0000FF"/>
                  <w:w w:val="94"/>
                </w:rPr>
                <w:t>Certificate of Amendment to Certificate of Incorporation of the registrant, dated May 17, 2017.</w:t>
              </w:r>
            </w:hyperlink>
          </w:p>
        </w:tc>
        <w:tc>
          <w:tcPr>
            <w:tcW w:w="500" w:type="dxa"/>
            <w:vAlign w:val="bottom"/>
            <w:gridSpan w:val="9"/>
          </w:tcPr>
          <w:p>
            <w:pPr>
              <w:spacing w:after="0"/>
              <w:rPr>
                <w:sz w:val="24"/>
                <w:szCs w:val="24"/>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3.2</w:t>
            </w:r>
          </w:p>
        </w:tc>
        <w:tc>
          <w:tcPr>
            <w:tcW w:w="5980" w:type="dxa"/>
            <w:vAlign w:val="bottom"/>
            <w:gridSpan w:val="18"/>
          </w:tcPr>
          <w:p>
            <w:pPr>
              <w:spacing w:after="0"/>
              <w:rPr>
                <w:rFonts w:ascii="Arial" w:cs="Arial" w:eastAsia="Arial" w:hAnsi="Arial"/>
                <w:sz w:val="14"/>
                <w:szCs w:val="14"/>
                <w:color w:val="0000FF"/>
              </w:rPr>
            </w:pPr>
            <w:hyperlink r:id="rId249">
              <w:r>
                <w:rPr>
                  <w:rFonts w:ascii="Arial" w:cs="Arial" w:eastAsia="Arial" w:hAnsi="Arial"/>
                  <w:sz w:val="14"/>
                  <w:szCs w:val="14"/>
                  <w:color w:val="0000FF"/>
                </w:rPr>
                <w:t>Bylaws of the registrant.</w:t>
              </w:r>
            </w:hyperlink>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4"/>
                <w:szCs w:val="14"/>
                <w:color w:val="auto"/>
              </w:rPr>
              <w:t>10.1^</w:t>
            </w:r>
          </w:p>
        </w:tc>
        <w:tc>
          <w:tcPr>
            <w:tcW w:w="5980" w:type="dxa"/>
            <w:vAlign w:val="bottom"/>
            <w:gridSpan w:val="18"/>
          </w:tcPr>
          <w:p>
            <w:pPr>
              <w:spacing w:after="0"/>
              <w:rPr>
                <w:rFonts w:ascii="Arial" w:cs="Arial" w:eastAsia="Arial" w:hAnsi="Arial"/>
                <w:sz w:val="14"/>
                <w:szCs w:val="14"/>
                <w:color w:val="0000FF"/>
              </w:rPr>
            </w:pPr>
            <w:hyperlink r:id="rId250">
              <w:r>
                <w:rPr>
                  <w:rFonts w:ascii="Arial" w:cs="Arial" w:eastAsia="Arial" w:hAnsi="Arial"/>
                  <w:sz w:val="14"/>
                  <w:szCs w:val="14"/>
                  <w:color w:val="0000FF"/>
                </w:rPr>
                <w:t>Fulgent Genetics, Inc. Incentive Compensation Recoupment Policy</w:t>
              </w:r>
            </w:hyperlink>
            <w:r>
              <w:rPr>
                <w:rFonts w:ascii="Arial" w:cs="Arial" w:eastAsia="Arial" w:hAnsi="Arial"/>
                <w:sz w:val="14"/>
                <w:szCs w:val="14"/>
                <w:color w:val="000000"/>
              </w:rPr>
              <w:t>.</w:t>
            </w: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4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10.2</w:t>
            </w:r>
          </w:p>
        </w:tc>
        <w:tc>
          <w:tcPr>
            <w:tcW w:w="5980" w:type="dxa"/>
            <w:vAlign w:val="bottom"/>
            <w:tcBorders>
              <w:bottom w:val="single" w:sz="8" w:color="0000FF"/>
            </w:tcBorders>
            <w:gridSpan w:val="18"/>
          </w:tcPr>
          <w:p>
            <w:pPr>
              <w:spacing w:after="0"/>
              <w:rPr>
                <w:rFonts w:ascii="Arial" w:cs="Arial" w:eastAsia="Arial" w:hAnsi="Arial"/>
                <w:sz w:val="14"/>
                <w:szCs w:val="14"/>
                <w:color w:val="0000FF"/>
                <w:w w:val="94"/>
              </w:rPr>
            </w:pPr>
            <w:hyperlink r:id="rId251">
              <w:r>
                <w:rPr>
                  <w:rFonts w:ascii="Arial" w:cs="Arial" w:eastAsia="Arial" w:hAnsi="Arial"/>
                  <w:sz w:val="14"/>
                  <w:szCs w:val="14"/>
                  <w:color w:val="0000FF"/>
                  <w:w w:val="94"/>
                </w:rPr>
                <w:t>Agreement and Plan of Merger by and among Fulgent Therapeutics LLC, solely for purpose of Section</w:t>
              </w:r>
            </w:hyperlink>
          </w:p>
        </w:tc>
      </w:tr>
      <w:tr>
        <w:trPr>
          <w:trHeight w:val="128"/>
        </w:trPr>
        <w:tc>
          <w:tcPr>
            <w:tcW w:w="940" w:type="dxa"/>
            <w:vAlign w:val="bottom"/>
          </w:tcPr>
          <w:p>
            <w:pPr>
              <w:spacing w:after="0"/>
              <w:rPr>
                <w:sz w:val="11"/>
                <w:szCs w:val="11"/>
                <w:color w:val="auto"/>
              </w:rPr>
            </w:pPr>
          </w:p>
        </w:tc>
        <w:tc>
          <w:tcPr>
            <w:tcW w:w="5980" w:type="dxa"/>
            <w:vAlign w:val="bottom"/>
            <w:gridSpan w:val="18"/>
          </w:tcPr>
          <w:p>
            <w:pPr>
              <w:spacing w:after="0" w:line="129" w:lineRule="exact"/>
              <w:rPr>
                <w:rFonts w:ascii="Arial" w:cs="Arial" w:eastAsia="Arial" w:hAnsi="Arial"/>
                <w:sz w:val="14"/>
                <w:szCs w:val="14"/>
                <w:color w:val="0000FF"/>
                <w:w w:val="95"/>
              </w:rPr>
            </w:pPr>
            <w:hyperlink r:id="rId251">
              <w:r>
                <w:rPr>
                  <w:rFonts w:ascii="Arial" w:cs="Arial" w:eastAsia="Arial" w:hAnsi="Arial"/>
                  <w:sz w:val="14"/>
                  <w:szCs w:val="14"/>
                  <w:color w:val="0000FF"/>
                  <w:w w:val="95"/>
                </w:rPr>
                <w:t>6.</w:t>
              </w:r>
              <w:r>
                <w:rPr>
                  <w:rFonts w:ascii="Arial" w:cs="Arial" w:eastAsia="Arial" w:hAnsi="Arial"/>
                  <w:sz w:val="14"/>
                  <w:szCs w:val="14"/>
                  <w:u w:val="single" w:color="auto"/>
                  <w:color w:val="0000FF"/>
                  <w:w w:val="95"/>
                </w:rPr>
                <w:t>20,</w:t>
              </w:r>
              <w:r>
                <w:rPr>
                  <w:rFonts w:ascii="Arial" w:cs="Arial" w:eastAsia="Arial" w:hAnsi="Arial"/>
                  <w:sz w:val="14"/>
                  <w:szCs w:val="14"/>
                  <w:color w:val="0000FF"/>
                  <w:w w:val="95"/>
                </w:rPr>
                <w:t xml:space="preserve"> Fulgent Genetics, Inc., Ducks Acquisition Sub, Inc., Symphony Buyer, Inc., solely in its capacity</w:t>
              </w:r>
            </w:hyperlink>
          </w:p>
        </w:tc>
      </w:tr>
      <w:tr>
        <w:trPr>
          <w:trHeight w:val="128"/>
        </w:trPr>
        <w:tc>
          <w:tcPr>
            <w:tcW w:w="940" w:type="dxa"/>
            <w:vAlign w:val="bottom"/>
          </w:tcPr>
          <w:p>
            <w:pPr>
              <w:spacing w:after="0"/>
              <w:rPr>
                <w:sz w:val="11"/>
                <w:szCs w:val="11"/>
                <w:color w:val="auto"/>
              </w:rPr>
            </w:pPr>
          </w:p>
        </w:tc>
        <w:tc>
          <w:tcPr>
            <w:tcW w:w="5960" w:type="dxa"/>
            <w:vAlign w:val="bottom"/>
            <w:tcBorders>
              <w:top w:val="single" w:sz="8" w:color="0000FF"/>
            </w:tcBorders>
            <w:gridSpan w:val="17"/>
          </w:tcPr>
          <w:p>
            <w:pPr>
              <w:spacing w:after="0" w:line="129" w:lineRule="exact"/>
              <w:rPr>
                <w:rFonts w:ascii="Arial" w:cs="Arial" w:eastAsia="Arial" w:hAnsi="Arial"/>
                <w:sz w:val="14"/>
                <w:szCs w:val="14"/>
                <w:color w:val="0000FF"/>
                <w:w w:val="93"/>
              </w:rPr>
            </w:pPr>
            <w:hyperlink r:id="rId251">
              <w:r>
                <w:rPr>
                  <w:rFonts w:ascii="Arial" w:cs="Arial" w:eastAsia="Arial" w:hAnsi="Arial"/>
                  <w:sz w:val="14"/>
                  <w:szCs w:val="14"/>
                  <w:color w:val="0000FF"/>
                  <w:w w:val="93"/>
                </w:rPr>
                <w:t>as the representative of Symphony’s securityholders, Avista Capital Partners IV GP, L.P. and solely for</w:t>
              </w:r>
            </w:hyperlink>
          </w:p>
        </w:tc>
        <w:tc>
          <w:tcPr>
            <w:tcW w:w="20" w:type="dxa"/>
            <w:vAlign w:val="bottom"/>
          </w:tcPr>
          <w:p>
            <w:pPr>
              <w:spacing w:after="0"/>
              <w:rPr>
                <w:sz w:val="11"/>
                <w:szCs w:val="11"/>
                <w:color w:val="auto"/>
              </w:rPr>
            </w:pPr>
          </w:p>
        </w:tc>
      </w:tr>
      <w:tr>
        <w:trPr>
          <w:trHeight w:val="129"/>
        </w:trPr>
        <w:tc>
          <w:tcPr>
            <w:tcW w:w="940" w:type="dxa"/>
            <w:vAlign w:val="bottom"/>
          </w:tcPr>
          <w:p>
            <w:pPr>
              <w:spacing w:after="0"/>
              <w:rPr>
                <w:sz w:val="11"/>
                <w:szCs w:val="11"/>
                <w:color w:val="auto"/>
              </w:rPr>
            </w:pPr>
          </w:p>
        </w:tc>
        <w:tc>
          <w:tcPr>
            <w:tcW w:w="5940" w:type="dxa"/>
            <w:vAlign w:val="bottom"/>
            <w:tcBorders>
              <w:top w:val="single" w:sz="8" w:color="0000FF"/>
            </w:tcBorders>
            <w:gridSpan w:val="16"/>
          </w:tcPr>
          <w:p>
            <w:pPr>
              <w:spacing w:after="0" w:line="129" w:lineRule="exact"/>
              <w:rPr>
                <w:rFonts w:ascii="Arial" w:cs="Arial" w:eastAsia="Arial" w:hAnsi="Arial"/>
                <w:sz w:val="14"/>
                <w:szCs w:val="14"/>
                <w:color w:val="0000FF"/>
                <w:w w:val="94"/>
              </w:rPr>
            </w:pPr>
            <w:hyperlink r:id="rId251">
              <w:r>
                <w:rPr>
                  <w:rFonts w:ascii="Arial" w:cs="Arial" w:eastAsia="Arial" w:hAnsi="Arial"/>
                  <w:sz w:val="14"/>
                  <w:szCs w:val="14"/>
                  <w:color w:val="0000FF"/>
                  <w:w w:val="94"/>
                </w:rPr>
                <w:t>purposes of Section 6.21, Article VIII and Section 10.14, those company stockholders set forth on the</w:t>
              </w:r>
            </w:hyperlink>
          </w:p>
        </w:tc>
        <w:tc>
          <w:tcPr>
            <w:tcW w:w="40" w:type="dxa"/>
            <w:vAlign w:val="bottom"/>
            <w:gridSpan w:val="2"/>
          </w:tcPr>
          <w:p>
            <w:pPr>
              <w:spacing w:after="0"/>
              <w:rPr>
                <w:sz w:val="11"/>
                <w:szCs w:val="11"/>
                <w:color w:val="auto"/>
              </w:rPr>
            </w:pPr>
          </w:p>
        </w:tc>
      </w:tr>
      <w:tr>
        <w:trPr>
          <w:trHeight w:val="128"/>
        </w:trPr>
        <w:tc>
          <w:tcPr>
            <w:tcW w:w="940" w:type="dxa"/>
            <w:vAlign w:val="bottom"/>
          </w:tcPr>
          <w:p>
            <w:pPr>
              <w:spacing w:after="0"/>
              <w:rPr>
                <w:sz w:val="11"/>
                <w:szCs w:val="11"/>
                <w:color w:val="auto"/>
              </w:rPr>
            </w:pPr>
          </w:p>
        </w:tc>
        <w:tc>
          <w:tcPr>
            <w:tcW w:w="588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251">
              <w:r>
                <w:rPr>
                  <w:rFonts w:ascii="Arial" w:cs="Arial" w:eastAsia="Arial" w:hAnsi="Arial"/>
                  <w:sz w:val="14"/>
                  <w:szCs w:val="14"/>
                  <w:color w:val="0000FF"/>
                </w:rPr>
                <w:t>signature page thereto, dated as of April 16, 2022</w:t>
              </w:r>
              <w:r>
                <w:rPr>
                  <w:rFonts w:ascii="Arial" w:cs="Arial" w:eastAsia="Arial" w:hAnsi="Arial"/>
                  <w:sz w:val="14"/>
                  <w:szCs w:val="14"/>
                  <w:color w:val="000000"/>
                </w:rPr>
                <w:t>.</w:t>
              </w:r>
            </w:hyperlink>
          </w:p>
        </w:tc>
        <w:tc>
          <w:tcPr>
            <w:tcW w:w="100" w:type="dxa"/>
            <w:vAlign w:val="bottom"/>
            <w:gridSpan w:val="3"/>
          </w:tcPr>
          <w:p>
            <w:pPr>
              <w:spacing w:after="0"/>
              <w:rPr>
                <w:sz w:val="11"/>
                <w:szCs w:val="1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40" w:type="dxa"/>
            <w:vAlign w:val="bottom"/>
            <w:tcBorders>
              <w:right w:val="single" w:sz="8" w:color="0000EE"/>
            </w:tcBorders>
            <w:gridSpan w:val="2"/>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4"/>
                <w:szCs w:val="14"/>
                <w:color w:val="auto"/>
              </w:rPr>
              <w:t>31.1</w:t>
            </w:r>
          </w:p>
        </w:tc>
        <w:tc>
          <w:tcPr>
            <w:tcW w:w="5980" w:type="dxa"/>
            <w:vAlign w:val="bottom"/>
            <w:gridSpan w:val="18"/>
          </w:tcPr>
          <w:p>
            <w:pPr>
              <w:spacing w:after="0"/>
              <w:rPr>
                <w:rFonts w:ascii="Arial" w:cs="Arial" w:eastAsia="Arial" w:hAnsi="Arial"/>
                <w:sz w:val="14"/>
                <w:szCs w:val="14"/>
                <w:color w:val="0000FF"/>
              </w:rPr>
            </w:pPr>
            <w:hyperlink w:anchor="page34">
              <w:r>
                <w:rPr>
                  <w:rFonts w:ascii="Arial" w:cs="Arial" w:eastAsia="Arial" w:hAnsi="Arial"/>
                  <w:sz w:val="14"/>
                  <w:szCs w:val="14"/>
                  <w:color w:val="0000FF"/>
                </w:rPr>
                <w:t>Certification of Principal Executive Officer pursuant to Rules 13a-14(a) and 15d-14(a) under the</w:t>
              </w:r>
            </w:hyperlink>
          </w:p>
        </w:tc>
      </w:tr>
      <w:tr>
        <w:trPr>
          <w:trHeight w:val="129"/>
        </w:trPr>
        <w:tc>
          <w:tcPr>
            <w:tcW w:w="940" w:type="dxa"/>
            <w:vAlign w:val="bottom"/>
          </w:tcPr>
          <w:p>
            <w:pPr>
              <w:spacing w:after="0"/>
              <w:rPr>
                <w:sz w:val="11"/>
                <w:szCs w:val="11"/>
                <w:color w:val="auto"/>
              </w:rPr>
            </w:pPr>
          </w:p>
        </w:tc>
        <w:tc>
          <w:tcPr>
            <w:tcW w:w="5580" w:type="dxa"/>
            <w:vAlign w:val="bottom"/>
            <w:tcBorders>
              <w:top w:val="single" w:sz="8" w:color="0000FF"/>
            </w:tcBorders>
            <w:gridSpan w:val="12"/>
          </w:tcPr>
          <w:p>
            <w:pPr>
              <w:spacing w:after="0" w:line="129" w:lineRule="exact"/>
              <w:rPr>
                <w:rFonts w:ascii="Arial" w:cs="Arial" w:eastAsia="Arial" w:hAnsi="Arial"/>
                <w:sz w:val="14"/>
                <w:szCs w:val="14"/>
                <w:color w:val="0000FF"/>
                <w:w w:val="92"/>
              </w:rPr>
            </w:pPr>
            <w:hyperlink w:anchor="page34">
              <w:r>
                <w:rPr>
                  <w:rFonts w:ascii="Arial" w:cs="Arial" w:eastAsia="Arial" w:hAnsi="Arial"/>
                  <w:sz w:val="14"/>
                  <w:szCs w:val="14"/>
                  <w:color w:val="0000FF"/>
                  <w:w w:val="92"/>
                </w:rPr>
                <w:t>Securities Exchange Act of 1934, as adopted pursuant to Section 302 of the Sarbanes-Oxley Act</w:t>
              </w:r>
            </w:hyperlink>
          </w:p>
        </w:tc>
        <w:tc>
          <w:tcPr>
            <w:tcW w:w="400" w:type="dxa"/>
            <w:vAlign w:val="bottom"/>
            <w:gridSpan w:val="6"/>
          </w:tcPr>
          <w:p>
            <w:pPr>
              <w:jc w:val="right"/>
              <w:ind w:right="280"/>
              <w:spacing w:after="0" w:line="129" w:lineRule="exact"/>
              <w:rPr>
                <w:rFonts w:ascii="Arial" w:cs="Arial" w:eastAsia="Arial" w:hAnsi="Arial"/>
                <w:sz w:val="14"/>
                <w:szCs w:val="14"/>
                <w:color w:val="0000FF"/>
                <w:w w:val="85"/>
              </w:rPr>
            </w:pPr>
            <w:hyperlink w:anchor="page34">
              <w:r>
                <w:rPr>
                  <w:rFonts w:ascii="Arial" w:cs="Arial" w:eastAsia="Arial" w:hAnsi="Arial"/>
                  <w:sz w:val="14"/>
                  <w:szCs w:val="14"/>
                  <w:color w:val="0000FF"/>
                  <w:w w:val="85"/>
                </w:rPr>
                <w:t>of</w:t>
              </w:r>
            </w:hyperlink>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5"/>
              </w:rPr>
            </w:pPr>
            <w:hyperlink w:anchor="page34">
              <w:r>
                <w:rPr>
                  <w:rFonts w:ascii="Arial" w:cs="Arial" w:eastAsia="Arial" w:hAnsi="Arial"/>
                  <w:sz w:val="14"/>
                  <w:szCs w:val="14"/>
                  <w:color w:val="0000FF"/>
                  <w:w w:val="85"/>
                </w:rPr>
                <w:t>2002.</w:t>
              </w:r>
            </w:hyperlink>
          </w:p>
        </w:tc>
        <w:tc>
          <w:tcPr>
            <w:tcW w:w="20" w:type="dxa"/>
            <w:vAlign w:val="bottom"/>
            <w:tcBorders>
              <w:top w:val="single" w:sz="8" w:color="0000FF"/>
              <w:bottom w:val="single" w:sz="8" w:color="0000EE"/>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4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4"/>
                <w:szCs w:val="14"/>
                <w:color w:val="auto"/>
              </w:rPr>
              <w:t>31.2</w:t>
            </w:r>
          </w:p>
        </w:tc>
        <w:tc>
          <w:tcPr>
            <w:tcW w:w="5980" w:type="dxa"/>
            <w:vAlign w:val="bottom"/>
            <w:gridSpan w:val="18"/>
          </w:tcPr>
          <w:p>
            <w:pPr>
              <w:spacing w:after="0"/>
              <w:rPr>
                <w:rFonts w:ascii="Arial" w:cs="Arial" w:eastAsia="Arial" w:hAnsi="Arial"/>
                <w:sz w:val="14"/>
                <w:szCs w:val="14"/>
                <w:color w:val="0000FF"/>
              </w:rPr>
            </w:pPr>
            <w:hyperlink w:anchor="page35">
              <w:r>
                <w:rPr>
                  <w:rFonts w:ascii="Arial" w:cs="Arial" w:eastAsia="Arial" w:hAnsi="Arial"/>
                  <w:sz w:val="14"/>
                  <w:szCs w:val="14"/>
                  <w:color w:val="0000FF"/>
                </w:rPr>
                <w:t>Certification of Principal Financial Officer pursuant to Rules 13a-14(a) and 15d-14(a) under the</w:t>
              </w:r>
            </w:hyperlink>
          </w:p>
        </w:tc>
      </w:tr>
      <w:tr>
        <w:trPr>
          <w:trHeight w:val="128"/>
        </w:trPr>
        <w:tc>
          <w:tcPr>
            <w:tcW w:w="940" w:type="dxa"/>
            <w:vAlign w:val="bottom"/>
          </w:tcPr>
          <w:p>
            <w:pPr>
              <w:spacing w:after="0"/>
              <w:rPr>
                <w:sz w:val="11"/>
                <w:szCs w:val="11"/>
                <w:color w:val="auto"/>
              </w:rPr>
            </w:pPr>
          </w:p>
        </w:tc>
        <w:tc>
          <w:tcPr>
            <w:tcW w:w="5540" w:type="dxa"/>
            <w:vAlign w:val="bottom"/>
            <w:tcBorders>
              <w:top w:val="single" w:sz="8" w:color="0000FF"/>
            </w:tcBorders>
            <w:gridSpan w:val="10"/>
          </w:tcPr>
          <w:p>
            <w:pPr>
              <w:spacing w:after="0" w:line="129" w:lineRule="exact"/>
              <w:rPr>
                <w:rFonts w:ascii="Arial" w:cs="Arial" w:eastAsia="Arial" w:hAnsi="Arial"/>
                <w:sz w:val="14"/>
                <w:szCs w:val="14"/>
                <w:color w:val="0000FF"/>
                <w:w w:val="92"/>
              </w:rPr>
            </w:pPr>
            <w:hyperlink w:anchor="page35">
              <w:r>
                <w:rPr>
                  <w:rFonts w:ascii="Arial" w:cs="Arial" w:eastAsia="Arial" w:hAnsi="Arial"/>
                  <w:sz w:val="14"/>
                  <w:szCs w:val="14"/>
                  <w:color w:val="0000FF"/>
                  <w:w w:val="92"/>
                </w:rPr>
                <w:t>Securities Exchange Act of 1934, as adopted pursuant to Section 302 of the Sarbanes-Oxley Act</w:t>
              </w:r>
            </w:hyperlink>
          </w:p>
        </w:tc>
        <w:tc>
          <w:tcPr>
            <w:tcW w:w="440" w:type="dxa"/>
            <w:vAlign w:val="bottom"/>
            <w:gridSpan w:val="8"/>
          </w:tcPr>
          <w:p>
            <w:pPr>
              <w:jc w:val="right"/>
              <w:ind w:right="280"/>
              <w:spacing w:after="0" w:line="129" w:lineRule="exact"/>
              <w:rPr>
                <w:rFonts w:ascii="Arial" w:cs="Arial" w:eastAsia="Arial" w:hAnsi="Arial"/>
                <w:sz w:val="14"/>
                <w:szCs w:val="14"/>
                <w:color w:val="0000FF"/>
              </w:rPr>
            </w:pPr>
            <w:hyperlink w:anchor="page35">
              <w:r>
                <w:rPr>
                  <w:rFonts w:ascii="Arial" w:cs="Arial" w:eastAsia="Arial" w:hAnsi="Arial"/>
                  <w:sz w:val="14"/>
                  <w:szCs w:val="14"/>
                  <w:color w:val="0000FF"/>
                </w:rPr>
                <w:t>of</w:t>
              </w:r>
            </w:hyperlink>
          </w:p>
        </w:tc>
      </w:tr>
      <w:tr>
        <w:trPr>
          <w:trHeight w:val="129"/>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5"/>
              </w:rPr>
            </w:pPr>
            <w:hyperlink w:anchor="page35">
              <w:r>
                <w:rPr>
                  <w:rFonts w:ascii="Arial" w:cs="Arial" w:eastAsia="Arial" w:hAnsi="Arial"/>
                  <w:sz w:val="14"/>
                  <w:szCs w:val="14"/>
                  <w:color w:val="0000FF"/>
                  <w:w w:val="85"/>
                </w:rPr>
                <w:t>2002.</w:t>
              </w:r>
            </w:hyperlink>
          </w:p>
        </w:tc>
        <w:tc>
          <w:tcPr>
            <w:tcW w:w="20" w:type="dxa"/>
            <w:vAlign w:val="bottom"/>
            <w:tcBorders>
              <w:top w:val="single" w:sz="8" w:color="0000FF"/>
              <w:bottom w:val="single" w:sz="8" w:color="0000EE"/>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1460" w:type="dxa"/>
            <w:vAlign w:val="bottom"/>
            <w:tcBorders>
              <w:top w:val="single" w:sz="8" w:color="0000FF"/>
            </w:tcBorders>
          </w:tcPr>
          <w:p>
            <w:pPr>
              <w:spacing w:after="0"/>
              <w:rPr>
                <w:sz w:val="11"/>
                <w:szCs w:val="11"/>
                <w:color w:val="auto"/>
              </w:rPr>
            </w:pPr>
          </w:p>
        </w:tc>
        <w:tc>
          <w:tcPr>
            <w:tcW w:w="9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4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4"/>
                <w:szCs w:val="14"/>
                <w:color w:val="auto"/>
              </w:rPr>
              <w:t>32.1*</w:t>
            </w:r>
          </w:p>
        </w:tc>
        <w:tc>
          <w:tcPr>
            <w:tcW w:w="5980" w:type="dxa"/>
            <w:vAlign w:val="bottom"/>
            <w:gridSpan w:val="18"/>
          </w:tcPr>
          <w:p>
            <w:pPr>
              <w:spacing w:after="0"/>
              <w:rPr>
                <w:rFonts w:ascii="Arial" w:cs="Arial" w:eastAsia="Arial" w:hAnsi="Arial"/>
                <w:sz w:val="14"/>
                <w:szCs w:val="14"/>
                <w:color w:val="0000FF"/>
              </w:rPr>
            </w:pPr>
            <w:hyperlink w:anchor="page36">
              <w:r>
                <w:rPr>
                  <w:rFonts w:ascii="Arial" w:cs="Arial" w:eastAsia="Arial" w:hAnsi="Arial"/>
                  <w:sz w:val="14"/>
                  <w:szCs w:val="14"/>
                  <w:color w:val="0000FF"/>
                </w:rPr>
                <w:t>Certification of Principal Executive Officer and Principal Financial Officer pursuant to 18 U.S.C.</w:t>
              </w:r>
            </w:hyperlink>
          </w:p>
        </w:tc>
      </w:tr>
      <w:tr>
        <w:trPr>
          <w:trHeight w:val="128"/>
        </w:trPr>
        <w:tc>
          <w:tcPr>
            <w:tcW w:w="940" w:type="dxa"/>
            <w:vAlign w:val="bottom"/>
          </w:tcPr>
          <w:p>
            <w:pPr>
              <w:spacing w:after="0"/>
              <w:rPr>
                <w:sz w:val="11"/>
                <w:szCs w:val="11"/>
                <w:color w:val="auto"/>
              </w:rPr>
            </w:pPr>
          </w:p>
        </w:tc>
        <w:tc>
          <w:tcPr>
            <w:tcW w:w="492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w w:val="92"/>
              </w:rPr>
            </w:pPr>
            <w:hyperlink w:anchor="page36">
              <w:r>
                <w:rPr>
                  <w:rFonts w:ascii="Arial" w:cs="Arial" w:eastAsia="Arial" w:hAnsi="Arial"/>
                  <w:sz w:val="14"/>
                  <w:szCs w:val="14"/>
                  <w:color w:val="0000FF"/>
                  <w:w w:val="92"/>
                </w:rPr>
                <w:t>Section 1350, as adopted pursuant to Section 906 of the Sarbanes-Oxley Act of 2002.</w:t>
              </w:r>
            </w:hyperlink>
          </w:p>
        </w:tc>
        <w:tc>
          <w:tcPr>
            <w:tcW w:w="700" w:type="dxa"/>
            <w:vAlign w:val="bottom"/>
            <w:tcBorders>
              <w:top w:val="single" w:sz="8" w:color="0000FF"/>
            </w:tcBorders>
            <w:gridSpan w:val="5"/>
          </w:tcPr>
          <w:p>
            <w:pPr>
              <w:spacing w:after="0"/>
              <w:rPr>
                <w:sz w:val="11"/>
                <w:szCs w:val="11"/>
                <w:color w:val="auto"/>
              </w:rPr>
            </w:pPr>
          </w:p>
        </w:tc>
        <w:tc>
          <w:tcPr>
            <w:tcW w:w="360" w:type="dxa"/>
            <w:vAlign w:val="bottom"/>
            <w:gridSpan w:val="5"/>
          </w:tcPr>
          <w:p>
            <w:pPr>
              <w:spacing w:after="0"/>
              <w:rPr>
                <w:sz w:val="11"/>
                <w:szCs w:val="1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99.1</w:t>
            </w:r>
          </w:p>
        </w:tc>
        <w:tc>
          <w:tcPr>
            <w:tcW w:w="2880" w:type="dxa"/>
            <w:vAlign w:val="bottom"/>
            <w:tcBorders>
              <w:bottom w:val="single" w:sz="8" w:color="0000FF"/>
            </w:tcBorders>
            <w:gridSpan w:val="4"/>
          </w:tcPr>
          <w:p>
            <w:pPr>
              <w:spacing w:after="0"/>
              <w:rPr>
                <w:rFonts w:ascii="Arial" w:cs="Arial" w:eastAsia="Arial" w:hAnsi="Arial"/>
                <w:sz w:val="14"/>
                <w:szCs w:val="14"/>
                <w:color w:val="0000FF"/>
                <w:w w:val="93"/>
              </w:rPr>
            </w:pPr>
            <w:hyperlink w:anchor="page37">
              <w:r>
                <w:rPr>
                  <w:rFonts w:ascii="Arial" w:cs="Arial" w:eastAsia="Arial" w:hAnsi="Arial"/>
                  <w:sz w:val="14"/>
                  <w:szCs w:val="14"/>
                  <w:color w:val="0000FF"/>
                  <w:w w:val="93"/>
                </w:rPr>
                <w:t>Press Release Announcing Appointment Jian Xie</w:t>
              </w:r>
            </w:hyperlink>
          </w:p>
        </w:tc>
        <w:tc>
          <w:tcPr>
            <w:tcW w:w="3100" w:type="dxa"/>
            <w:vAlign w:val="bottom"/>
            <w:gridSpan w:val="14"/>
          </w:tcPr>
          <w:p>
            <w:pPr>
              <w:spacing w:after="0"/>
              <w:rPr>
                <w:sz w:val="24"/>
                <w:szCs w:val="24"/>
                <w:color w:val="auto"/>
              </w:rPr>
            </w:pPr>
          </w:p>
        </w:tc>
      </w:tr>
      <w:tr>
        <w:trPr>
          <w:trHeight w:val="285"/>
        </w:trPr>
        <w:tc>
          <w:tcPr>
            <w:tcW w:w="940" w:type="dxa"/>
            <w:vAlign w:val="bottom"/>
          </w:tcPr>
          <w:p>
            <w:pPr>
              <w:spacing w:after="0"/>
              <w:rPr>
                <w:sz w:val="20"/>
                <w:szCs w:val="20"/>
                <w:color w:val="auto"/>
              </w:rPr>
            </w:pPr>
            <w:r>
              <w:rPr>
                <w:rFonts w:ascii="Arial" w:cs="Arial" w:eastAsia="Arial" w:hAnsi="Arial"/>
                <w:sz w:val="14"/>
                <w:szCs w:val="14"/>
                <w:color w:val="auto"/>
              </w:rPr>
              <w:t>101.INS</w:t>
            </w:r>
          </w:p>
        </w:tc>
        <w:tc>
          <w:tcPr>
            <w:tcW w:w="5980" w:type="dxa"/>
            <w:vAlign w:val="bottom"/>
            <w:gridSpan w:val="18"/>
          </w:tcPr>
          <w:p>
            <w:pPr>
              <w:spacing w:after="0"/>
              <w:rPr>
                <w:sz w:val="20"/>
                <w:szCs w:val="20"/>
                <w:color w:val="auto"/>
              </w:rPr>
            </w:pPr>
            <w:r>
              <w:rPr>
                <w:rFonts w:ascii="Arial" w:cs="Arial" w:eastAsia="Arial" w:hAnsi="Arial"/>
                <w:sz w:val="14"/>
                <w:szCs w:val="14"/>
                <w:color w:val="auto"/>
                <w:w w:val="95"/>
              </w:rPr>
              <w:t>Inline XBRL Instance Document – the instance document does not appear in the Interactive Data File</w:t>
            </w:r>
          </w:p>
        </w:tc>
      </w:tr>
      <w:tr>
        <w:trPr>
          <w:trHeight w:val="182"/>
        </w:trPr>
        <w:tc>
          <w:tcPr>
            <w:tcW w:w="940" w:type="dxa"/>
            <w:vAlign w:val="bottom"/>
          </w:tcPr>
          <w:p>
            <w:pPr>
              <w:spacing w:after="0"/>
              <w:rPr>
                <w:sz w:val="15"/>
                <w:szCs w:val="15"/>
                <w:color w:val="auto"/>
              </w:rPr>
            </w:pPr>
          </w:p>
        </w:tc>
        <w:tc>
          <w:tcPr>
            <w:tcW w:w="5980" w:type="dxa"/>
            <w:vAlign w:val="bottom"/>
            <w:gridSpan w:val="18"/>
          </w:tcPr>
          <w:p>
            <w:pPr>
              <w:spacing w:after="0"/>
              <w:rPr>
                <w:sz w:val="20"/>
                <w:szCs w:val="20"/>
                <w:color w:val="auto"/>
              </w:rPr>
            </w:pPr>
            <w:r>
              <w:rPr>
                <w:rFonts w:ascii="Arial" w:cs="Arial" w:eastAsia="Arial" w:hAnsi="Arial"/>
                <w:sz w:val="14"/>
                <w:szCs w:val="14"/>
                <w:color w:val="auto"/>
              </w:rPr>
              <w:t>because XBRL tags are embedded within the Inline XBRL document.</w:t>
            </w:r>
          </w:p>
        </w:tc>
      </w:tr>
      <w:tr>
        <w:trPr>
          <w:trHeight w:val="310"/>
        </w:trPr>
        <w:tc>
          <w:tcPr>
            <w:tcW w:w="940" w:type="dxa"/>
            <w:vAlign w:val="bottom"/>
          </w:tcPr>
          <w:p>
            <w:pPr>
              <w:spacing w:after="0"/>
              <w:rPr>
                <w:sz w:val="20"/>
                <w:szCs w:val="20"/>
                <w:color w:val="auto"/>
              </w:rPr>
            </w:pPr>
            <w:r>
              <w:rPr>
                <w:rFonts w:ascii="Arial" w:cs="Arial" w:eastAsia="Arial" w:hAnsi="Arial"/>
                <w:sz w:val="14"/>
                <w:szCs w:val="14"/>
                <w:color w:val="auto"/>
              </w:rPr>
              <w:t>101.SCH</w:t>
            </w:r>
          </w:p>
        </w:tc>
        <w:tc>
          <w:tcPr>
            <w:tcW w:w="5980" w:type="dxa"/>
            <w:vAlign w:val="bottom"/>
            <w:gridSpan w:val="18"/>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311"/>
        </w:trPr>
        <w:tc>
          <w:tcPr>
            <w:tcW w:w="940" w:type="dxa"/>
            <w:vAlign w:val="bottom"/>
          </w:tcPr>
          <w:p>
            <w:pPr>
              <w:spacing w:after="0"/>
              <w:rPr>
                <w:sz w:val="20"/>
                <w:szCs w:val="20"/>
                <w:color w:val="auto"/>
              </w:rPr>
            </w:pPr>
            <w:r>
              <w:rPr>
                <w:rFonts w:ascii="Arial" w:cs="Arial" w:eastAsia="Arial" w:hAnsi="Arial"/>
                <w:sz w:val="14"/>
                <w:szCs w:val="14"/>
                <w:color w:val="auto"/>
              </w:rPr>
              <w:t>101.CAL</w:t>
            </w:r>
          </w:p>
        </w:tc>
        <w:tc>
          <w:tcPr>
            <w:tcW w:w="5980" w:type="dxa"/>
            <w:vAlign w:val="bottom"/>
            <w:gridSpan w:val="18"/>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310"/>
        </w:trPr>
        <w:tc>
          <w:tcPr>
            <w:tcW w:w="940" w:type="dxa"/>
            <w:vAlign w:val="bottom"/>
          </w:tcPr>
          <w:p>
            <w:pPr>
              <w:spacing w:after="0"/>
              <w:rPr>
                <w:sz w:val="20"/>
                <w:szCs w:val="20"/>
                <w:color w:val="auto"/>
              </w:rPr>
            </w:pPr>
            <w:r>
              <w:rPr>
                <w:rFonts w:ascii="Arial" w:cs="Arial" w:eastAsia="Arial" w:hAnsi="Arial"/>
                <w:sz w:val="14"/>
                <w:szCs w:val="14"/>
                <w:color w:val="auto"/>
              </w:rPr>
              <w:t>101.DEF</w:t>
            </w:r>
          </w:p>
        </w:tc>
        <w:tc>
          <w:tcPr>
            <w:tcW w:w="5980" w:type="dxa"/>
            <w:vAlign w:val="bottom"/>
            <w:gridSpan w:val="18"/>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310"/>
        </w:trPr>
        <w:tc>
          <w:tcPr>
            <w:tcW w:w="940" w:type="dxa"/>
            <w:vAlign w:val="bottom"/>
          </w:tcPr>
          <w:p>
            <w:pPr>
              <w:spacing w:after="0"/>
              <w:rPr>
                <w:sz w:val="20"/>
                <w:szCs w:val="20"/>
                <w:color w:val="auto"/>
              </w:rPr>
            </w:pPr>
            <w:r>
              <w:rPr>
                <w:rFonts w:ascii="Arial" w:cs="Arial" w:eastAsia="Arial" w:hAnsi="Arial"/>
                <w:sz w:val="14"/>
                <w:szCs w:val="14"/>
                <w:color w:val="auto"/>
              </w:rPr>
              <w:t>101.LAB</w:t>
            </w:r>
          </w:p>
        </w:tc>
        <w:tc>
          <w:tcPr>
            <w:tcW w:w="5980" w:type="dxa"/>
            <w:vAlign w:val="bottom"/>
            <w:gridSpan w:val="18"/>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310"/>
        </w:trPr>
        <w:tc>
          <w:tcPr>
            <w:tcW w:w="940" w:type="dxa"/>
            <w:vAlign w:val="bottom"/>
          </w:tcPr>
          <w:p>
            <w:pPr>
              <w:spacing w:after="0"/>
              <w:rPr>
                <w:sz w:val="20"/>
                <w:szCs w:val="20"/>
                <w:color w:val="auto"/>
              </w:rPr>
            </w:pPr>
            <w:r>
              <w:rPr>
                <w:rFonts w:ascii="Arial" w:cs="Arial" w:eastAsia="Arial" w:hAnsi="Arial"/>
                <w:sz w:val="14"/>
                <w:szCs w:val="14"/>
                <w:color w:val="auto"/>
              </w:rPr>
              <w:t>101.PRE</w:t>
            </w:r>
          </w:p>
        </w:tc>
        <w:tc>
          <w:tcPr>
            <w:tcW w:w="5980" w:type="dxa"/>
            <w:vAlign w:val="bottom"/>
            <w:gridSpan w:val="18"/>
          </w:tcPr>
          <w:p>
            <w:pPr>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128" w:lineRule="exact"/>
        <w:rPr>
          <w:sz w:val="20"/>
          <w:szCs w:val="20"/>
          <w:color w:val="auto"/>
        </w:rPr>
      </w:pPr>
    </w:p>
    <w:p>
      <w:pPr>
        <w:ind w:left="-8" w:right="1340" w:firstLine="21"/>
        <w:spacing w:after="0" w:line="432" w:lineRule="auto"/>
        <w:tabs>
          <w:tab w:leader="none" w:pos="937" w:val="left"/>
        </w:tabs>
        <w:numPr>
          <w:ilvl w:val="1"/>
          <w:numId w:val="4"/>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11912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ind w:left="292" w:hanging="292"/>
        <w:spacing w:after="0"/>
        <w:tabs>
          <w:tab w:leader="none" w:pos="292" w:val="left"/>
        </w:tabs>
        <w:numPr>
          <w:ilvl w:val="0"/>
          <w:numId w:val="5"/>
        </w:numPr>
        <w:rPr>
          <w:rFonts w:ascii="Arial" w:cs="Arial" w:eastAsia="Arial" w:hAnsi="Arial"/>
          <w:sz w:val="14"/>
          <w:szCs w:val="14"/>
          <w:color w:val="auto"/>
        </w:rPr>
      </w:pPr>
      <w:r>
        <w:rPr>
          <w:rFonts w:ascii="Arial" w:cs="Arial" w:eastAsia="Arial" w:hAnsi="Arial"/>
          <w:sz w:val="14"/>
          <w:szCs w:val="14"/>
          <w:color w:val="auto"/>
        </w:rPr>
        <w:t>Management compensation plan or arrangement.</w:t>
      </w:r>
    </w:p>
    <w:p>
      <w:pPr>
        <w:spacing w:after="0" w:line="200" w:lineRule="exact"/>
        <w:rPr>
          <w:sz w:val="20"/>
          <w:szCs w:val="20"/>
          <w:color w:val="auto"/>
        </w:rPr>
      </w:pPr>
    </w:p>
    <w:p>
      <w:pPr>
        <w:spacing w:after="0" w:line="264"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Incorporated by Reference</w:t>
            </w:r>
          </w:p>
        </w:tc>
      </w:tr>
      <w:tr>
        <w:trPr>
          <w:trHeight w:val="148"/>
        </w:trPr>
        <w:tc>
          <w:tcPr>
            <w:tcW w:w="11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Filed with this</w:t>
            </w:r>
          </w:p>
        </w:tc>
        <w:tc>
          <w:tcPr>
            <w:tcW w:w="6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7"/>
              </w:rPr>
              <w:t>Form</w:t>
            </w:r>
          </w:p>
        </w:tc>
        <w:tc>
          <w:tcPr>
            <w:tcW w:w="140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Form No.</w:t>
            </w:r>
          </w:p>
        </w:tc>
        <w:tc>
          <w:tcPr>
            <w:tcW w:w="8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Date Filed</w:t>
            </w:r>
          </w:p>
        </w:tc>
      </w:tr>
      <w:tr>
        <w:trPr>
          <w:trHeight w:val="186"/>
        </w:trPr>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w w:val="97"/>
              </w:rPr>
              <w:t>Form 10-Q</w:t>
            </w: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51"/>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w w:val="96"/>
              </w:rPr>
              <w:t>10-Q</w:t>
            </w:r>
          </w:p>
        </w:tc>
        <w:tc>
          <w:tcPr>
            <w:tcW w:w="1400" w:type="dxa"/>
            <w:vAlign w:val="bottom"/>
          </w:tcPr>
          <w:p>
            <w:pPr>
              <w:ind w:left="380"/>
              <w:spacing w:after="0"/>
              <w:rPr>
                <w:sz w:val="20"/>
                <w:szCs w:val="20"/>
                <w:color w:val="auto"/>
              </w:rPr>
            </w:pPr>
            <w:r>
              <w:rPr>
                <w:rFonts w:ascii="Arial" w:cs="Arial" w:eastAsia="Arial" w:hAnsi="Arial"/>
                <w:sz w:val="14"/>
                <w:szCs w:val="14"/>
                <w:color w:val="auto"/>
              </w:rPr>
              <w:t>001-37894</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8/14/2017</w:t>
            </w:r>
          </w:p>
        </w:tc>
      </w:tr>
      <w:tr>
        <w:trPr>
          <w:trHeight w:val="311"/>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w w:val="96"/>
              </w:rPr>
              <w:t>10-Q</w:t>
            </w:r>
          </w:p>
        </w:tc>
        <w:tc>
          <w:tcPr>
            <w:tcW w:w="1400" w:type="dxa"/>
            <w:vAlign w:val="bottom"/>
          </w:tcPr>
          <w:p>
            <w:pPr>
              <w:ind w:left="380"/>
              <w:spacing w:after="0"/>
              <w:rPr>
                <w:sz w:val="20"/>
                <w:szCs w:val="20"/>
                <w:color w:val="auto"/>
              </w:rPr>
            </w:pPr>
            <w:r>
              <w:rPr>
                <w:rFonts w:ascii="Arial" w:cs="Arial" w:eastAsia="Arial" w:hAnsi="Arial"/>
                <w:sz w:val="14"/>
                <w:szCs w:val="14"/>
                <w:color w:val="auto"/>
              </w:rPr>
              <w:t>001-37894</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8/14/2017</w:t>
            </w:r>
          </w:p>
        </w:tc>
      </w:tr>
      <w:tr>
        <w:trPr>
          <w:trHeight w:val="310"/>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w w:val="96"/>
              </w:rPr>
              <w:t>10-Q</w:t>
            </w:r>
          </w:p>
        </w:tc>
        <w:tc>
          <w:tcPr>
            <w:tcW w:w="1400" w:type="dxa"/>
            <w:vAlign w:val="bottom"/>
          </w:tcPr>
          <w:p>
            <w:pPr>
              <w:ind w:left="380"/>
              <w:spacing w:after="0"/>
              <w:rPr>
                <w:sz w:val="20"/>
                <w:szCs w:val="20"/>
                <w:color w:val="auto"/>
              </w:rPr>
            </w:pPr>
            <w:r>
              <w:rPr>
                <w:rFonts w:ascii="Arial" w:cs="Arial" w:eastAsia="Arial" w:hAnsi="Arial"/>
                <w:sz w:val="14"/>
                <w:szCs w:val="14"/>
                <w:color w:val="auto"/>
              </w:rPr>
              <w:t>001-37894</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8/14/2017</w:t>
            </w:r>
          </w:p>
        </w:tc>
      </w:tr>
      <w:tr>
        <w:trPr>
          <w:trHeight w:val="311"/>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w w:val="96"/>
              </w:rPr>
              <w:t>S-1/A</w:t>
            </w:r>
          </w:p>
        </w:tc>
        <w:tc>
          <w:tcPr>
            <w:tcW w:w="1400" w:type="dxa"/>
            <w:vAlign w:val="bottom"/>
          </w:tcPr>
          <w:p>
            <w:pPr>
              <w:ind w:left="380"/>
              <w:spacing w:after="0"/>
              <w:rPr>
                <w:sz w:val="20"/>
                <w:szCs w:val="20"/>
                <w:color w:val="auto"/>
              </w:rPr>
            </w:pPr>
            <w:r>
              <w:rPr>
                <w:rFonts w:ascii="Arial" w:cs="Arial" w:eastAsia="Arial" w:hAnsi="Arial"/>
                <w:sz w:val="14"/>
                <w:szCs w:val="14"/>
                <w:color w:val="auto"/>
              </w:rPr>
              <w:t>333-213469</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9/26/2016</w:t>
            </w:r>
          </w:p>
        </w:tc>
      </w:tr>
      <w:tr>
        <w:trPr>
          <w:trHeight w:val="310"/>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rPr>
              <w:t>8-K</w:t>
            </w:r>
          </w:p>
        </w:tc>
        <w:tc>
          <w:tcPr>
            <w:tcW w:w="1400" w:type="dxa"/>
            <w:vAlign w:val="bottom"/>
          </w:tcPr>
          <w:p>
            <w:pPr>
              <w:ind w:left="380"/>
              <w:spacing w:after="0"/>
              <w:rPr>
                <w:sz w:val="20"/>
                <w:szCs w:val="20"/>
                <w:color w:val="auto"/>
              </w:rPr>
            </w:pPr>
            <w:r>
              <w:rPr>
                <w:rFonts w:ascii="Arial" w:cs="Arial" w:eastAsia="Arial" w:hAnsi="Arial"/>
                <w:sz w:val="14"/>
                <w:szCs w:val="14"/>
                <w:color w:val="auto"/>
              </w:rPr>
              <w:t>001-37894</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3/29/2022</w:t>
            </w:r>
          </w:p>
        </w:tc>
      </w:tr>
      <w:tr>
        <w:trPr>
          <w:trHeight w:val="311"/>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rPr>
              <w:t>8-K</w:t>
            </w:r>
          </w:p>
        </w:tc>
        <w:tc>
          <w:tcPr>
            <w:tcW w:w="1400" w:type="dxa"/>
            <w:vAlign w:val="bottom"/>
          </w:tcPr>
          <w:p>
            <w:pPr>
              <w:ind w:left="380"/>
              <w:spacing w:after="0"/>
              <w:rPr>
                <w:sz w:val="20"/>
                <w:szCs w:val="20"/>
                <w:color w:val="auto"/>
              </w:rPr>
            </w:pPr>
            <w:r>
              <w:rPr>
                <w:rFonts w:ascii="Arial" w:cs="Arial" w:eastAsia="Arial" w:hAnsi="Arial"/>
                <w:sz w:val="14"/>
                <w:szCs w:val="14"/>
                <w:color w:val="auto"/>
              </w:rPr>
              <w:t>001-37894</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4/26/2022</w:t>
            </w: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2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29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15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ectPr>
          <w:pgSz w:w="11900" w:h="16838" w:orient="portrait"/>
          <w:cols w:equalWidth="0" w:num="2">
            <w:col w:w="6912" w:space="260"/>
            <w:col w:w="3940"/>
          </w:cols>
          <w:pgMar w:left="328" w:top="121" w:right="459" w:bottom="1440" w:gutter="0" w:footer="0" w:header="0"/>
        </w:sectPr>
      </w:pPr>
    </w:p>
    <w:bookmarkStart w:id="32" w:name="page33"/>
    <w:bookmarkEnd w:id="3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FULGENT GENETICS, INC.</w:t>
      </w:r>
    </w:p>
    <w:p>
      <w:pPr>
        <w:spacing w:after="0" w:line="175" w:lineRule="exact"/>
        <w:rPr>
          <w:sz w:val="20"/>
          <w:szCs w:val="20"/>
          <w:color w:val="auto"/>
        </w:rPr>
      </w:pPr>
    </w:p>
    <w:p>
      <w:pPr>
        <w:ind w:left="6780" w:right="1120" w:hanging="8718"/>
        <w:spacing w:after="0"/>
        <w:tabs>
          <w:tab w:leader="none" w:pos="676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 /s/ M</w:t>
      </w:r>
      <w:r>
        <w:rPr>
          <w:rFonts w:ascii="Arial" w:cs="Arial" w:eastAsia="Arial" w:hAnsi="Arial"/>
          <w:sz w:val="12"/>
          <w:szCs w:val="12"/>
          <w:color w:val="auto"/>
        </w:rPr>
        <w:t>ING</w:t>
      </w:r>
      <w:r>
        <w:rPr>
          <w:rFonts w:ascii="Arial" w:cs="Arial" w:eastAsia="Arial" w:hAnsi="Arial"/>
          <w:sz w:val="18"/>
          <w:szCs w:val="18"/>
          <w:color w:val="auto"/>
        </w:rPr>
        <w:t xml:space="preserve"> H</w:t>
      </w:r>
      <w:r>
        <w:rPr>
          <w:rFonts w:ascii="Arial" w:cs="Arial" w:eastAsia="Arial" w:hAnsi="Arial"/>
          <w:sz w:val="12"/>
          <w:szCs w:val="12"/>
          <w:color w:val="auto"/>
        </w:rPr>
        <w:t>SIEH</w:t>
      </w:r>
      <w:r>
        <w:rPr>
          <w:rFonts w:ascii="Arial" w:cs="Arial" w:eastAsia="Arial" w:hAnsi="Arial"/>
          <w:sz w:val="18"/>
          <w:szCs w:val="18"/>
          <w:color w:val="auto"/>
        </w:rPr>
        <w:t xml:space="preserve">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-16510</wp:posOffset>
            </wp:positionV>
            <wp:extent cx="26314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12"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jc w:val="center"/>
        <w:ind w:left="708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6780" w:right="1180" w:hanging="8803"/>
        <w:spacing w:after="0"/>
        <w:tabs>
          <w:tab w:leader="none" w:pos="676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 /s/ P</w:t>
      </w:r>
      <w:r>
        <w:rPr>
          <w:rFonts w:ascii="Arial" w:cs="Arial" w:eastAsia="Arial" w:hAnsi="Arial"/>
          <w:sz w:val="12"/>
          <w:szCs w:val="12"/>
          <w:color w:val="auto"/>
        </w:rPr>
        <w:t>AUL</w:t>
      </w:r>
      <w:r>
        <w:rPr>
          <w:rFonts w:ascii="Arial" w:cs="Arial" w:eastAsia="Arial" w:hAnsi="Arial"/>
          <w:sz w:val="18"/>
          <w:szCs w:val="18"/>
          <w:color w:val="auto"/>
        </w:rPr>
        <w:t xml:space="preserve"> K</w:t>
      </w:r>
      <w:r>
        <w:rPr>
          <w:rFonts w:ascii="Arial" w:cs="Arial" w:eastAsia="Arial" w:hAnsi="Arial"/>
          <w:sz w:val="12"/>
          <w:szCs w:val="12"/>
          <w:color w:val="auto"/>
        </w:rPr>
        <w:t>IM</w:t>
      </w:r>
      <w:r>
        <w:rPr>
          <w:rFonts w:ascii="Arial" w:cs="Arial" w:eastAsia="Arial" w:hAnsi="Arial"/>
          <w:sz w:val="18"/>
          <w:szCs w:val="18"/>
          <w:color w:val="auto"/>
        </w:rPr>
        <w:t xml:space="preserve">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-16510</wp:posOffset>
            </wp:positionV>
            <wp:extent cx="26314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12"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jc w:val="center"/>
        <w:ind w:left="708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Ming Hsieh, certify that:</w:t>
      </w:r>
    </w:p>
    <w:p>
      <w:pPr>
        <w:spacing w:after="0" w:line="21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2022 of Fulgent Genetics,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2"/>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48" w:lineRule="auto"/>
        <w:tabs>
          <w:tab w:leader="none" w:pos="895" w:val="left"/>
        </w:tabs>
        <w:numPr>
          <w:ilvl w:val="2"/>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40" w:hanging="479"/>
        <w:spacing w:after="0" w:line="291" w:lineRule="auto"/>
        <w:tabs>
          <w:tab w:leader="none" w:pos="895" w:val="left"/>
        </w:tabs>
        <w:numPr>
          <w:ilvl w:val="2"/>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61" w:lineRule="auto"/>
        <w:tabs>
          <w:tab w:leader="none" w:pos="895"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ind w:left="20"/>
              <w:spacing w:after="0"/>
              <w:rPr>
                <w:sz w:val="20"/>
                <w:szCs w:val="20"/>
                <w:color w:val="auto"/>
              </w:rPr>
            </w:pPr>
            <w:r>
              <w:rPr>
                <w:rFonts w:ascii="Arial" w:cs="Arial" w:eastAsia="Arial" w:hAnsi="Arial"/>
                <w:sz w:val="18"/>
                <w:szCs w:val="18"/>
                <w:color w:val="auto"/>
              </w:rPr>
              <w:t>Date: May 5, 2022</w:t>
            </w:r>
          </w:p>
        </w:tc>
        <w:tc>
          <w:tcPr>
            <w:tcW w:w="3020" w:type="dxa"/>
            <w:vAlign w:val="bottom"/>
          </w:tcPr>
          <w:p>
            <w:pPr>
              <w:ind w:left="270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r>
      <w:tr>
        <w:trPr>
          <w:trHeight w:val="178"/>
        </w:trPr>
        <w:tc>
          <w:tcPr>
            <w:tcW w:w="40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140" w:type="dxa"/>
            <w:vAlign w:val="bottom"/>
          </w:tcPr>
          <w:p>
            <w:pPr>
              <w:jc w:val="center"/>
              <w:spacing w:after="0" w:line="177" w:lineRule="exact"/>
              <w:rPr>
                <w:sz w:val="20"/>
                <w:szCs w:val="20"/>
                <w:color w:val="auto"/>
              </w:rPr>
            </w:pPr>
            <w:r>
              <w:rPr>
                <w:rFonts w:ascii="Arial" w:cs="Arial" w:eastAsia="Arial" w:hAnsi="Arial"/>
                <w:sz w:val="18"/>
                <w:szCs w:val="18"/>
                <w:color w:val="auto"/>
                <w:w w:val="95"/>
              </w:rPr>
              <w:t>Ming Hsieh</w:t>
            </w:r>
          </w:p>
        </w:tc>
      </w:tr>
      <w:tr>
        <w:trPr>
          <w:trHeight w:val="207"/>
        </w:trPr>
        <w:tc>
          <w:tcPr>
            <w:tcW w:w="40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0"/>
        </w:trPr>
        <w:tc>
          <w:tcPr>
            <w:tcW w:w="40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506"/>
        </w:trPr>
        <w:tc>
          <w:tcPr>
            <w:tcW w:w="40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Paul Kim, certify that:</w:t>
      </w:r>
    </w:p>
    <w:p>
      <w:pPr>
        <w:spacing w:after="0" w:line="21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2022 of Fulgent Genetics,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2"/>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48" w:lineRule="auto"/>
        <w:tabs>
          <w:tab w:leader="none" w:pos="895" w:val="left"/>
        </w:tabs>
        <w:numPr>
          <w:ilvl w:val="2"/>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40" w:hanging="479"/>
        <w:spacing w:after="0" w:line="291" w:lineRule="auto"/>
        <w:tabs>
          <w:tab w:leader="none" w:pos="895" w:val="left"/>
        </w:tabs>
        <w:numPr>
          <w:ilvl w:val="2"/>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61" w:lineRule="auto"/>
        <w:tabs>
          <w:tab w:leader="none" w:pos="895"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760" w:val="left"/>
          <w:tab w:leader="none" w:pos="87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Paul Kim</w:t>
      </w:r>
    </w:p>
    <w:p>
      <w:pPr>
        <w:jc w:val="center"/>
        <w:ind w:left="708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connection with the Quarterly Report on Form 10-Q for the quarterly period ended March 31, 2022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8" w:lineRule="exact"/>
        <w:rPr>
          <w:sz w:val="20"/>
          <w:szCs w:val="20"/>
          <w:color w:val="auto"/>
        </w:rPr>
      </w:pPr>
    </w:p>
    <w:p>
      <w:pPr>
        <w:ind w:left="900" w:hanging="35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80" w:hanging="479"/>
        <w:spacing w:after="0" w:line="261" w:lineRule="auto"/>
        <w:tabs>
          <w:tab w:leader="none" w:pos="8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20" w:type="dxa"/>
            <w:vAlign w:val="bottom"/>
          </w:tcPr>
          <w:p>
            <w:pPr>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r>
      <w:tr>
        <w:trPr>
          <w:trHeight w:val="151"/>
        </w:trPr>
        <w:tc>
          <w:tcPr>
            <w:tcW w:w="35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color w:val="auto"/>
              </w:rPr>
              <w:t>Ming Hsieh</w:t>
            </w:r>
          </w:p>
        </w:tc>
      </w:tr>
      <w:tr>
        <w:trPr>
          <w:trHeight w:val="193"/>
        </w:trPr>
        <w:tc>
          <w:tcPr>
            <w:tcW w:w="3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2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1"/>
              </w:rPr>
              <w:t>Chief Executive Officer</w:t>
            </w:r>
          </w:p>
        </w:tc>
      </w:tr>
      <w:tr>
        <w:trPr>
          <w:trHeight w:val="230"/>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51"/>
        </w:trPr>
        <w:tc>
          <w:tcPr>
            <w:tcW w:w="3520" w:type="dxa"/>
            <w:vAlign w:val="bottom"/>
          </w:tcPr>
          <w:p>
            <w:pPr>
              <w:spacing w:after="0"/>
              <w:rPr>
                <w:sz w:val="20"/>
                <w:szCs w:val="20"/>
                <w:color w:val="auto"/>
              </w:rPr>
            </w:pPr>
            <w:r>
              <w:rPr>
                <w:rFonts w:ascii="Arial" w:cs="Arial" w:eastAsia="Arial" w:hAnsi="Arial"/>
                <w:sz w:val="18"/>
                <w:szCs w:val="18"/>
                <w:color w:val="auto"/>
              </w:rPr>
              <w:t>Date: May 5, 2022</w:t>
            </w:r>
          </w:p>
        </w:tc>
        <w:tc>
          <w:tcPr>
            <w:tcW w:w="2480" w:type="dxa"/>
            <w:vAlign w:val="bottom"/>
          </w:tcPr>
          <w:p>
            <w:pPr>
              <w:ind w:left="21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Kim</w:t>
            </w:r>
          </w:p>
        </w:tc>
      </w:tr>
      <w:tr>
        <w:trPr>
          <w:trHeight w:val="151"/>
        </w:trPr>
        <w:tc>
          <w:tcPr>
            <w:tcW w:w="35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color w:val="auto"/>
                <w:w w:val="99"/>
              </w:rPr>
              <w:t>Paul Kim</w:t>
            </w:r>
          </w:p>
        </w:tc>
      </w:tr>
      <w:tr>
        <w:trPr>
          <w:trHeight w:val="193"/>
        </w:trPr>
        <w:tc>
          <w:tcPr>
            <w:tcW w:w="3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2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1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441325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0"/>
          <w:szCs w:val="20"/>
          <w:b w:val="1"/>
          <w:bCs w:val="1"/>
          <w:color w:val="auto"/>
        </w:rPr>
        <w:t>Exhibit 99.1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Fulgent Genetics Announces Promotions and Leadership Updates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TEMPLE CITY, CA, May 3, 2022 —Fulgent Genetics, Inc. (NASDAQ: FLGT) (“Fulgent Genetics”, “Fulgent”, or the “Company”), a technology-based genetic testing company focused on transforming patient care in oncology, infectious and rare diseases, and reproductive health, today announced a number of promotions and appointments across its leadership team.</w:t>
      </w:r>
    </w:p>
    <w:p>
      <w:pPr>
        <w:spacing w:after="0" w:line="183" w:lineRule="exact"/>
        <w:rPr>
          <w:sz w:val="20"/>
          <w:szCs w:val="20"/>
          <w:color w:val="auto"/>
        </w:rPr>
      </w:pPr>
    </w:p>
    <w:p>
      <w:pPr>
        <w:jc w:val="both"/>
        <w:ind w:right="160"/>
        <w:spacing w:after="0" w:line="319" w:lineRule="auto"/>
        <w:rPr>
          <w:sz w:val="20"/>
          <w:szCs w:val="20"/>
          <w:color w:val="auto"/>
        </w:rPr>
      </w:pPr>
      <w:r>
        <w:rPr>
          <w:rFonts w:ascii="Arial" w:cs="Arial" w:eastAsia="Arial" w:hAnsi="Arial"/>
          <w:sz w:val="16"/>
          <w:szCs w:val="16"/>
          <w:color w:val="auto"/>
        </w:rPr>
        <w:t>“The deep domain expertise and leadership experience of our senior team has been instrumental in driving our success in recent years,” said Ming Hsieh, Chairman and CEO of Fulgent Genetics. “We are pleased to announce a number of promotions and leadership updates across the business as we continue to execute on our strategy of rapid growth and expansion. As an organization, we pride ourselves on disciplined execution, cohesiveness and commitment to excellence, and I am pleased that each of these individuals helps to fulfill the values of Fulgent Genetics through their leadership.”</w:t>
      </w:r>
    </w:p>
    <w:p>
      <w:pPr>
        <w:spacing w:after="0" w:line="156" w:lineRule="exact"/>
        <w:rPr>
          <w:sz w:val="20"/>
          <w:szCs w:val="20"/>
          <w:color w:val="auto"/>
        </w:rPr>
      </w:pPr>
    </w:p>
    <w:p>
      <w:pPr>
        <w:ind w:right="120"/>
        <w:spacing w:after="0" w:line="303" w:lineRule="auto"/>
        <w:rPr>
          <w:sz w:val="20"/>
          <w:szCs w:val="20"/>
          <w:color w:val="auto"/>
        </w:rPr>
      </w:pPr>
      <w:r>
        <w:rPr>
          <w:rFonts w:ascii="Arial" w:cs="Arial" w:eastAsia="Arial" w:hAnsi="Arial"/>
          <w:sz w:val="17"/>
          <w:szCs w:val="17"/>
          <w:color w:val="auto"/>
        </w:rPr>
        <w:t>James Xie, Fulgent’s Chief Operating Officer, has been named President in addition to his current role. Mr. Xie has been a key member of Fulgent’s executive team since the Company’s founding and has made meaningful contributions to the business through his leadership and commitment to Fulgent’s growth and expansion. Mr. Xie will remain responsible for managing Fulgent’s global operations, product vision and product engineering.</w:t>
      </w:r>
    </w:p>
    <w:p>
      <w:pPr>
        <w:spacing w:after="0" w:line="164"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Chris Wicker has been appointed as Vice President and General Manager of CSI Laboratories (“CSI”) and Inform Diagnostics (“InformDx”). CSI and InformDx are each a division of Fulgent Genetics. Mr. Wicker was formerly the Chief Executive Officer and Chief Financial Officer of CSI and joined Fulgent through the company’s acquisition in August, 2021. Mr. Wicker has been an instrumental member of the team supporting the integration of CSI onto the Fulgent platform and will continue to oversee the daily operations of CSI’s division within Fulgent. Mr. Wicker has over 30 years of financial and management experience in the healthcare industry from prior roles at Optum (United Health Group) and Memorial Hermann Health System, among other health systems. He holds a Bachelors in Accounting and Finance from Baylor University.</w:t>
      </w:r>
    </w:p>
    <w:p>
      <w:pPr>
        <w:spacing w:after="0" w:line="176"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Natalie Prescott has joined Fulgent Genetics as Vice President of Legal and Deputy General Counsel from Mintz Levin, a premier Am Law 100 firm. Ms. Prescott is a seasoned business litigator, privacy and healthcare class action lawyer, and certified privacy professional with over 15 years of legal experience. Ms. Prescott will be responsible for managing all of Fulgent’s legal operations including overseeing legal, privacy, and regulatory matters. Ms. Prescott holds a J.D. from Duke University School of Law, a Master’s degree from Tulane University, and a Bachelor’s degree from the University of Southern Mississippi.</w:t>
      </w:r>
    </w:p>
    <w:p>
      <w:pPr>
        <w:spacing w:after="0" w:line="19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Mary Jane Abalos joined Fulgent Genetics in July of 2020 as Vice President of Finance. Prior to Fulgent, Ms. Abalos held roles as Chief Financial Officer at Solarflare Communications and as Vice President of Planning and Finance Operations at Cogent Systems (3M). She has over 25 years of finance and management experience. Ms. Abalos holds a Master of Science in Business Administration in Finance from San Diego State University and a Bachelor of Science in Management Science from the University of California, San Diego.</w:t>
      </w:r>
    </w:p>
    <w:p>
      <w:pPr>
        <w:spacing w:after="0" w:line="185" w:lineRule="exact"/>
        <w:rPr>
          <w:sz w:val="20"/>
          <w:szCs w:val="20"/>
          <w:color w:val="auto"/>
        </w:rPr>
      </w:pPr>
    </w:p>
    <w:p>
      <w:pPr>
        <w:ind w:right="140"/>
        <w:spacing w:after="0" w:line="329" w:lineRule="auto"/>
        <w:rPr>
          <w:sz w:val="20"/>
          <w:szCs w:val="20"/>
          <w:color w:val="auto"/>
        </w:rPr>
      </w:pPr>
      <w:r>
        <w:rPr>
          <w:rFonts w:ascii="Arial" w:cs="Arial" w:eastAsia="Arial" w:hAnsi="Arial"/>
          <w:sz w:val="16"/>
          <w:szCs w:val="16"/>
          <w:color w:val="auto"/>
        </w:rPr>
        <w:t>Doreen Ng joined Fulgent Genetics in October of 2020 as Vice President of Operations and Compliance, as well as General Manager of the Company’s office in Houston. Prior to Fulgent, Ms. Ng was the founder and owner of NG Quality Consulting and further honed her clinical laboratory management expertise at Baylor College of Medicine. Ms. Ng is a seasoned clinical lab professional with extensive experience in lab buildout, operation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quality management, regulatory affairs and compliance programs. She holds a Bachelor of Science in Biochemistry from the University of Kansas.</w:t>
      </w:r>
    </w:p>
    <w:p>
      <w:pPr>
        <w:spacing w:after="0" w:line="25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Jakub Sram has served as the Vice President of Business Development and Sales since 2015. Mr. Sram joined Fulgent in 2014 and has been a valuable member of the team supporting growth of the Company’s commercialization organization, specifically expanding Fulgent’s Sequencing Services business for pharma research and clinical trials, as well as international clinical genetic testing business across Canada, Europe, the Middle East, South America, and Australasia. Prior to joining Fulgent, Mr. Sram spent ten years as the Director of Business Development at the City of Hope Clinical Molecular Diagnostics Laboratory. Mr. Sram has over 19 years of experience building genetic and genomic clinical testing businesses. Mr. Sram holds a Doctor of Philosophy in Chemistry from the University of Wyoming, and a Masters of Business Administration from the University of California, Irvine.</w:t>
      </w:r>
    </w:p>
    <w:p>
      <w:pPr>
        <w:spacing w:after="0" w:line="163"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color w:val="auto"/>
        </w:rPr>
        <w:t>Ellen Tsui has been promoted to Vice President of Human Resources. Ms. Tsui joined Fulgent in April 2018 as the Company’s Human Resources Manager. Prior to joining Fulgent, Ms. Tsui has accumulated more than ten years of experience in human resources management across various industries such as education, insurance, legal, medical, and manufacturing. Ms. Tsui holds a Masters of Business Administration and Bachelors of Business Administration degrees in Human Resources Management and International Business from the University of Hawaii at Manoa.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Fulgent Genetics</w:t>
      </w:r>
    </w:p>
    <w:p>
      <w:pPr>
        <w:spacing w:after="0" w:line="24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Fulgent Genetics is a technology-based genetic testing company focused on transforming patient care in oncology, infectious and rare diseases, and reproductive health. Fulgent Genetics’ proprietary technology platform has created a broad, flexible test menu and the ability to continually expand and improve its proprietary genetic reference library while maintaining accessible pricing, high accuracy, and competitive turnaround times. Combining next generation sequencing, or NGS, with its technology platform, the Company performs full-gene sequencing with deletion/duplication analysis in an array of panels that can be tailored to meet specific customer needs. A cornerstone of the Company’s business is its ability to provide expansive options and flexibility for all clients’ unique testing needs through a comprehensive technology offering including cloud computing, pipeline services, record management, web portal services, clinical workflow, sequencing as a service and automated laboratory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Examples of forward-looking statements in this press release include statements about, among other things: the Company’s identification of its ability to grow and expand its business and judgments and evaluations of its management team. Forward-looking statements are statements other than historical facts and relate to future events or circumstances or the Company’s future performance, and they are based on management’s current assumptions, expectations, and beliefs concerning future developments and their potential effect on the Company’s business. These forward-looking statements are subject to a number of risks and uncertainties, which may cause the forward-looking events and circumstances described in this press release to not occur, and actual results to differ materially and adversely from those described in or implied by the forward-looking statements. These risks and uncertainties include, among others: the ongoing impacts of the COVID-19 pandemic, including the preventive public health measures that may continue to impact demand for its tests and the pandemic’s effects on the global supply chain; the market potential for, and the rate and degree of market adoption of, the Company’s tests, including its COVID-19 and genetic testing generally; the Company’s ability to capture a sizable share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ind w:right="60"/>
        <w:spacing w:after="0" w:line="303" w:lineRule="auto"/>
        <w:rPr>
          <w:sz w:val="20"/>
          <w:szCs w:val="20"/>
          <w:color w:val="auto"/>
        </w:rPr>
      </w:pPr>
      <w:r>
        <w:rPr>
          <w:rFonts w:ascii="Arial" w:cs="Arial" w:eastAsia="Arial" w:hAnsi="Arial"/>
          <w:sz w:val="16"/>
          <w:szCs w:val="16"/>
          <w:color w:val="auto"/>
        </w:rPr>
        <w:t>developing market for genetic and COVID-19 testing and to compete successfully in these markets, including its ability to continue to develop new tests that are attractive to its various customer markets, its ability to maintain turnaround times and otherwise keep pace with rapidly changing technology; the Company’s ability to maintain the low internal costs of its business model, particularly as the Company makes investments across its business; the Company’s ability to maintain an acceptable margin on sales of its tests, particularly in light of increasing competitive pressures and other factors that may continue to reduce the Company’s sale prices for and margins on its tests; risks related to volatility in the Company’s results, which can fluctuate significantly from period to period; risks associated with the composition of the Company’s customer base, which can fluctuate from period to period and can be comprised of a small number of customers that account for a significant portion of the Company’s revenue; the Company’s ability to grow and diversify its customer base and increase demand from existing and new customers; the Company’s investments in its infrastructure, including its sales organization and operational capabilities, and the extent to which these investments impact the Company’s business and performance and enable it to manage any growth it may experience in future periods; the Company’s level of success in obtaining coverage and adequate reimbursement and collectability levels from third-party payors for its tests; the Company’s level of success in establishing and obtaining the intended benefits from partnerships, strategic investments, joint ventures, acquisitions, or other relationships; the Company’s compliance with the various evolving and complex laws and regulations applicable to its business and its industry; risks associated with the Company’s international operations; the Company’s ability to protect its proprietary technology platform; and general industry, economic, political and market conditions. As a result of these risks and uncertainties, forward-looking statements should not be relied on or viewed as predictions of future events.</w:t>
      </w:r>
    </w:p>
    <w:p>
      <w:pPr>
        <w:spacing w:after="0" w:line="188"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The forward-looking statements made in this press release speak only as of the date of this press release, and the Company assumes no obligation to update publicly any such forward-looking statements to reflect actual results or to changes in expectations, except as otherwise required by law.</w:t>
      </w:r>
    </w:p>
    <w:p>
      <w:pPr>
        <w:spacing w:after="0" w:line="161"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The Company’s reports filed with the U.S. Securities and Exchange Commission, or the SEC, including its annual report on Form 10-K for the year ended December 31, 2021 filed with the SEC on February 28, 2022 and the other reports it files from time to time, including subsequently filed annual, quarterly and current reports, are made available on the Company’s website upon their filing with the SEC. These reports contain more information about the Company, its business and the risks affecting its business, as well as its results of operations for the periods covered by the financial results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Nicole Borsje, 415-217-2633, nicole@blueshirtgroup.com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1202055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lvl w:ilvl="1">
      <w:lvlJc w:val="left"/>
      <w:lvlText w:val="%2"/>
      <w:numFmt w:val="decimal"/>
      <w:start w:val="104"/>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46" Type="http://schemas.openxmlformats.org/officeDocument/2006/relationships/hyperlink" Target="https://www.sec.gov/Archives/edgar/data/1674930/000119312516700733/d360404dex31.htm" TargetMode="External"/><Relationship Id="rId247" Type="http://schemas.openxmlformats.org/officeDocument/2006/relationships/hyperlink" Target="https://www.sec.gov/Archives/edgar/data/1674930/000119312516700733/d360404dex311.htm" TargetMode="External"/><Relationship Id="rId248" Type="http://schemas.openxmlformats.org/officeDocument/2006/relationships/hyperlink" Target="https://www.sec.gov/Archives/edgar/data/1674930/000156459017017670/flgt-ex312_342.htm" TargetMode="External"/><Relationship Id="rId249" Type="http://schemas.openxmlformats.org/officeDocument/2006/relationships/hyperlink" Target="https://www.sec.gov/Archives/edgar/data/1674930/000119312516700733/d360404dex32.htm" TargetMode="External"/><Relationship Id="rId250" Type="http://schemas.openxmlformats.org/officeDocument/2006/relationships/hyperlink" Target="https://www.sec.gov/Archives/edgar/data/1674930/000156459022012215/flgt-ex101_7.htm" TargetMode="External"/><Relationship Id="rId251" Type="http://schemas.openxmlformats.org/officeDocument/2006/relationships/hyperlink" Target="https://www.sec.gov/Archives/edgar/data/1674930/000156459022015730/flgt-ex2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2022-05-06T12:56:23Z</dcterms:created>
  <dcterms:modified xsi:type="dcterms:W3CDTF">2022-05-06T12:56:23Z</dcterms:modified>
</cp:coreProperties>
</file>