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7"/>
          <w:szCs w:val="7"/>
          <w:b w:val="1"/>
          <w:bCs w:val="1"/>
          <w:color w:val="auto"/>
        </w:rPr>
        <w:t>f</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4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2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51"/>
        </w:trPr>
        <w:tc>
          <w:tcPr>
            <w:tcW w:w="4500" w:type="dxa"/>
            <w:vAlign w:val="bottom"/>
            <w:gridSpan w:val="2"/>
          </w:tcPr>
          <w:p>
            <w:pPr>
              <w:jc w:val="center"/>
              <w:ind w:left="105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Pr>
          <w:p>
            <w:pPr>
              <w:jc w:val="center"/>
              <w:ind w:right="2040"/>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4399 Santa Anita Avenue</w:t>
            </w: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3"/>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3"/>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60" w:type="dxa"/>
            <w:vAlign w:val="bottom"/>
            <w:gridSpan w:val="5"/>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5"/>
                <w:szCs w:val="15"/>
                <w:color w:val="auto"/>
              </w:rPr>
            </w:pPr>
          </w:p>
        </w:tc>
        <w:tc>
          <w:tcPr>
            <w:tcW w:w="3160" w:type="dxa"/>
            <w:vAlign w:val="bottom"/>
            <w:tcBorders>
              <w:right w:val="single" w:sz="8" w:color="auto"/>
            </w:tcBorders>
            <w:gridSpan w:val="2"/>
          </w:tcPr>
          <w:p>
            <w:pPr>
              <w:jc w:val="center"/>
              <w:ind w:right="880"/>
              <w:spacing w:after="0" w:line="182"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5"/>
                <w:szCs w:val="15"/>
                <w:color w:val="auto"/>
              </w:rPr>
            </w:pPr>
          </w:p>
        </w:tc>
        <w:tc>
          <w:tcPr>
            <w:tcW w:w="3480" w:type="dxa"/>
            <w:vAlign w:val="bottom"/>
            <w:tcBorders>
              <w:right w:val="single" w:sz="8" w:color="auto"/>
            </w:tcBorders>
          </w:tcPr>
          <w:p>
            <w:pPr>
              <w:jc w:val="center"/>
              <w:ind w:right="100"/>
              <w:spacing w:after="0" w:line="182"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jc w:val="both"/>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6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4, 2024, there were 30,586,811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6"/>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6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97"/>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4000" w:type="dxa"/>
            <w:vAlign w:val="bottom"/>
            <w:tcBorders>
              <w:left w:val="single" w:sz="8" w:color="0000FF"/>
            </w:tcBorders>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7"/>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9"/>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7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58,042</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97,473</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326,681</w:t>
            </w:r>
          </w:p>
        </w:tc>
        <w:tc>
          <w:tcPr>
            <w:tcW w:w="100" w:type="dxa"/>
            <w:vAlign w:val="bottom"/>
          </w:tcPr>
          <w:p>
            <w:pPr>
              <w:spacing w:after="0"/>
              <w:rPr>
                <w:sz w:val="20"/>
                <w:szCs w:val="20"/>
                <w:color w:val="auto"/>
              </w:rPr>
            </w:pPr>
          </w:p>
        </w:tc>
      </w:tr>
      <w:tr>
        <w:trPr>
          <w:trHeight w:val="21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$25,316 as of September 30,</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 and $25,226 as of December 31, 2023</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51,132</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Pr>
          <w:p>
            <w:pPr>
              <w:spacing w:after="0"/>
              <w:rPr>
                <w:sz w:val="20"/>
                <w:szCs w:val="20"/>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326,539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507,845</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423,571</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137,115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143,053</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1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Pr>
          <w:p>
            <w:pPr>
              <w:spacing w:after="0"/>
              <w:rPr>
                <w:sz w:val="20"/>
                <w:szCs w:val="20"/>
                <w:color w:val="auto"/>
              </w:rPr>
            </w:pPr>
          </w:p>
        </w:tc>
      </w:tr>
      <w:tr>
        <w:trPr>
          <w:trHeight w:val="24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1,233,763</w:t>
            </w:r>
          </w:p>
        </w:tc>
        <w:tc>
          <w:tcPr>
            <w:tcW w:w="10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deposit</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73,018</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20"/>
                <w:szCs w:val="20"/>
                <w:color w:val="auto"/>
              </w:rPr>
            </w:pPr>
          </w:p>
        </w:tc>
      </w:tr>
      <w:tr>
        <w:trPr>
          <w:trHeight w:val="23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98,865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50,000 shares authorized, 33,310 shares issued and</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30,537 shares outstanding as of September 30, 2024, and 32,416 shares issued and 29,653 shares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1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501,718</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633,175</w:t>
            </w:r>
          </w:p>
        </w:tc>
        <w:tc>
          <w:tcPr>
            <w:tcW w:w="100" w:type="dxa"/>
            <w:vAlign w:val="bottom"/>
          </w:tcPr>
          <w:p>
            <w:pPr>
              <w:spacing w:after="0"/>
              <w:rPr>
                <w:sz w:val="20"/>
                <w:szCs w:val="20"/>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1,138,445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1,136,101</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(3,547 )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(2,815 )</w:t>
            </w:r>
          </w:p>
        </w:tc>
      </w:tr>
      <w:tr>
        <w:trPr>
          <w:trHeight w:val="23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1,134,898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1,233,763</w:t>
            </w:r>
          </w:p>
        </w:tc>
        <w:tc>
          <w:tcPr>
            <w:tcW w:w="10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-4379595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-2167890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8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218,708</w:t>
            </w:r>
          </w:p>
        </w:tc>
        <w:tc>
          <w:tcPr>
            <w:tcW w:w="100" w:type="dxa"/>
            <w:vAlign w:val="bottom"/>
            <w:shd w:val="clear" w:color="auto" w:fill="CFF0FC"/>
          </w:tcPr>
          <w:p>
            <w:pPr>
              <w:spacing w:after="0"/>
              <w:rPr>
                <w:sz w:val="20"/>
                <w:szCs w:val="20"/>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139,481</w:t>
            </w:r>
          </w:p>
        </w:tc>
        <w:tc>
          <w:tcPr>
            <w:tcW w:w="100" w:type="dxa"/>
            <w:vAlign w:val="bottom"/>
          </w:tcPr>
          <w:p>
            <w:pPr>
              <w:spacing w:after="0"/>
              <w:rPr>
                <w:sz w:val="20"/>
                <w:szCs w:val="20"/>
                <w:color w:val="auto"/>
              </w:rPr>
            </w:pPr>
          </w:p>
        </w:tc>
      </w:tr>
      <w:tr>
        <w:trPr>
          <w:trHeight w:val="237"/>
        </w:trPr>
        <w:tc>
          <w:tcPr>
            <w:tcW w:w="4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26,771</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75,366</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57,293</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Pr>
          <w:p>
            <w:pPr>
              <w:spacing w:after="0"/>
              <w:rPr>
                <w:sz w:val="20"/>
                <w:szCs w:val="20"/>
                <w:color w:val="auto"/>
              </w:rPr>
            </w:pPr>
          </w:p>
        </w:tc>
      </w:tr>
      <w:tr>
        <w:trPr>
          <w:trHeight w:val="23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(17,079 )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(57,783 )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(44,408 )</w:t>
            </w: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(625 )</w:t>
            </w: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available-for-sale debt securities</w:t>
            </w:r>
          </w:p>
        </w:tc>
        <w:tc>
          <w:tcPr>
            <w:tcW w:w="2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(10,073 )</w:t>
            </w:r>
          </w:p>
        </w:tc>
        <w:tc>
          <w:tcPr>
            <w:tcW w:w="3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(10,073 )</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(1,453 )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(18,532 )</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(43,911 )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(28,889 )</w:t>
            </w: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(3,838 )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(6,281 )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(14,694 )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(13,466 )</w:t>
            </w:r>
          </w:p>
        </w:tc>
        <w:tc>
          <w:tcPr>
            <w:tcW w:w="2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(37,630 )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(40,905 )</w:t>
            </w: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0"/>
                <w:szCs w:val="20"/>
                <w:color w:val="auto"/>
              </w:rPr>
            </w:pPr>
          </w:p>
        </w:tc>
      </w:tr>
      <w:tr>
        <w:trPr>
          <w:trHeight w:val="2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(14,648 )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(13,107 )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(36,820 )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(39,676 )</w:t>
            </w:r>
          </w:p>
        </w:tc>
      </w:tr>
      <w:tr>
        <w:trPr>
          <w:trHeight w:val="228"/>
        </w:trPr>
        <w:tc>
          <w:tcPr>
            <w:tcW w:w="48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(0.44 )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(0.44 )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shd w:val="clear" w:color="auto" w:fill="CFF0FC"/>
          </w:tcPr>
          <w:p>
            <w:pPr>
              <w:spacing w:after="0"/>
              <w:rPr>
                <w:sz w:val="21"/>
                <w:szCs w:val="21"/>
                <w:color w:val="auto"/>
              </w:rPr>
            </w:pPr>
          </w:p>
        </w:tc>
      </w:tr>
      <w:tr>
        <w:trPr>
          <w:trHeight w:val="234"/>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-3937000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-3937000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-3937000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-2994025</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-2994025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-2994025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-2994025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-2059940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-2059940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-2059940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-2059940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-1099820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-1082675</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-1099820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-1082675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-1099820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-1082675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-1099820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-1082675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(14,694 )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(13,466 )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(37,630 )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(40,905 )</w:t>
            </w:r>
          </w:p>
        </w:tc>
        <w:tc>
          <w:tcPr>
            <w:tcW w:w="0" w:type="dxa"/>
            <w:vAlign w:val="bottom"/>
          </w:tcPr>
          <w:p>
            <w:pPr>
              <w:spacing w:after="0"/>
              <w:rPr>
                <w:sz w:val="1"/>
                <w:szCs w:val="1"/>
                <w:color w:val="auto"/>
              </w:rPr>
            </w:pPr>
          </w:p>
        </w:tc>
      </w:tr>
      <w:tr>
        <w:trPr>
          <w:trHeight w:val="241"/>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(230 )</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(2,027 )</w:t>
            </w:r>
          </w:p>
        </w:tc>
        <w:tc>
          <w:tcPr>
            <w:tcW w:w="0" w:type="dxa"/>
            <w:vAlign w:val="bottom"/>
          </w:tcPr>
          <w:p>
            <w:pPr>
              <w:spacing w:after="0"/>
              <w:rPr>
                <w:sz w:val="1"/>
                <w:szCs w:val="1"/>
                <w:color w:val="auto"/>
              </w:rPr>
            </w:pP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available-for-sale debt securities, net of tax</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from consolidated operations</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(4,439 )</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(9,679 )</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(29,579 )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(35,718 )</w:t>
            </w:r>
          </w:p>
        </w:tc>
        <w:tc>
          <w:tcPr>
            <w:tcW w:w="0" w:type="dxa"/>
            <w:vAlign w:val="bottom"/>
          </w:tcPr>
          <w:p>
            <w:pPr>
              <w:spacing w:after="0"/>
              <w:rPr>
                <w:sz w:val="1"/>
                <w:szCs w:val="1"/>
                <w:color w:val="auto"/>
              </w:rPr>
            </w:pP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 attributable to noncontrolling</w:t>
            </w:r>
          </w:p>
        </w:tc>
        <w:tc>
          <w:tcPr>
            <w:tcW w:w="16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(200 )</w:t>
            </w:r>
          </w:p>
        </w:tc>
        <w:tc>
          <w:tcPr>
            <w:tcW w:w="3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(1,175 )</w:t>
            </w:r>
          </w:p>
        </w:tc>
        <w:tc>
          <w:tcPr>
            <w:tcW w:w="0" w:type="dxa"/>
            <w:vAlign w:val="bottom"/>
          </w:tcPr>
          <w:p>
            <w:pPr>
              <w:spacing w:after="0"/>
              <w:rPr>
                <w:sz w:val="1"/>
                <w:szCs w:val="1"/>
                <w:color w:val="auto"/>
              </w:rPr>
            </w:pPr>
          </w:p>
        </w:tc>
      </w:tr>
      <w:tr>
        <w:trPr>
          <w:trHeight w:val="234"/>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noncontrolling interest</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(154 )</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(4,593 )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(9,252 )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(28,847 )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(35,664 )</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-350520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-350520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-350520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gridSpan w:val="2"/>
            <w:vMerge w:val="continue"/>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12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31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1,136,10</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29,653</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501,718</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22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$ 633,175</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(2,815 )</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1,133,286</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(69 )</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(1,682 )</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(1,682 )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(1,682 )</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(10 )</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(2,307 )</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(2,307 )</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(98 )</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(2,405 )</w:t>
            </w: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(13,462 )</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(13,462 )</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(384 )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(13,846 )</w:t>
            </w:r>
          </w:p>
        </w:tc>
        <w:tc>
          <w:tcPr>
            <w:tcW w:w="0" w:type="dxa"/>
            <w:vAlign w:val="bottom"/>
          </w:tcPr>
          <w:p>
            <w:pPr>
              <w:spacing w:after="0"/>
              <w:rPr>
                <w:sz w:val="1"/>
                <w:szCs w:val="1"/>
                <w:color w:val="auto"/>
              </w:rPr>
            </w:pPr>
          </w:p>
        </w:tc>
      </w:tr>
      <w:tr>
        <w:trPr>
          <w:trHeight w:val="197"/>
        </w:trPr>
        <w:tc>
          <w:tcPr>
            <w:tcW w:w="3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1,129,94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29,890</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511,329</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(1,102 )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$ 619,713</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(3,297 )</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1,126,646</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(26 )</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(544 )</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(544 )</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(544 )</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combination (1)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(8,710 )</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(8,710 )</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(380 )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(9,090 )</w:t>
            </w:r>
          </w:p>
        </w:tc>
        <w:tc>
          <w:tcPr>
            <w:tcW w:w="0" w:type="dxa"/>
            <w:vAlign w:val="bottom"/>
          </w:tcPr>
          <w:p>
            <w:pPr>
              <w:spacing w:after="0"/>
              <w:rPr>
                <w:sz w:val="1"/>
                <w:szCs w:val="1"/>
                <w:color w:val="auto"/>
              </w:rPr>
            </w:pPr>
          </w:p>
        </w:tc>
      </w:tr>
      <w:tr>
        <w:trPr>
          <w:trHeight w:val="197"/>
        </w:trPr>
        <w:tc>
          <w:tcPr>
            <w:tcW w:w="3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1,132,54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30,262</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522,420</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(877 )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$ 611,003</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(3,701 )</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1,128,848</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(18 )</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(431 )</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(431 )</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(431 )</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(14,648 )</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(14,648 )</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(14,694 )</w:t>
            </w:r>
          </w:p>
        </w:tc>
        <w:tc>
          <w:tcPr>
            <w:tcW w:w="0" w:type="dxa"/>
            <w:vAlign w:val="bottom"/>
          </w:tcPr>
          <w:p>
            <w:pPr>
              <w:spacing w:after="0"/>
              <w:rPr>
                <w:sz w:val="1"/>
                <w:szCs w:val="1"/>
                <w:color w:val="auto"/>
              </w:rPr>
            </w:pPr>
          </w:p>
        </w:tc>
      </w:tr>
      <w:tr>
        <w:trPr>
          <w:trHeight w:val="197"/>
        </w:trPr>
        <w:tc>
          <w:tcPr>
            <w:tcW w:w="3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1,138,44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30,537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532,909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9,178</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$ 596,355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(3,547 )</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1,134,898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-4234180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-4217035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-4234180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-4217035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-4234180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-4217035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-4234180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-4217035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-4234180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-4217035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-4234180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-4217035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-4234180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-4217035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-2776855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-2759710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-2776855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-2759710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-2776855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-2759710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-2776855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-2759710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-2776855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-2759710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-2776855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-2759710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-2776855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-2759710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-1190625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-1173480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-1190625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-1173480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-1190625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-1173480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-1190625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-1173480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-1190625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-1173480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-1190625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-1173480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-1190625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-1173480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right="220" w:firstLine="8"/>
        <w:spacing w:after="0" w:line="261"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185,503 shares of the Company's common stock were issued in May 2024 by the Company upon expiration of hold back provisions in connection with the business combination of Fulgent Pharma Holdings, Inc., or Fulgent Pharma, in 2022.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gridSpan w:val="2"/>
            <w:vMerge w:val="continue"/>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12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31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1,266,68</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29,438</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486,585</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(20,903 )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$ 801,000</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3,190</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1,269,875</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(26 )</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(869 )</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(869 )</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(869 )</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(15,340 )</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(15,340 )</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(509 )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(15,849 )</w:t>
            </w:r>
          </w:p>
        </w:tc>
        <w:tc>
          <w:tcPr>
            <w:tcW w:w="0" w:type="dxa"/>
            <w:vAlign w:val="bottom"/>
          </w:tcPr>
          <w:p>
            <w:pPr>
              <w:spacing w:after="0"/>
              <w:rPr>
                <w:sz w:val="1"/>
                <w:szCs w:val="1"/>
                <w:color w:val="auto"/>
              </w:rPr>
            </w:pPr>
          </w:p>
        </w:tc>
      </w:tr>
      <w:tr>
        <w:trPr>
          <w:trHeight w:val="197"/>
        </w:trPr>
        <w:tc>
          <w:tcPr>
            <w:tcW w:w="3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1,264,44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29,692</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495,981</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(17,196 )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$ 785,660</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4,471</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1,268,919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(8 )</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(232 )</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(232 )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(232 )</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(3,550 )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(3,550 )</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(547 )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(4,097 )</w:t>
            </w:r>
          </w:p>
        </w:tc>
        <w:tc>
          <w:tcPr>
            <w:tcW w:w="0" w:type="dxa"/>
            <w:vAlign w:val="bottom"/>
          </w:tcPr>
          <w:p>
            <w:pPr>
              <w:spacing w:after="0"/>
              <w:rPr>
                <w:sz w:val="1"/>
                <w:szCs w:val="1"/>
                <w:color w:val="auto"/>
              </w:rPr>
            </w:pPr>
          </w:p>
        </w:tc>
      </w:tr>
      <w:tr>
        <w:trPr>
          <w:trHeight w:val="23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(11,229 )</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(11,229 )</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(361 )</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(11,590 )</w:t>
            </w:r>
          </w:p>
        </w:tc>
        <w:tc>
          <w:tcPr>
            <w:tcW w:w="0" w:type="dxa"/>
            <w:vAlign w:val="bottom"/>
          </w:tcPr>
          <w:p>
            <w:pPr>
              <w:spacing w:after="0"/>
              <w:rPr>
                <w:sz w:val="1"/>
                <w:szCs w:val="1"/>
                <w:color w:val="auto"/>
              </w:rPr>
            </w:pPr>
          </w:p>
        </w:tc>
      </w:tr>
      <w:tr>
        <w:trPr>
          <w:trHeight w:val="197"/>
        </w:trPr>
        <w:tc>
          <w:tcPr>
            <w:tcW w:w="31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1,259,76</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29,917</w:t>
            </w:r>
          </w:p>
        </w:tc>
        <w:tc>
          <w:tcPr>
            <w:tcW w:w="24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506,075</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(20,746 )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$ 774,431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3,563</w:t>
            </w:r>
          </w:p>
        </w:tc>
        <w:tc>
          <w:tcPr>
            <w:tcW w:w="240" w:type="dxa"/>
            <w:vAlign w:val="bottom"/>
          </w:tcPr>
          <w:p>
            <w:pPr>
              <w:spacing w:after="0"/>
              <w:rPr>
                <w:sz w:val="20"/>
                <w:szCs w:val="20"/>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1,263,326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(13 )</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(517 )</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(517 )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(517 )</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(80 )</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(2,198 )</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(2,198 )</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(2,198 )</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(68 )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(13,107 )</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(13,107 )</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(359 )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(13,466 )</w:t>
            </w:r>
          </w:p>
        </w:tc>
        <w:tc>
          <w:tcPr>
            <w:tcW w:w="0" w:type="dxa"/>
            <w:vAlign w:val="bottom"/>
          </w:tcPr>
          <w:p>
            <w:pPr>
              <w:spacing w:after="0"/>
              <w:rPr>
                <w:sz w:val="1"/>
                <w:szCs w:val="1"/>
                <w:color w:val="auto"/>
              </w:rPr>
            </w:pPr>
          </w:p>
        </w:tc>
      </w:tr>
      <w:tr>
        <w:trPr>
          <w:trHeight w:val="197"/>
        </w:trPr>
        <w:tc>
          <w:tcPr>
            <w:tcW w:w="3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1,258,69</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30,035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514,262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(16,891 )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$ 761,324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3,136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1,261,834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-3813810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-3796665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-3813810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-3796665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-3813810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-3796665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-3813810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-3796665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-3813810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-3796665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-3813810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-3796665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-3813810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-3796665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-2647950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-2630805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-2647950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-2630805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-2647950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-2630805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-2647950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-2630805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-2647950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-2630805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-2647950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-2630805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-2647950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-2630805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-1619250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-1619250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-1619250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-1619250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-1619250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-1619250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-1619250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2023, 371,006 shares of the Company's common stock were not issued and were held back by the Company as partial security for the indemnification obligations in</w:t>
      </w:r>
    </w:p>
    <w:p>
      <w:pPr>
        <w:spacing w:after="0" w:line="3" w:lineRule="exact"/>
        <w:rPr>
          <w:rFonts w:ascii="Times New Roman" w:cs="Times New Roman" w:eastAsia="Times New Roman" w:hAnsi="Times New Roman"/>
          <w:sz w:val="14"/>
          <w:szCs w:val="14"/>
          <w:color w:val="auto"/>
        </w:rPr>
      </w:pPr>
    </w:p>
    <w:p>
      <w:pPr>
        <w:ind w:right="16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connection with the business combination of Fulgent Pharma, in 2022. 185,503 shares of the Company’s common stock were issued upon expiration of these hold back provisions in November 2023, and 185,503 shares were issued upon expiration of these hold back provisions in May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consolidated operations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(37,630 )</w:t>
            </w: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(40,905 )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19,610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 for credit losses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(3,210 )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(4,331 )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fixed asset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discount of marketable securities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(4,005 )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(2,382 )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(3,372 )</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(281 )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realized loss on marketable securities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of available-for-sale debt securities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10,073</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(2,978 )</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income tax</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(20,199 )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(469 )</w:t>
            </w: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(576 )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(2,407 )</w:t>
            </w: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(7,025 )</w:t>
            </w: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Contract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(613 )</w:t>
            </w: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 and other liabilities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(4,589 )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(7,696 )</w:t>
            </w:r>
          </w:p>
        </w:tc>
      </w:tr>
      <w:tr>
        <w:trPr>
          <w:trHeight w:val="22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(3,288 )</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(4,762 )</w:t>
            </w:r>
          </w:p>
        </w:tc>
      </w:tr>
      <w:tr>
        <w:trPr>
          <w:trHeight w:val="23"/>
        </w:trPr>
        <w:tc>
          <w:tcPr>
            <w:tcW w:w="774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(3,958 )</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8"/>
              </w:rPr>
              <w:t>(374,209 )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(343,601 )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(36,537 )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(19,101 )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278,008</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376,890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marketable securities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101,528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(30,897 )</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14,628</w:t>
            </w:r>
          </w:p>
        </w:tc>
        <w:tc>
          <w:tcPr>
            <w:tcW w:w="100" w:type="dxa"/>
            <w:vAlign w:val="bottom"/>
            <w:shd w:val="clear" w:color="auto" w:fill="CFF0FC"/>
          </w:tcPr>
          <w:p>
            <w:pPr>
              <w:spacing w:after="0"/>
              <w:rPr>
                <w:sz w:val="19"/>
                <w:szCs w:val="19"/>
                <w:color w:val="auto"/>
              </w:rPr>
            </w:pPr>
          </w:p>
        </w:tc>
      </w:tr>
      <w:tr>
        <w:trPr>
          <w:trHeight w:val="221"/>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withholding for employee tax obligations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(2,657 )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(1,618 )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(1,230 )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(2,429 )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paid for finance lease</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(408 )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(592 )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(225 )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(2,198 )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investment margin loan</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(15,000 )</w:t>
            </w: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2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(4,520 )</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(21,834 )</w:t>
            </w:r>
          </w:p>
        </w:tc>
      </w:tr>
      <w:tr>
        <w:trPr>
          <w:trHeight w:val="23"/>
        </w:trPr>
        <w:tc>
          <w:tcPr>
            <w:tcW w:w="774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(294 )</w:t>
            </w:r>
          </w:p>
        </w:tc>
      </w:tr>
      <w:tr>
        <w:trPr>
          <w:trHeight w:val="23"/>
        </w:trPr>
        <w:tc>
          <w:tcPr>
            <w:tcW w:w="7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(39,296 )</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97,473</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79,506</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58,177</w:t>
            </w: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84,076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58,042</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84,076</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960" w:type="dxa"/>
            <w:vAlign w:val="bottom"/>
            <w:tcBorders>
              <w:top w:val="single" w:sz="8" w:color="auto"/>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58,177</w:t>
            </w: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84,076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26,642</w:t>
            </w:r>
          </w:p>
        </w:tc>
        <w:tc>
          <w:tcPr>
            <w:tcW w:w="280" w:type="dxa"/>
            <w:vAlign w:val="bottom"/>
          </w:tcPr>
          <w:p>
            <w:pPr>
              <w:spacing w:after="0"/>
              <w:rPr>
                <w:sz w:val="17"/>
                <w:szCs w:val="17"/>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tcPr>
          <w:p>
            <w:pPr>
              <w:spacing w:after="0"/>
              <w:rPr>
                <w:sz w:val="17"/>
                <w:szCs w:val="17"/>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FF0FC"/>
          </w:tcPr>
          <w:p>
            <w:pPr>
              <w:spacing w:after="0"/>
              <w:rPr>
                <w:sz w:val="20"/>
                <w:szCs w:val="20"/>
                <w:color w:val="auto"/>
              </w:rPr>
            </w:pP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fixed assets in accounts payable</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liabilities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8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Pr>
          <w:p>
            <w:pPr>
              <w:spacing w:after="0"/>
              <w:rPr>
                <w:sz w:val="19"/>
                <w:szCs w:val="19"/>
                <w:color w:val="auto"/>
              </w:rPr>
            </w:pPr>
          </w:p>
        </w:tc>
      </w:tr>
      <w:tr>
        <w:trPr>
          <w:trHeight w:val="28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reduced due to lease modification and termination</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removed due to purchasing underlying assets</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28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right-of-use assets reduced due to lease modification and termination</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-4817110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-3625215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-2442210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-1833880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-1816735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-1216660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-1199515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81" w:right="339" w:bottom="231"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(collectively referred to as the Company, unless otherwise noted or the context otherwise requires), is a technology-based company with a well-established laboratory services business and a therapeutic development business. Its laboratory services business – to which the Company formerly referred to as its clinical diagnostic business, includes technical laboratory services and professional interpretation of laboratory results by licensed physicians.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2023, which are included in the Company’s annual report on Form 10-K filed with the Securities and Exchange Commission, or SEC, on February 28, 2024, or the 2023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2023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2023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See the summary of the Company’s significant accounting policies set forth in the notes to its consolidated financial statements included in the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intangible assets and goodwill at time of acquisition and on a recurring basis, and (vi) valuation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Restricted cash consists of legally restricted deposits held in conjunction with a lease contract the Company entered into with a third-party landlord. A bank guarantee equivalent to six months of gross rent plus tax with an expiry date three months post the lease expiry is required under the lease contract, and the lease contract will expire in March 2034. Restricted deposit is recorded in other long-term assets in the Company’s Consolidated Balance Sheets as the balance is not expected to be released to cash within the next 12 months. As of September 30, 2024, the Company had restricted cash of $0.1 million. The Company did not have restricted cash as of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credit loss rate and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roll-forward for the allowance for credit losses for the nine months ended September 30, 2024, dollars in thousands,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620" w:type="dxa"/>
            <w:vAlign w:val="bottom"/>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00" w:type="dxa"/>
            <w:vAlign w:val="bottom"/>
            <w:shd w:val="clear" w:color="auto" w:fill="CFF0FC"/>
          </w:tcPr>
          <w:p>
            <w:pPr>
              <w:spacing w:after="0"/>
              <w:rPr>
                <w:sz w:val="21"/>
                <w:szCs w:val="21"/>
                <w:color w:val="auto"/>
              </w:rPr>
            </w:pP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gain</w:t>
            </w:r>
          </w:p>
        </w:tc>
        <w:tc>
          <w:tcPr>
            <w:tcW w:w="1620" w:type="dxa"/>
            <w:vAlign w:val="bottom"/>
          </w:tcPr>
          <w:p>
            <w:pPr>
              <w:spacing w:after="0"/>
              <w:rPr>
                <w:sz w:val="20"/>
                <w:szCs w:val="20"/>
                <w:color w:val="auto"/>
              </w:rPr>
            </w:pP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(3,210 )</w:t>
            </w: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Write-downs</w:t>
            </w:r>
          </w:p>
        </w:tc>
        <w:tc>
          <w:tcPr>
            <w:tcW w:w="162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(4,310 )</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amounts previously charged off</w:t>
            </w:r>
          </w:p>
        </w:tc>
        <w:tc>
          <w:tcPr>
            <w:tcW w:w="1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tcPr>
          <w:p>
            <w:pPr>
              <w:spacing w:after="0"/>
              <w:rPr>
                <w:sz w:val="21"/>
                <w:szCs w:val="21"/>
                <w:color w:val="auto"/>
              </w:rPr>
            </w:pPr>
          </w:p>
        </w:tc>
      </w:tr>
      <w:tr>
        <w:trPr>
          <w:trHeight w:val="277"/>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September 30, 2024</w:t>
            </w:r>
          </w:p>
        </w:tc>
        <w:tc>
          <w:tcPr>
            <w:tcW w:w="1620" w:type="dxa"/>
            <w:vAlign w:val="bottom"/>
            <w:tcBorders>
              <w:bottom w:val="single" w:sz="8" w:color="auto"/>
            </w:tcBorders>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Investment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redeemable preferred stock investment of $20.4 million as of December 31, 2023, represents the fair value of the 7.3 million shares of preferred stock of a privately-held, Cayman Islands company, Laboratory for Advanced Medicine, Inc., or LAMH, doing business as “Helio Health” that the Company purchased in July 2021. Helio Health is an AI-biotechnology company developing blood-based early cancer detection tests, and the Company expected to gain access to an emerging liquid biopsy testing technology, through this strategic partnership. As the preferred stock had the option to be redeemed, the investment was initially recorded as available-for-sale debt securities with changes in fair value recorded in other comprehensive income (loss).</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June 19, 2024, the Board of Directors of LAMH approved to spin out certain United States-based laboratory and development operations into a separate, privately-held Delaware corporation, Helio Genomics, Inc., or Helio Genomics. The Company received 7.3 million shares of preferred stock of Helio Genomics in connection with this spin-out.</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Post spin-out, Helio Genomics amended and restated its certificate of incorporation on July 25, 2024, which resulted in a change in stockholder’s rights where the Company no longer holds the right to redeem its preferred stock of Helio Genomics. As a result, the Company reclassified $0.4 million unrealized gain out of accumulated other comprehensive income (loss) to net income (loss) in the condensed consolidated financial statements. The Company elected to record its preferred stock investment in Helio Genomics under the measurement alternative in accordance with ASC 321, defined as cost less impairment, adjusted for subsequent observable price changes and are periodically assessed for impairment when events or circumstances indicate that a decline in value may have occurred. As of July 25, 2024, the preferred stock investment carrying value of $9.9 million was recorded as other long-term assets in the Condensed Consolidated Balance Sheets. No impairment loss was recorded as of and for the three and nine months ended September 30, 2024.</w:t>
      </w:r>
    </w:p>
    <w:p>
      <w:pPr>
        <w:spacing w:after="0" w:line="19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Post spin-out, the Company retained the original right to redeem its LAMH preferred stock. As the preferred stock had the option to be redeemed, the investment was recorded as available-for-sale debt securities with changes in fair value recorded in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160"/>
        <w:spacing w:after="0" w:line="261" w:lineRule="auto"/>
        <w:rPr>
          <w:sz w:val="20"/>
          <w:szCs w:val="20"/>
          <w:color w:val="auto"/>
        </w:rPr>
      </w:pPr>
      <w:r>
        <w:rPr>
          <w:rFonts w:ascii="Times New Roman" w:cs="Times New Roman" w:eastAsia="Times New Roman" w:hAnsi="Times New Roman"/>
          <w:sz w:val="18"/>
          <w:szCs w:val="18"/>
          <w:color w:val="auto"/>
        </w:rPr>
        <w:t>comprehensive income (loss). The Company considered a number of factors including, but not limited to: (i) the extent to which the fair value of the investment is less than its amortized cost; (ii) the financial condition and near-term prospects of the investee, and (iii) general market conditions. As a result, the Company recognized a $10.1 million credit loss for the three and nine months ended September 30, 2024, recorded as impairment of available-for-sale debt securities in the Condensed Consolidated Statements of Operations.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roll-forward for the allowance for credit losses related to the available-for-sale debt securities for the nine months ended September 30, 2024, dollars in thousands,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4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Write-downs</w:t>
            </w:r>
          </w:p>
        </w:tc>
        <w:tc>
          <w:tcPr>
            <w:tcW w:w="144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(10,073 )</w:t>
            </w:r>
          </w:p>
        </w:tc>
      </w:tr>
      <w:tr>
        <w:trPr>
          <w:trHeight w:val="237"/>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September 30, 2024</w:t>
            </w:r>
          </w:p>
        </w:tc>
        <w:tc>
          <w:tcPr>
            <w:tcW w:w="1440" w:type="dxa"/>
            <w:vAlign w:val="bottom"/>
            <w:tcBorders>
              <w:top w:val="single" w:sz="8" w:color="auto"/>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on a straight-line basis with definite lives generally over periods ranging from 3 to 14 years. See Note 14, </w:t>
      </w:r>
      <w:r>
        <w:rPr>
          <w:rFonts w:ascii="Times New Roman" w:cs="Times New Roman" w:eastAsia="Times New Roman" w:hAnsi="Times New Roman"/>
          <w:sz w:val="18"/>
          <w:szCs w:val="18"/>
          <w:i w:val="1"/>
          <w:iCs w:val="1"/>
          <w:color w:val="auto"/>
        </w:rPr>
        <w:t>Goodwill and Acquisition-Related Intangibles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Intangibles 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unit's carrying amount exceeds its fair value.</w:t>
      </w:r>
    </w:p>
    <w:p>
      <w:pPr>
        <w:spacing w:after="0" w:line="180"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Company’s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The estimated fair value for each reporting unit is determined based upon the range of estimated values developed from the income and market-based methods. If the estimated fair value of a reporting unit exceeds its carrying value, the goodwill is not impaired, and no further review is required.</w:t>
      </w:r>
    </w:p>
    <w:p>
      <w:pPr>
        <w:spacing w:after="0" w:line="183"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 average cost of capital. Under the income-based approach, it requires management's assumptions and judgments regarding economic conditions in the markets in which the company operates and conditions in the capital markets, many of which are outside of management's control. The market-based fair value methodology looks at the guideline public company valuation method to determine the prices of comparable public companies and looks at merger and acquisition methods, similar businesses that were sold recently, to estimate the value of the reporting units. Under the market-based approach, judgment is required in evaluating market multiples and recent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marketable securities, trade accounts receivable, restricted cash, a redeemable preferred stock investment, preferred stock investments, accounts payable, and accrued liabilities. The carrying amounts of certain of these financial instruments, including cash and cash equivalents, accounts receivable, accounts payable, and accrued liabilities approximate fair value due to their short maturities. Fair value of marketable securities,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660"/>
        <w:spacing w:after="0" w:line="284" w:lineRule="auto"/>
        <w:rPr>
          <w:sz w:val="20"/>
          <w:szCs w:val="20"/>
          <w:color w:val="auto"/>
        </w:rPr>
      </w:pPr>
      <w:r>
        <w:rPr>
          <w:rFonts w:ascii="Times New Roman" w:cs="Times New Roman" w:eastAsia="Times New Roman" w:hAnsi="Times New Roman"/>
          <w:sz w:val="18"/>
          <w:szCs w:val="18"/>
          <w:color w:val="auto"/>
        </w:rPr>
        <w:t xml:space="preserve">redeemable preferred stock investment, and the preferred stock investments is disclosed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accompanying condensed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As of September 30, 2024,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certain periods, a small number of customers has accounted for a significant portion of the Company’s revenue. For the laboratory services business, aggregating customers under common control, one customer comprised of $16.2 million, or 23%, of total revenue in the three months ended September 30, 2024 and $45.7 million, or 22%, of the Company's revenue in the nine months ended September 30, 2024. The same customer contributed $12.2 million, or 14%, of the Company's revenue in the three months ended September 30, 2023 and $24.8 million, or 11%, of the Company's revenue in the nine months ended September 30, 2023. The same customer comprised 10% of total accounts receivable, net, as of September 30, 2024, and 13% of total accounts receivable, net, as of December 31, 2023. For the therapeutic development business, as of September 30, 2024 and December 31, 2023, there is no concentration risk in customers, as it does not have any commercialized or approved product candidates.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operations of the laboratory services business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Company's development efforts could also be delayed or interrupted if it is unable to procure items needed for its therapeutic development activities. The Company’s therapeutic development business also relies on ANP Technologies, Inc., or ANP, for certain laboratory services, equipment, tools, and drug intermediates in connection with research and development efforts. The Company believes there are currently only a few other manufacturers that are capable of supplying and servicing some of the equipment and other materials necessary for its laboratory operations, including collection kits, sequencers and various associated reagents.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entities that it does not control but in which it has the ability to exercise significant influence over operating and financial policies. The Company's 25% interest in Boston Molecules, Inc. is accounted for using the equity method but the investment was reduced to zero in 2020 due to full impairment. The Company has not recorded any additional losses.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and Geographic Information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Reportable segments are identified as components of an enterprise about which separate discrete financial information is available for evaluation by the chief operating decision-maker, or CODM, in making decisions regarding resource allocation and assessing performance. The Company’s CODM is its Chief Executive Officer. The Company reports its business in two segments, a laboratory services business and a therapeutic development business. For further financial information about these segments, including information for each of the periods presented regarding revenue, operating income (loss), and other important information, see Note 7, </w:t>
      </w:r>
      <w:r>
        <w:rPr>
          <w:rFonts w:ascii="Times New Roman" w:cs="Times New Roman" w:eastAsia="Times New Roman" w:hAnsi="Times New Roman"/>
          <w:sz w:val="18"/>
          <w:szCs w:val="18"/>
          <w:i w:val="1"/>
          <w:iCs w:val="1"/>
          <w:color w:val="auto"/>
        </w:rPr>
        <w:t>Reportable Segment and Geographic Information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 (loss) from these translations is recognized in foreign currency translation gain (loss) included in the accompanying Condensed Consolidated Statements of Comprehensive Income (Loss).</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that use the U.S. dollar as their functional currency remeasure monetary assets and liabilities at exchange rates in effect at the end of each period, whereas reagents and supplies, property and nonmonetary assets and liabilities 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measured at historical rates. Gain or loss from these remeasurements was not significant for the three and nine months ended September 30,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releases income tax effects from other comprehensive income (loss) under the portfolio method. During the nine months ended September 30, 2024, the Company reclassified certain investments out of the available-for-sale debt security category. This reclassification resulted in the removal of unrealized gains or losses previously recorded in other comprehensive income (loss). The tax effects of these adjustments have been recognized, as a benefit of $2.1 million, in net loss to avoid stranded tax effects in other comprehensive income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Other comprehensive income (loss) consists of net unrealized gain (loss) on available-for-sale debt securities, net of tax, and foreign currency translation adjustments from the Company's subsidiaries not using the U.S. dollar as their functional currency. Reclassification from other comprehensive income (loss) to net loss, which includes reclassification of stranded tax effects, was $2.7 million and $3.5 million in the three and nine months ended September 30, 2024, respectively, and there were no reclassifications from other comprehensive income (loss) to net loss in the three and nine months ended September 30, 2023. The tax effect related to net unrealized gain on remaining available-for-sale debt securities was zero in each of the three and nine months ended September 30, 2024 due to the valuation allowance in the current period that precludes the Company from recognizing the deferred tax benefit. The tax effects related to net unrealized gain on available-for-sale debt securities were $1.2 million and $2.4 million in the three and nine months ended September 30, 2023,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Institutions, including hospitals, medical institutions, other laboratories, governmental bodies, and large corporations, (ii) Insurance, or (iii) Patients who pay directly. The Company believes these classifications best depict how the nature, amount, timing, and uncertainty of its revenue and cash flows are affected by economic factors. The following table summarizes revenue from contracts with customers by payor type: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3040" w:type="dxa"/>
            <w:vAlign w:val="bottom"/>
            <w:gridSpan w:val="5"/>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6"/>
        </w:trPr>
        <w:tc>
          <w:tcPr>
            <w:tcW w:w="48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50"/>
        </w:trPr>
        <w:tc>
          <w:tcPr>
            <w:tcW w:w="4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Institutional</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39,822</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35,164</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112,376</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100,238</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116,231</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Patient</w:t>
            </w: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21"/>
                <w:szCs w:val="21"/>
                <w:color w:val="auto"/>
              </w:rPr>
            </w:pPr>
          </w:p>
        </w:tc>
      </w:tr>
      <w:tr>
        <w:trPr>
          <w:trHeight w:val="27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84,687</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three and nine months ended September 30, 2024, the Company experienced a change in estimate related to variable consideration. Zero and $1.8 million variable consideration were recognized in the three and nine months ended September 30, 2024, respectively, that related to COVID-19 test services completed in the prior periods due to collection efforts, which was included as revenue from insurance in the table above. The Company estimates variable consideration using the expected value method. Any changes in variable consideration estimates that affect transactions are accounted for on a cumulative catch-up basis. There was $18.9 million variable consideration recognized in the three and nine months ended September 30,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5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 </w:t>
      </w:r>
      <w:r>
        <w:rPr>
          <w:rFonts w:ascii="Times New Roman" w:cs="Times New Roman" w:eastAsia="Times New Roman" w:hAnsi="Times New Roman"/>
          <w:sz w:val="18"/>
          <w:szCs w:val="18"/>
          <w:color w:val="auto"/>
        </w:rPr>
        <w:t>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Net receivable from Insurance and Institutional customers represented 53% and 47%, respectively, as of September 30, 2024, and 39% and 61%, respectively, as of December 31, 2023.</w:t>
      </w:r>
    </w:p>
    <w:p>
      <w:pPr>
        <w:spacing w:after="0" w:line="17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Contracts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Condensed Consolidated Balance Sheets. The Company did not have any contract assets as of September 30, 2024 and December 31, 2023. Contract liabilities are recorded when the Company receives payment prior to completing its obligation to transfer goods or services to a customer. Contract liabilities are included in the current liabilities in Condensed Consolidated Balance Sheets. Revenues of $0.8 million and $1.6 million were recognized for the three and nine months ended September 30, 2024, respectively, and $0.7 million and $2.2 million were recognized for the three and nine months ended September 30, 2023, respectively, related to contract liabilities at the beginning of the respective periods.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Certain amounts reported in the prior period have been reclassified to conform with the current period presentation. The Company has separated prepaid income taxes from other current and long-term assets and separated customer deposits and contract liabilities from accrued liabilities and other liabilities in the Condensed Consolidated Statements of Cash Flow. The Company has also separated interest income and interest expenses from other income (expense) in the Condensed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Segments. This update improves reportable segment disclosure requirements and requires enhanced disclosures related to significant segment expenses regularly provided to the CODM, the amount for other segment items with descriptions of the composition, segment profit or loss, and clarification on if the CODM uses more than one measurement of a segment's profit or loss in assessing segment performance and deciding how to allocate resources. Amendments in this update are effective for fiscal years beginning after December 15, 2023, and interim periods within fiscal years beginning after December 15, 2024. The Company is currently evaluating the impacts of this amendment on the consolidated financial statements and related disclosure.</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This update requires more detailed information on certain income tax disclosures, including the income tax rate reconciliation and income taxes paid. Amendments in this update are effective for annual periods beginning December 15, 2024 for public entities, and early adoption is permitted. The Company is currently evaluating the impacts of this amendment on the consolidated financial statements and related disclosure.</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condensed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31"/>
        </w:trPr>
        <w:tc>
          <w:tcPr>
            <w:tcW w:w="48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1"/>
              </w:rPr>
              <w:t>(120 )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84,521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39,773</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41,104</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(41,104 )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(41,104 )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1"/>
              </w:rPr>
              <w:t>(271 )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155,027</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1"/>
              </w:rPr>
              <w:t>(101 )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373,222</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170,410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1"/>
              </w:rPr>
              <w:t>(150 )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170,991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1"/>
              </w:rPr>
              <w:t>(181 )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596,342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1"/>
              </w:rPr>
              <w:t>(461 )</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602,232</w:t>
            </w:r>
          </w:p>
        </w:tc>
        <w:tc>
          <w:tcPr>
            <w:tcW w:w="100" w:type="dxa"/>
            <w:vAlign w:val="bottom"/>
            <w:shd w:val="clear" w:color="auto" w:fill="CFF0FC"/>
          </w:tcPr>
          <w:p>
            <w:pPr>
              <w:spacing w:after="0"/>
              <w:rPr>
                <w:sz w:val="20"/>
                <w:szCs w:val="20"/>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751,373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1"/>
              </w:rPr>
              <w:t>(732 )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757,259</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776,300</w:t>
            </w:r>
          </w:p>
        </w:tc>
        <w:tc>
          <w:tcPr>
            <w:tcW w:w="2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1"/>
              </w:rPr>
              <w:t>(732 )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782,186</w:t>
            </w:r>
          </w:p>
        </w:tc>
        <w:tc>
          <w:tcPr>
            <w:tcW w:w="100" w:type="dxa"/>
            <w:vAlign w:val="bottom"/>
            <w:shd w:val="clear" w:color="auto" w:fill="CFF0FC"/>
          </w:tcPr>
          <w:p>
            <w:pPr>
              <w:spacing w:after="0"/>
              <w:rPr>
                <w:sz w:val="24"/>
                <w:szCs w:val="24"/>
                <w:color w:val="auto"/>
              </w:rPr>
            </w:pPr>
          </w:p>
        </w:tc>
      </w:tr>
      <w:tr>
        <w:trPr>
          <w:trHeight w:val="629"/>
        </w:trPr>
        <w:tc>
          <w:tcPr>
            <w:tcW w:w="48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-4079875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-4079875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-4079875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-2519680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-2519680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-2519680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-1259205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-1259205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-1259205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-933450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-916305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-916305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31"/>
        </w:trPr>
        <w:tc>
          <w:tcPr>
            <w:tcW w:w="48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privately-held company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119,739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117,982</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(38,291 )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(38,291 )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326,681</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247,104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(490 )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443,150</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20"/>
                <w:szCs w:val="20"/>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770,690</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789,726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(5,945 )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785,690</w:t>
            </w:r>
          </w:p>
        </w:tc>
        <w:tc>
          <w:tcPr>
            <w:tcW w:w="100" w:type="dxa"/>
            <w:vAlign w:val="bottom"/>
            <w:shd w:val="clear" w:color="auto" w:fill="CFF0FC"/>
          </w:tcPr>
          <w:p>
            <w:pPr>
              <w:spacing w:after="0"/>
              <w:rPr>
                <w:sz w:val="22"/>
                <w:szCs w:val="22"/>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-3805555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-3805555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-3805555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-2245360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-2245360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-2245360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-993775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-993775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-993775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-350520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-350520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-350520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$0.7 million and $5.9 million as of September 30, 2024 and December 31, 2023, respectively. Proceeds from sale of available-for-sale securities were $25.9 million and $101.5 million for the three and nine months ended September 30, 2024, respectively. Gross realized losses on the Company's available-for-sale securities were $0.1 million and $1.0 million for the three and nine months ended September 30, 2024, respectively, and the gross realized income was insignificant for the three and nine months ended September 30, 2024. There was no sale of available-for-sale securities or realized gain or loss for each of the three and nine months ended September 30, 2023. The cost of any marketable securities sold is based on the specific-identification method. The Company did not recognize any credit losses for its marketable available-for-sale debt securities during each of the three and nine months ended September 30, 2024 and 2023.</w:t>
      </w:r>
    </w:p>
    <w:p>
      <w:pPr>
        <w:spacing w:after="0" w:line="187"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the reclassification of available-for-sale securities to equity securities and a credit loss of $10.1 million recorded in the three and nine months ended September 30, 2024 related to Helio Health.</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7" w:name="page18"/>
    <w:bookmarkEnd w:id="17"/>
    <w:p>
      <w:pPr>
        <w:ind w:left="1620" w:right="420" w:hanging="1025"/>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67" w:lineRule="exact"/>
        <w:rPr>
          <w:sz w:val="20"/>
          <w:szCs w:val="20"/>
          <w:color w:val="auto"/>
        </w:rPr>
      </w:pPr>
    </w:p>
    <w:p>
      <w:pPr>
        <w:ind w:left="600"/>
        <w:spacing w:after="0"/>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within Level 1 that are observable for the asset or liability, either directly or indirectly.</w:t>
      </w:r>
    </w:p>
    <w:p>
      <w:pPr>
        <w:spacing w:after="0" w:line="360" w:lineRule="exact"/>
        <w:rPr>
          <w:sz w:val="20"/>
          <w:szCs w:val="20"/>
          <w:color w:val="auto"/>
        </w:rPr>
      </w:pPr>
    </w:p>
    <w:p>
      <w:pPr>
        <w:ind w:left="600"/>
        <w:spacing w:after="0"/>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are unobservable for the asset or liability.</w:t>
      </w:r>
    </w:p>
    <w:p>
      <w:pPr>
        <w:spacing w:after="0" w:line="30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above three-tier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0"/>
        </w:trPr>
        <w:tc>
          <w:tcPr>
            <w:tcW w:w="49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9"/>
                <w:szCs w:val="19"/>
                <w:color w:val="auto"/>
              </w:rPr>
            </w:pPr>
          </w:p>
        </w:tc>
      </w:tr>
      <w:tr>
        <w:trPr>
          <w:trHeight w:val="237"/>
        </w:trPr>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5"/>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457,743</w:t>
            </w:r>
          </w:p>
        </w:tc>
        <w:tc>
          <w:tcPr>
            <w:tcW w:w="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457,743</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210,764</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210,764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71,423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71,423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41,104</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41,104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24,927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9,979</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9,979</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4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823,290</w:t>
            </w:r>
          </w:p>
        </w:tc>
        <w:tc>
          <w:tcPr>
            <w:tcW w:w="260" w:type="dxa"/>
            <w:vAlign w:val="bottom"/>
            <w:gridSpan w:val="2"/>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51,083</w:t>
            </w:r>
          </w:p>
        </w:tc>
        <w:tc>
          <w:tcPr>
            <w:tcW w:w="240" w:type="dxa"/>
            <w:vAlign w:val="bottom"/>
            <w:gridSpan w:val="2"/>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747,280</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5"/>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5"/>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49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9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9"/>
                <w:szCs w:val="19"/>
                <w:color w:val="auto"/>
              </w:rPr>
            </w:pPr>
          </w:p>
        </w:tc>
      </w:tr>
      <w:tr>
        <w:trPr>
          <w:trHeight w:val="236"/>
        </w:trPr>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5"/>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365,770</w:t>
            </w:r>
          </w:p>
        </w:tc>
        <w:tc>
          <w:tcPr>
            <w:tcW w:w="40" w:type="dxa"/>
            <w:vAlign w:val="bottom"/>
          </w:tcPr>
          <w:p>
            <w:pPr>
              <w:spacing w:after="0"/>
              <w:rPr>
                <w:sz w:val="20"/>
                <w:szCs w:val="20"/>
                <w:color w:val="auto"/>
              </w:rPr>
            </w:pPr>
          </w:p>
        </w:tc>
        <w:tc>
          <w:tcPr>
            <w:tcW w:w="5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365,770</w:t>
            </w:r>
          </w:p>
        </w:tc>
        <w:tc>
          <w:tcPr>
            <w:tcW w:w="20" w:type="dxa"/>
            <w:vAlign w:val="bottom"/>
          </w:tcPr>
          <w:p>
            <w:pPr>
              <w:spacing w:after="0"/>
              <w:rPr>
                <w:sz w:val="20"/>
                <w:szCs w:val="20"/>
                <w:color w:val="auto"/>
              </w:rPr>
            </w:pP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226,717</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226,717</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privately-held company</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4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40" w:type="dxa"/>
            <w:vAlign w:val="bottom"/>
            <w:tcBorders>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823,981</w:t>
            </w:r>
          </w:p>
        </w:tc>
        <w:tc>
          <w:tcPr>
            <w:tcW w:w="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107,541</w:t>
            </w: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681,002</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-2519680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-2519680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-2519680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September 30, 2024, the Company had preferred stock of two privately-held companies, which were included in other long-term assets in the accompanying Condensed Consolidated Balance Sheets that were measured using unobservable (Level 3) inputs. For the value of the investment in private equity securities, the Company elected to measure them at cost minus impairment, as the preferred stock of the privately-held companies did not have a readily determinable fair value, and no impairment loss was recorded as of September 30, 2024.</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nine months ended September 30,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3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6"/>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Medical lab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5"/>
              </w:rPr>
              <w:t>1 to 13 Years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56,391</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56,025</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25 to 39 Years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5"/>
              </w:rPr>
              <w:t>1 to 10 Years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5"/>
              </w:rPr>
              <w:t>1 to 5 Years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3"/>
              </w:rPr>
              <w:t>7 Years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5"/>
              </w:rPr>
              <w:t>1 to 11 Years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5"/>
              </w:rPr>
              <w:t>5 to 15 Years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5"/>
              </w:rPr>
              <w:t>3 to 8 Years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3"/>
              </w:rPr>
              <w:t>5 Years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0"/>
                <w:szCs w:val="20"/>
                <w:color w:val="auto"/>
              </w:rPr>
            </w:pPr>
          </w:p>
        </w:tc>
      </w:tr>
      <w:tr>
        <w:trPr>
          <w:trHeight w:val="247"/>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135,097</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(49,113 )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(51,633 )</w:t>
            </w:r>
          </w:p>
        </w:tc>
      </w:tr>
      <w:tr>
        <w:trPr>
          <w:trHeight w:val="237"/>
        </w:trPr>
        <w:tc>
          <w:tcPr>
            <w:tcW w:w="3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44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Borders>
              <w:top w:val="single" w:sz="8" w:color="CFF0FC"/>
            </w:tcBorders>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-505460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expenses on fixed assets totaled $3.8 million and $12.4 million for the three and nine months ended September 30, 2024, respectively, and $4.3 million and $13.1 million for the three and nine months ended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80" w:type="dxa"/>
            <w:vAlign w:val="bottom"/>
            <w:gridSpan w:val="6"/>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32,873</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Reagents and supplies</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w:t>
            </w:r>
          </w:p>
        </w:tc>
        <w:tc>
          <w:tcPr>
            <w:tcW w:w="27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56,155</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80" w:type="dxa"/>
            <w:vAlign w:val="bottom"/>
            <w:gridSpan w:val="6"/>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2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Vacation accrual</w:t>
            </w:r>
          </w:p>
        </w:tc>
        <w:tc>
          <w:tcPr>
            <w:tcW w:w="2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liabilities</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468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jc w:val="right"/>
              <w:ind w:right="157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-2828290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-933450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-916305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Accrued legal liabilities as of December 31, 2023 included a previously estimated $6.9 million in connection with the Company's voluntary disclosure process. Accrued legal liabilities as of September 30, 2024 included $1.0 million in connection with the SEC investigation and the reduced amount of $3.0 million in connection with the voluntary disclosure process each as further described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Other accrued liabilities included short-term finance lease liabilities, health insurance liabilities, and third-party billing services.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63"/>
        </w:trPr>
        <w:tc>
          <w:tcPr>
            <w:tcW w:w="7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80" w:type="dxa"/>
            <w:vAlign w:val="bottom"/>
            <w:gridSpan w:val="6"/>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 term</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20"/>
                <w:szCs w:val="20"/>
                <w:color w:val="auto"/>
              </w:rPr>
            </w:pPr>
          </w:p>
        </w:tc>
      </w:tr>
      <w:tr>
        <w:trPr>
          <w:trHeight w:val="247"/>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20"/>
                <w:szCs w:val="20"/>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-187960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 and Geographic Information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viewed and managed its operations in one reportable segment prior to December 2023. Given the advancement of the therapeutic development business, the Company made certain changes, including the bifurcation of financial information for the Company’s budget and forecast planning process in December 2023. The CODM manages the operations of the Company and reviews discrete financial information to make resource decisions for its two operating segments separately. These are laboratory services and therapeutic development. The laboratory services operating segment offers technical laboratory services and professional interpretation of laboratory results by licensed physicians who specialize in pathology and oncology. The therapeutic development operating segment is a pharmaceutical research and development entity that the Company acquired in November 2022. These operating segments do not meet the aggregation criteria and therefore represent the Company’s reportable segments.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operations and assets for its reportable segments as well as geographic information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5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Precision diagnostics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96,531</w:t>
            </w: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Anatomic pathology</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78,361</w:t>
            </w: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BioPharma services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COVID-19</w:t>
            </w:r>
          </w:p>
        </w:tc>
        <w:tc>
          <w:tcPr>
            <w:tcW w:w="1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100" w:type="dxa"/>
            <w:vAlign w:val="bottom"/>
          </w:tcPr>
          <w:p>
            <w:pPr>
              <w:spacing w:after="0"/>
              <w:rPr>
                <w:sz w:val="20"/>
                <w:szCs w:val="20"/>
                <w:color w:val="auto"/>
              </w:rPr>
            </w:pPr>
          </w:p>
        </w:tc>
      </w:tr>
      <w:tr>
        <w:trPr>
          <w:trHeight w:val="241"/>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84,687</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218,708</w:t>
            </w:r>
          </w:p>
        </w:tc>
        <w:tc>
          <w:tcPr>
            <w:tcW w:w="100" w:type="dxa"/>
            <w:vAlign w:val="bottom"/>
            <w:shd w:val="clear" w:color="auto" w:fill="CFF0FC"/>
          </w:tcPr>
          <w:p>
            <w:pPr>
              <w:spacing w:after="0"/>
              <w:rPr>
                <w:sz w:val="20"/>
                <w:szCs w:val="20"/>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1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84,687</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42"/>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25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5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Laboratory services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(11,396 )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(39,973 )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(34,320 )</w:t>
            </w:r>
          </w:p>
        </w:tc>
      </w:tr>
      <w:tr>
        <w:trPr>
          <w:trHeight w:val="243"/>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Therapeutic development</w:t>
            </w:r>
          </w:p>
        </w:tc>
        <w:tc>
          <w:tcPr>
            <w:tcW w:w="1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(5,683 )</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(3,351 )</w:t>
            </w:r>
          </w:p>
        </w:tc>
        <w:tc>
          <w:tcPr>
            <w:tcW w:w="2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(17,810 )</w:t>
            </w:r>
          </w:p>
        </w:tc>
        <w:tc>
          <w:tcPr>
            <w:tcW w:w="2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(10,088 )</w:t>
            </w:r>
          </w:p>
        </w:tc>
      </w:tr>
      <w:tr>
        <w:trPr>
          <w:trHeight w:val="20"/>
        </w:trPr>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1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(17,079 )</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(57,783 )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(44,408 )</w:t>
            </w: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(18,532 )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(43,911 )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(28,889 )</w:t>
            </w:r>
          </w:p>
        </w:tc>
      </w:tr>
      <w:tr>
        <w:trPr>
          <w:trHeight w:val="629"/>
        </w:trPr>
        <w:tc>
          <w:tcPr>
            <w:tcW w:w="53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-2794000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-2776855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-2794000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-2776855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-2794000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-2776855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-933450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-916305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tcBorders>
              <w:bottom w:val="single" w:sz="8" w:color="auto"/>
            </w:tcBorders>
            <w:gridSpan w:val="7"/>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8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3"/>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800" w:type="dxa"/>
            <w:vAlign w:val="bottom"/>
            <w:gridSpan w:val="2"/>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3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3"/>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4"/>
                <w:szCs w:val="14"/>
                <w:color w:val="auto"/>
              </w:rPr>
            </w:pPr>
          </w:p>
        </w:tc>
        <w:tc>
          <w:tcPr>
            <w:tcW w:w="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1,145,471</w:t>
            </w:r>
          </w:p>
        </w:tc>
        <w:tc>
          <w:tcPr>
            <w:tcW w:w="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1,233,763</w:t>
            </w:r>
          </w:p>
        </w:tc>
        <w:tc>
          <w:tcPr>
            <w:tcW w:w="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revenue:</w:t>
            </w: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278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840" w:type="dxa"/>
            <w:vAlign w:val="bottom"/>
            <w:tcBorders>
              <w:top w:val="single" w:sz="8" w:color="auto"/>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65,703</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78,974</w:t>
            </w:r>
          </w:p>
        </w:tc>
        <w:tc>
          <w:tcPr>
            <w:tcW w:w="800" w:type="dxa"/>
            <w:vAlign w:val="bottom"/>
            <w:gridSpan w:val="2"/>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189,052</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countries</w:t>
            </w: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foreign</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7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84,687</w:t>
            </w:r>
          </w:p>
        </w:tc>
        <w:tc>
          <w:tcPr>
            <w:tcW w:w="800" w:type="dxa"/>
            <w:vAlign w:val="bottom"/>
            <w:gridSpan w:val="2"/>
            <w:shd w:val="clear" w:color="auto" w:fill="CFF0FC"/>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3"/>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4"/>
                <w:szCs w:val="14"/>
                <w:color w:val="auto"/>
              </w:rPr>
            </w:pPr>
          </w:p>
        </w:tc>
        <w:tc>
          <w:tcPr>
            <w:tcW w:w="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101,790</w:t>
            </w:r>
          </w:p>
        </w:tc>
        <w:tc>
          <w:tcPr>
            <w:tcW w:w="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countries</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foreign</w:t>
            </w:r>
          </w:p>
        </w:tc>
        <w:tc>
          <w:tcPr>
            <w:tcW w:w="20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32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4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-4911090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-4911090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-4911090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-3891280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-2116455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-2116455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-2116455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-1790700</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-1773555</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-1773555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-1773555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-350520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Notes payable as of September 30, 2024 consisted of $2.9 million of notes payable related to an installment sale contract the Company entered in February 2022 for a building. The notes payable related to the installment sale are due in February 2030, and carry an interest rate of 1.08%. The current portion and noncurrent portion are $0.4 million and $2.5 million, respectively, and the noncurrent portion is included in the other long-term liabilities in the accompanying Condensed Consolidated Balance Sheets. The related interest expenses for the three and nine months ended September 30, 2024 and 2023 were not significant.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certain purchase commitments with its vendors, consisting primarily of services, reagent and supplies, computer software, and medical lab equipment. As of September 30, 2024, the Company had purchase obligations of $42.1 million, of which, $30.5 million is payable within 12 months, and the remainder, $11.6 million, is payable within the next 5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Similar to other laboratories in the industry, the Company is currently being audited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is working with HRSA’s auditors to resolve any issues related to its audit, including any reimbursed amounts that may need to be returned to HRSA. The Company has also received a CID issued by the DOJ pursuant to the False Claims Act related to the DOJ’s investigation that the Company submitted or caused to be submitted false claims to the Uninsured Program.</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is fully cooperating with the DOJ in connection with the CIDs that it has received. The Company cannot currently predict when these CID and HRSA audit matters will be resolved, the reasonable or likely outcome of these matters, or their potential impact, which may materially and adversely affect the Company’s business, prospects, and financial condition. The Company cannot reasonably estimate the loss or range of loss, if any, that may result from any material government investigations,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CID or audit matters.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and as previously disclosed, the SEC is conducting a non-public formal investigation, which relates to (i) the matters raised in the requests for the CID regarding allegations of medically unnecessary laboratory testing, improper billing for laboratory testing, and remuneration received or provided in violation of the Anti-Kickback Statute and the Stark Law and (ii) the Company’s Exchange Act reports filed for 2018 through 2020. On May 6, 2024, the SEC staff advised the Company that the SEC staff made a preliminary determination to recommend that the SEC file an enforcement action against the Company based on a corporate negligence theory, which, if authorized, would allege violations of Sections 17(a)(2) and 17(a)(3) of the Securities Act of 1933, as amended, Sections 13(a), 13(b)(2)(A) and 13(b)(2)(B) of the Exchange Act, and Rules 13a-1, 13a-13, and 12b-20 thereunder. The Company and the SEC staff have been in communication regarding these matters, and the Company has fully cooperated with the SEC in its requests. While the Company does not believe that any enforcement recommendation is warranted and denies all liability, the Company has recorded a $1.0 million potential liability with respect to this matter. While the Company believes this amount is a reasonable estimate, the actual amount of liability, when and if, ultimately determined may be materially higher than this estimate.</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relation to a recent advisory opinion issued by the Office of Inspector General of the Department of Health and Human Services, or the OIG, the Company’s subsidiary, Symphony Buyer, Inc., or Inform Diagnostics, initiated a voluntary disclosure process with the appropriate government contact. The Company had previously estimated and recorded $6.9 million as a liability in its financial statements in connection with this voluntary disclosure. However, the Company has now reached a settlement in principle with the OIG for approximately $3.0 million and has now recorded $3.0 million for this liability in its condensed consolidated financial statements. This settlement in principle is subject to execution of a definitive settlement agreement. While this $3.0 million amount has been deemed reasonable by the Company's management, it could change as and if the definitive settlement agreement is finalized.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 lessee to various non-cancelable operating leases with varying terms through March 2034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2" w:name="page23"/>
    <w:bookmarkEnd w:id="22"/>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Coppell, Texas; Needham, Massachusetts; Phoenix, Arizona; and Alpharetta, Georgia.</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7"/>
        </w:trPr>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21"/>
                <w:szCs w:val="2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were operating and finance lease expenses: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48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5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4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68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operating and finance leases were the following:</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gridSpan w:val="2"/>
          </w:tcPr>
          <w:p>
            <w:pPr>
              <w:spacing w:after="0"/>
              <w:rPr>
                <w:sz w:val="24"/>
                <w:szCs w:val="24"/>
                <w:color w:val="auto"/>
              </w:rPr>
            </w:pPr>
          </w:p>
        </w:tc>
      </w:tr>
      <w:tr>
        <w:trPr>
          <w:trHeight w:val="23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6.13 years</w:t>
            </w:r>
          </w:p>
        </w:tc>
        <w:tc>
          <w:tcPr>
            <w:tcW w:w="60" w:type="dxa"/>
            <w:vAlign w:val="bottom"/>
          </w:tcPr>
          <w:p>
            <w:pPr>
              <w:spacing w:after="0"/>
              <w:rPr>
                <w:sz w:val="20"/>
                <w:szCs w:val="20"/>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5.28 %</w:t>
            </w:r>
          </w:p>
        </w:tc>
      </w:tr>
      <w:tr>
        <w:trPr>
          <w:trHeight w:val="252"/>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2.08 years</w:t>
            </w:r>
          </w:p>
        </w:tc>
        <w:tc>
          <w:tcPr>
            <w:tcW w:w="60" w:type="dxa"/>
            <w:vAlign w:val="bottom"/>
          </w:tcPr>
          <w:p>
            <w:pPr>
              <w:spacing w:after="0"/>
              <w:rPr>
                <w:sz w:val="21"/>
                <w:szCs w:val="2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-1365250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-1365250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-1365250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gridSpan w:val="2"/>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6"/>
                <w:szCs w:val="16"/>
                <w:color w:val="auto"/>
              </w:rPr>
            </w:pPr>
          </w:p>
        </w:tc>
      </w:tr>
      <w:tr>
        <w:trPr>
          <w:trHeight w:val="236"/>
        </w:trPr>
        <w:tc>
          <w:tcPr>
            <w:tcW w:w="3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 3 months)</w:t>
            </w:r>
          </w:p>
        </w:tc>
        <w:tc>
          <w:tcPr>
            <w:tcW w:w="3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0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20"/>
                <w:szCs w:val="20"/>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(1,243 )</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76"/>
        </w:trPr>
        <w:tc>
          <w:tcPr>
            <w:tcW w:w="3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3760" w:type="dxa"/>
            <w:vAlign w:val="bottom"/>
          </w:tcPr>
          <w:p>
            <w:pPr>
              <w:spacing w:after="0"/>
              <w:rPr>
                <w:sz w:val="24"/>
                <w:szCs w:val="24"/>
                <w:color w:val="auto"/>
              </w:rPr>
            </w:pPr>
          </w:p>
        </w:tc>
        <w:tc>
          <w:tcPr>
            <w:tcW w:w="30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-933450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-916305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108"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out space in buildings it owns and leases to third-party tenants under noncancelable operating leases. As of September 30, 2024, the remaining lease term is 3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 The lease income was included in other income, net, in the accompanying Condensed Consolidated Statements of Operations, and was not significant for three and nine months ended September 30, 2024 and 2023. Future lease payments from tenants as of September 30, 2024 are not significant.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0"/>
        </w:trPr>
        <w:tc>
          <w:tcPr>
            <w:tcW w:w="404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63"/>
        </w:trPr>
        <w:tc>
          <w:tcPr>
            <w:tcW w:w="4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34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7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4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Pr>
          <w:p>
            <w:pPr>
              <w:spacing w:after="0"/>
              <w:rPr>
                <w:sz w:val="20"/>
                <w:szCs w:val="20"/>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4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4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4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-25400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consolidated (benefit from) provision for income taxes of $(3.8) million and $(6.3) million for the three and nine months ended September 30, 2024, respectively, compared to $20.3 million and $12.0 million for the three and nine months ended September 30, 2023, respectively. The Company’s effective tax rates were 21% and 14% for the three and nine months ended September 30, 2024, respectively, compared to 296% and (42)% for the three and nine months ended September 30, 2023, respectively. The change in the effective tax rate compared to prior periods is due to the valuation allowance in the current period that precludes the Company from recognizing the full benefit from net operating losses.</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to 2021 tax years. While the timing of the conclusion of the examination is uncertain, the Company believes that adequate amounts have been reserved for adjustments that may result.</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2024, the statutes of limitations will lapse on the Company’s 2020 federal tax year and certain 2019 and 2020 state tax years. The Company does not believe the federal or state statute lapses or any other event will significantly impact the balance of unrecognized tax benefits in the next twelve months.</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received $2.9 million and $9.8 million in income tax refunds in the three and nine months ended September 30, 2024, respectively, and zero and $0.7 million in the three and nine months ended September 30, 2023, respectively. The income tax refunds received, which were due to overpayment in prior years, were not netted in the income tax paid amounts included in the supplemental disclosure in the accompanying Condensed Consolidated Statements of Cash Flows.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purchased $27.1 million worth of Investment Tax Credits, or ITCs, under the transferability provisions of the Inflation Reduction Act of 2022 for $24.6 million in cash. The $2.5 million difference between the purchase price and the face value of the credits has been recorded as an increase to the Company’s income tax benefit for the period. The $24.6 million cash payment was included in the income tax paid amounts included in the supplemental disclosure in the accompanying Condensed Consolidated Statements of Cash Flows.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has utilized $0.4 million of the acquired credits on its 2023 tax return and carried back the remainder of $26.7 million to its 2020 tax year and filed a request for a refund. The full amount of $27.1 million is reflected as an increase in the Company’s prepaid income taxes in the other current assets in the accompanying Condensed Consolidated Balance Sheets as of September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loss per share for the three and nine months ended September 30,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7"/>
        </w:trPr>
        <w:tc>
          <w:tcPr>
            <w:tcW w:w="48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50"/>
        </w:trPr>
        <w:tc>
          <w:tcPr>
            <w:tcW w:w="4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(14,648 )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(13,107 )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(36,820 )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(39,676 )</w:t>
            </w:r>
          </w:p>
        </w:tc>
      </w:tr>
      <w:tr>
        <w:trPr>
          <w:trHeight w:val="228"/>
        </w:trPr>
        <w:tc>
          <w:tcPr>
            <w:tcW w:w="48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7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2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(0.44 )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(0.44 )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-1151255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-1134110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-1151255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-1134110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-1151255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-1134110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-1151255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-816610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-799465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-816610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-799465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-816610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-799465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-816610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 due to the Company's net loss position: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237"/>
        </w:trPr>
        <w:tc>
          <w:tcPr>
            <w:tcW w:w="480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50"/>
        </w:trPr>
        <w:tc>
          <w:tcPr>
            <w:tcW w:w="4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1,315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0"/>
                <w:szCs w:val="20"/>
                <w:color w:val="auto"/>
              </w:rPr>
            </w:pPr>
          </w:p>
        </w:tc>
      </w:tr>
      <w:tr>
        <w:trPr>
          <w:trHeight w:val="23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720" w:type="dxa"/>
            <w:vAlign w:val="bottom"/>
            <w:gridSpan w:val="3"/>
            <w:shd w:val="clear" w:color="auto" w:fill="CFF0FC"/>
          </w:tcPr>
          <w:p>
            <w:pPr>
              <w:jc w:val="right"/>
              <w:ind w:right="1168"/>
              <w:spacing w:after="0" w:line="239" w:lineRule="exact"/>
              <w:rPr>
                <w:sz w:val="20"/>
                <w:szCs w:val="20"/>
                <w:color w:val="auto"/>
              </w:rPr>
            </w:pPr>
            <w:r>
              <w:rPr>
                <w:rFonts w:ascii="Calibri" w:cs="Calibri" w:eastAsia="Calibri" w:hAnsi="Calibri"/>
                <w:sz w:val="20"/>
                <w:szCs w:val="20"/>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20"/>
                <w:szCs w:val="20"/>
                <w:color w:val="auto"/>
              </w:rPr>
            </w:pPr>
          </w:p>
        </w:tc>
      </w:tr>
      <w:tr>
        <w:trPr>
          <w:trHeight w:val="36"/>
        </w:trPr>
        <w:tc>
          <w:tcPr>
            <w:tcW w:w="48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4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bl>
    <w:p>
      <w:pPr>
        <w:spacing w:after="0" w:line="19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2023, the Company also had contingently issuable shares for shares held back in connection with the business combination of Fulgent Pharma, or Pharma Hold Back Shares. In May 2024, the Company released the remaining Pharma Hold Back Shares such that no shares remain contingently issuable in connection with the business combination of Fulgent Pharma.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Linda Marsh, who is a member of the Company’s Board of Directors, or the Board, currently serves as the Senior Executive Vice President of AHMC Healthcare Inc., or AHMC. The Company performs testing services, on an arms-length basis, for AHMC, and recognized an insignificant amount and $0.1 million in revenue from AHMC in the three and nine months ended September 30, 2023, respectively. The revenue recognized for the three and nine months ended September 30, 2024 was not significant. As of September 30, 2024 and December 31, 2023, insignificant amounts were owed to the Company by AHMC, which is included in trade accounts receivable, net, in the accompanying Condensed Consolidated Balance Sheets, in connection with this relationship.</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Ming Hsieh, the Chief Executive Officer and Chairperson of the Board, is on the board of directors and an approximately 20% owner of ANP, with which the Company entered into certain drug-related licensing and development service agreements. The Chief Executive Officer of Fulgent Pharma, Ray Yin, is the Founder, President and Chief Technology Officer of ANP. The Company incurred $0.6 million and $1.6 million related to the licensing and development services in the three and nine months ended September 30, 2024, respectively, and $0.4 million and $1.9 million in the three and nine months ended September 30, 2023, respectively. As of September 30, 2024 and December 31, 2023, the Company owed $0.2 million and zero, respectively, to ANP in connection with these relationships. The Company also entered into an employee service agreement with ANP in April 2023 and recognized an insignificant amount and $0.1 million in the three and nine months ended September 30, 2024, respectively, and insignificant amounts in each of the three and nine months ended September 30, 2023. Insignificant amounts were owed to the Company by ANP in connection with the employee service agreement as of September 30, 2024 and December 31,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14. Goodwill and Acquisition-Related Intangibles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change in the carrying amount in the nine months ended September 30, 2024. Goodwill as of September 30,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by reporting unit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4"/>
                <w:szCs w:val="14"/>
                <w:color w:val="auto"/>
              </w:rPr>
            </w:pPr>
          </w:p>
        </w:tc>
        <w:tc>
          <w:tcPr>
            <w:tcW w:w="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1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-187960</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two operating segments represented the two reporting units.</w:t>
      </w:r>
    </w:p>
    <w:p>
      <w:pPr>
        <w:spacing w:after="0" w:line="162"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on December 31st of each year and more frequently if events or circumstances indicate a potential impairment.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a full goodwill impairment loss for the goodwill of its laboratory services reporting unit as of December 31, 2023 due to a continued decline in its share price and market capitalization.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Based upon the results of the quantitative assessments the Company performed as of December 31, 2023, the Company concluded that the fair values of the therapeutic development reporting unit and the IPR&amp;D asset at December 31, 2023, were greater than the carrying values and that there was no impairment. There have been no significant changes in the nine months ended September 30, 2024.</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color w:val="auto"/>
        </w:rPr>
        <w:t>Summaries of intangible asset balances as of September 30, 2024 and December 31,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180" w:type="dxa"/>
            <w:vAlign w:val="bottom"/>
          </w:tcPr>
          <w:p>
            <w:pPr>
              <w:spacing w:after="0"/>
              <w:rPr>
                <w:sz w:val="16"/>
                <w:szCs w:val="16"/>
                <w:color w:val="auto"/>
              </w:rPr>
            </w:pPr>
          </w:p>
        </w:tc>
        <w:tc>
          <w:tcPr>
            <w:tcW w:w="15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04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 Years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83,132</w:t>
            </w:r>
          </w:p>
        </w:tc>
        <w:tc>
          <w:tcPr>
            <w:tcW w:w="1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(17,482 )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(12,586 )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65,650</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Royalty-free technology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(1,801 )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(1,390 )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(1,277 )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Trade name, net</w:t>
            </w:r>
          </w:p>
        </w:tc>
        <w:tc>
          <w:tcPr>
            <w:tcW w:w="37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(1,178 )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(899 )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patent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6"/>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Purchased patent, net</w:t>
            </w:r>
          </w:p>
        </w:tc>
        <w:tc>
          <w:tcPr>
            <w:tcW w:w="37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137,115</w:t>
            </w:r>
          </w:p>
        </w:tc>
        <w:tc>
          <w:tcPr>
            <w:tcW w:w="1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-4268470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-3642995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-3642995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-3016885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-2391410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-2391410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-1765300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-1139190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business combination of Fulgent Pharma in 2022 and has an indefinite life until research and development efforts are completed or abandoned. All other finite-lived acquisition-related intangibles related to the business combinations in 2022 and 2021 are amortized on a straight-line basis over their estimated lives, which approximates the pattern in which the economic benefits of the intangible assets are expected to be realized.</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$2.0 million and $6.0 million in the three and nine months ended September 30, 2024, respectively, and $2.0 million and $5.9 million for the three and nine months ended September 30, 2023, respectively.</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finite-lived intangible assets recorded as of September 30, 2024, and assuming no subsequent impairment of the underlying assets, the annual amortization expense for intangible assets is expected to be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69"/>
        </w:trPr>
        <w:tc>
          <w:tcPr>
            <w:tcW w:w="3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tcPr>
          <w:p>
            <w:pPr>
              <w:jc w:val="right"/>
              <w:ind w:right="1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 3 months)</w:t>
            </w:r>
          </w:p>
        </w:tc>
        <w:tc>
          <w:tcPr>
            <w:tcW w:w="4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shd w:val="clear" w:color="auto" w:fill="CFF0FC"/>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00" w:type="dxa"/>
            <w:vAlign w:val="bottom"/>
          </w:tcPr>
          <w:p>
            <w:pPr>
              <w:spacing w:after="0"/>
              <w:rPr>
                <w:sz w:val="21"/>
                <w:szCs w:val="21"/>
                <w:color w:val="auto"/>
              </w:rPr>
            </w:pPr>
          </w:p>
        </w:tc>
      </w:tr>
      <w:tr>
        <w:trPr>
          <w:trHeight w:val="277"/>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72,525</w:t>
            </w:r>
          </w:p>
        </w:tc>
        <w:tc>
          <w:tcPr>
            <w:tcW w:w="100" w:type="dxa"/>
            <w:vAlign w:val="bottom"/>
            <w:shd w:val="clear" w:color="auto" w:fill="CFF0FC"/>
          </w:tcPr>
          <w:p>
            <w:pPr>
              <w:spacing w:after="0"/>
              <w:rPr>
                <w:sz w:val="24"/>
                <w:szCs w:val="24"/>
                <w:color w:val="auto"/>
              </w:rPr>
            </w:pPr>
          </w:p>
        </w:tc>
      </w:tr>
      <w:tr>
        <w:trPr>
          <w:trHeight w:val="628"/>
        </w:trPr>
        <w:tc>
          <w:tcPr>
            <w:tcW w:w="3760" w:type="dxa"/>
            <w:vAlign w:val="bottom"/>
            <w:tcBorders>
              <w:top w:val="single" w:sz="8" w:color="CFF0FC"/>
            </w:tcBorders>
          </w:tcPr>
          <w:p>
            <w:pPr>
              <w:spacing w:after="0"/>
              <w:rPr>
                <w:sz w:val="24"/>
                <w:szCs w:val="24"/>
                <w:color w:val="auto"/>
              </w:rPr>
            </w:pPr>
          </w:p>
        </w:tc>
        <w:tc>
          <w:tcPr>
            <w:tcW w:w="3840" w:type="dxa"/>
            <w:vAlign w:val="bottom"/>
            <w:tcBorders>
              <w:top w:val="single" w:sz="8" w:color="CFF0FC"/>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811"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15. Stock Repurchase Program</w:t>
      </w:r>
    </w:p>
    <w:p>
      <w:pPr>
        <w:spacing w:after="0" w:line="121" w:lineRule="exact"/>
        <w:rPr>
          <w:sz w:val="20"/>
          <w:szCs w:val="20"/>
          <w:color w:val="auto"/>
        </w:rPr>
      </w:pPr>
    </w:p>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repurchased zero and 10,000 shares of its common stock, respectively, at an aggregate cost of $0.2 million, under the stock repurchase program. During the three and nine months ended September 30, 2023, the Company repurchased 80,000 shares of its common stock at an aggregate cost of $2.2 million. As of September 30, 2024, a total of approximately $150.5 million remained available for future repurchases of its common stock under the stock repurchase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Retirement Plans</w:t>
      </w:r>
    </w:p>
    <w:p>
      <w:pPr>
        <w:spacing w:after="0" w:line="121"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provides safe harbor match of the employee contribution to his or her 401(k) Plan account. Total Company matching contributions to the 401(k) Plan were $1.2 million and $3.1 million for the three and nine months ended September 30, 2024, respectively, and $0.7 million and $2.5 million for the three and nine months ended September 30,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November 8, 2024, the Company has received the full amount of $26.7 million of ITCs that were carried back to the 2020 tax year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more details.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2023, filed with the SEC on February 28, 2024, or the 2023 Annual Report. As used in this discussion and analysis and elsewhere in this report, unless the context otherwise requires, the terms “Fulgent,” the “Company,” “we,” “us” and “our” refer to Fulgent Genetics, Inc. and its consolidated subsidiaries.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the development of our drug candidates, as well as anticipated trends in our business and industry. These forward-looking statements are subject to a number of risks and uncertainties, including, among others, those described under “Item 1A. Risk Factors” in Part I of the 2023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to which we formerly referred to as our clinical diagnostic business, includes technical laboratory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For more information, see “Item 1A. Risk Factors” in Part I of the 2023 Annual Report. In addition, our performance in any period is affected by a number of other factors. See the description of some of the material factors affecting our performance in “Item 7. Management’s Discussion and Analysis of Financial Condition and Results of Operations” of the 2023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9" w:name="page30"/>
    <w:bookmarkEnd w:id="29"/>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For a financial overview relating to our results of operations, including general descriptions of the make-up of material line items of our statement of operations data, see “Item 7. Management’s Discussion and Analysis of Financial Condition and Results of Operations” of the 2023 Annual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1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1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1"/>
                <w:szCs w:val="11"/>
                <w:color w:val="auto"/>
              </w:rPr>
            </w:pPr>
          </w:p>
        </w:tc>
        <w:tc>
          <w:tcPr>
            <w:tcW w:w="54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6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vMerge w:val="restart"/>
          </w:tcPr>
          <w:p>
            <w:pPr>
              <w:spacing w:after="0"/>
              <w:rPr>
                <w:sz w:val="11"/>
                <w:szCs w:val="11"/>
                <w:color w:val="auto"/>
              </w:rPr>
            </w:pPr>
          </w:p>
        </w:tc>
        <w:tc>
          <w:tcPr>
            <w:tcW w:w="620" w:type="dxa"/>
            <w:vAlign w:val="bottom"/>
            <w:gridSpan w:val="2"/>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 Data:</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20" w:type="dxa"/>
            <w:vAlign w:val="bottom"/>
            <w:vMerge w:val="continue"/>
          </w:tcPr>
          <w:p>
            <w:pPr>
              <w:spacing w:after="0"/>
              <w:rPr>
                <w:sz w:val="16"/>
                <w:szCs w:val="16"/>
                <w:color w:val="auto"/>
              </w:rPr>
            </w:pPr>
          </w:p>
        </w:tc>
        <w:tc>
          <w:tcPr>
            <w:tcW w:w="660" w:type="dxa"/>
            <w:vAlign w:val="bottom"/>
            <w:tcBorders>
              <w:bottom w:val="single" w:sz="8" w:color="auto"/>
            </w:tcBorders>
            <w:gridSpan w:val="4"/>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2220" w:type="dxa"/>
            <w:vAlign w:val="bottom"/>
            <w:gridSpan w:val="1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thousands, except percentages)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71,743</w:t>
            </w:r>
          </w:p>
        </w:tc>
        <w:tc>
          <w:tcPr>
            <w:tcW w:w="12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84,687</w:t>
            </w:r>
          </w:p>
        </w:tc>
        <w:tc>
          <w:tcPr>
            <w:tcW w:w="16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(12,944 )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color w:val="auto"/>
              </w:rPr>
              <w:t>(15 )% $</w:t>
            </w: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207,256</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218,708</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(11,452 )</w:t>
            </w:r>
          </w:p>
        </w:tc>
        <w:tc>
          <w:tcPr>
            <w:tcW w:w="10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44,843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131,890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139,481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(7,591 )</w:t>
            </w:r>
          </w:p>
        </w:tc>
        <w:tc>
          <w:tcPr>
            <w:tcW w:w="10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39,844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(13,073 )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75,366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(3,861 )</w:t>
            </w:r>
          </w:p>
        </w:tc>
        <w:tc>
          <w:tcPr>
            <w:tcW w:w="1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36,703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29,488</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Selling and marketing</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4"/>
              </w:rPr>
              <w:t>(1,037 )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26,708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(4,259 )</w:t>
            </w:r>
          </w:p>
        </w:tc>
        <w:tc>
          <w:tcPr>
            <w:tcW w:w="10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20,950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17,498</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63,765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57,293</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5,973</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5,887</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69"/>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43,850</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39,630</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right w:val="single" w:sz="8" w:color="CFF0FC"/>
            </w:tcBorders>
            <w:shd w:val="clear" w:color="auto" w:fill="CFF0FC"/>
          </w:tcPr>
          <w:p>
            <w:pPr>
              <w:spacing w:after="0"/>
              <w:rPr>
                <w:sz w:val="14"/>
                <w:szCs w:val="14"/>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133,149</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123,635</w:t>
            </w:r>
          </w:p>
        </w:tc>
        <w:tc>
          <w:tcPr>
            <w:tcW w:w="24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(17,079 )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(17,293 )</w:t>
            </w: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(8081 )%</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(57,783 )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(44,408 )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(13,375 )</w:t>
            </w:r>
          </w:p>
        </w:tc>
        <w:tc>
          <w:tcPr>
            <w:tcW w:w="1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(expenses):</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23,181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0" w:type="dxa"/>
            <w:vAlign w:val="bottom"/>
          </w:tcPr>
          <w:p>
            <w:pPr>
              <w:spacing w:after="0"/>
              <w:rPr>
                <w:sz w:val="1"/>
                <w:szCs w:val="1"/>
                <w:color w:val="auto"/>
              </w:rPr>
            </w:pPr>
          </w:p>
        </w:tc>
      </w:tr>
      <w:tr>
        <w:trPr>
          <w:trHeight w:val="139"/>
        </w:trPr>
        <w:tc>
          <w:tcPr>
            <w:tcW w:w="26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Impairment of available-for-sale debt</w:t>
            </w:r>
          </w:p>
        </w:tc>
        <w:tc>
          <w:tcPr>
            <w:tcW w:w="2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(10,073 )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(10,073 )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(10,073 )</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(10,073 )</w:t>
            </w:r>
          </w:p>
        </w:tc>
        <w:tc>
          <w:tcPr>
            <w:tcW w:w="10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 net</w:t>
            </w: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right w:val="single" w:sz="8" w:color="CFF0FC"/>
            </w:tcBorders>
            <w:shd w:val="clear" w:color="auto" w:fill="CFF0FC"/>
          </w:tcPr>
          <w:p>
            <w:pPr>
              <w:spacing w:after="0"/>
              <w:rPr>
                <w:sz w:val="15"/>
                <w:szCs w:val="15"/>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(1,453 )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4"/>
              </w:rPr>
              <w:t>(8,099 )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w w:val="96"/>
              </w:rPr>
              <w:t>(122 )%</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13,872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(1,647 )</w:t>
            </w:r>
          </w:p>
        </w:tc>
        <w:tc>
          <w:tcPr>
            <w:tcW w:w="10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(18,532 )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(25,392 )</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6"/>
              </w:rPr>
              <w:t>(370 )%</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4"/>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(43,911 )</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(28,889 )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(15,022 )</w:t>
            </w:r>
          </w:p>
        </w:tc>
        <w:tc>
          <w:tcPr>
            <w:tcW w:w="1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from) provision for income taxes</w:t>
            </w:r>
          </w:p>
        </w:tc>
        <w:tc>
          <w:tcPr>
            <w:tcW w:w="2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(3,838 )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(24,164 )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w w:val="96"/>
              </w:rPr>
              <w:t>(119 )%</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(6,281 )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(18,297 )</w:t>
            </w:r>
          </w:p>
        </w:tc>
        <w:tc>
          <w:tcPr>
            <w:tcW w:w="10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from consolidated operations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(14,694 )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color w:val="auto"/>
              </w:rPr>
              <w:t>(13,466 )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4"/>
              </w:rPr>
              <w:t>(1,228 )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(37,630 )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(40,905 )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loss attributable to noncontrolling</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(419 )</w:t>
            </w:r>
          </w:p>
        </w:tc>
        <w:tc>
          <w:tcPr>
            <w:tcW w:w="100" w:type="dxa"/>
            <w:vAlign w:val="bottom"/>
          </w:tcPr>
          <w:p>
            <w:pPr>
              <w:spacing w:after="0"/>
              <w:rPr>
                <w:sz w:val="12"/>
                <w:szCs w:val="12"/>
                <w:color w:val="auto"/>
              </w:rPr>
            </w:pP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loss attributable to Fulgent</w:t>
            </w: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(14,648 )</w:t>
            </w:r>
          </w:p>
        </w:tc>
        <w:tc>
          <w:tcPr>
            <w:tcW w:w="2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43"/>
              <w:spacing w:after="0" w:line="155" w:lineRule="exact"/>
              <w:rPr>
                <w:sz w:val="20"/>
                <w:szCs w:val="20"/>
                <w:color w:val="auto"/>
              </w:rPr>
            </w:pPr>
            <w:r>
              <w:rPr>
                <w:rFonts w:ascii="Times New Roman" w:cs="Times New Roman" w:eastAsia="Times New Roman" w:hAnsi="Times New Roman"/>
                <w:sz w:val="14"/>
                <w:szCs w:val="14"/>
                <w:color w:val="auto"/>
              </w:rPr>
              <w:t>(13,107 )</w:t>
            </w:r>
          </w:p>
        </w:tc>
        <w:tc>
          <w:tcPr>
            <w:tcW w:w="3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5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w w:val="94"/>
              </w:rPr>
              <w:t>(1,541 )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12 %</w:t>
            </w:r>
          </w:p>
        </w:tc>
        <w:tc>
          <w:tcPr>
            <w:tcW w:w="34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00" w:type="dxa"/>
            <w:vAlign w:val="bottom"/>
            <w:gridSpan w:val="4"/>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(36,820 )</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(39,676 )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1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1"/>
                <w:szCs w:val="11"/>
                <w:color w:val="auto"/>
              </w:rPr>
            </w:pPr>
          </w:p>
        </w:tc>
        <w:tc>
          <w:tcPr>
            <w:tcW w:w="620" w:type="dxa"/>
            <w:vAlign w:val="bottom"/>
            <w:gridSpan w:val="2"/>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14"/>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laboratory services:</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Precision diagnostics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43,582</w:t>
            </w:r>
          </w:p>
        </w:tc>
        <w:tc>
          <w:tcPr>
            <w:tcW w:w="260" w:type="dxa"/>
            <w:vAlign w:val="bottom"/>
          </w:tcPr>
          <w:p>
            <w:pPr>
              <w:spacing w:after="0"/>
              <w:rPr>
                <w:sz w:val="15"/>
                <w:szCs w:val="15"/>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36,691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124,172</w:t>
            </w:r>
          </w:p>
        </w:tc>
        <w:tc>
          <w:tcPr>
            <w:tcW w:w="1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96,531</w:t>
            </w: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27,641</w:t>
            </w:r>
          </w:p>
        </w:tc>
        <w:tc>
          <w:tcPr>
            <w:tcW w:w="1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Anatomic pathology</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24,560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(332 )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4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70,766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78,361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(7,595 )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BioPharma services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(563 )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4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(10,486 )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234"/>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COVID-19</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90"/>
              <w:spacing w:after="0" w:line="234" w:lineRule="exact"/>
              <w:rPr>
                <w:sz w:val="20"/>
                <w:szCs w:val="20"/>
                <w:color w:val="auto"/>
              </w:rPr>
            </w:pPr>
            <w:r>
              <w:rPr>
                <w:rFonts w:ascii="Calibri" w:cs="Calibri" w:eastAsia="Calibri" w:hAnsi="Calibri"/>
                <w:sz w:val="20"/>
                <w:szCs w:val="20"/>
                <w:color w:val="auto"/>
              </w:rPr>
              <w:t>—</w:t>
            </w:r>
          </w:p>
        </w:tc>
        <w:tc>
          <w:tcPr>
            <w:tcW w:w="160" w:type="dxa"/>
            <w:vAlign w:val="bottom"/>
          </w:tcPr>
          <w:p>
            <w:pPr>
              <w:spacing w:after="0"/>
              <w:rPr>
                <w:sz w:val="20"/>
                <w:szCs w:val="20"/>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18,940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(18,940 )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Pr>
          <w:p>
            <w:pPr>
              <w:spacing w:after="0"/>
              <w:rPr>
                <w:sz w:val="20"/>
                <w:szCs w:val="20"/>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23,129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(21,012 )</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36"/>
        </w:trPr>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laboratory services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71,743</w:t>
            </w:r>
          </w:p>
        </w:tc>
        <w:tc>
          <w:tcPr>
            <w:tcW w:w="26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84,687</w:t>
            </w:r>
          </w:p>
        </w:tc>
        <w:tc>
          <w:tcPr>
            <w:tcW w:w="24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720" w:type="dxa"/>
            <w:vAlign w:val="bottom"/>
            <w:gridSpan w:val="4"/>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(12,944 )</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5"/>
          </w:tcPr>
          <w:p>
            <w:pPr>
              <w:jc w:val="right"/>
              <w:ind w:right="40"/>
              <w:spacing w:after="0" w:line="156" w:lineRule="exact"/>
              <w:rPr>
                <w:sz w:val="20"/>
                <w:szCs w:val="20"/>
                <w:color w:val="auto"/>
              </w:rPr>
            </w:pPr>
            <w:r>
              <w:rPr>
                <w:rFonts w:ascii="Times New Roman" w:cs="Times New Roman" w:eastAsia="Times New Roman" w:hAnsi="Times New Roman"/>
                <w:sz w:val="11"/>
                <w:szCs w:val="11"/>
                <w:color w:val="auto"/>
              </w:rPr>
              <w:t xml:space="preserve">(15 )% </w:t>
            </w:r>
            <w:r>
              <w:rPr>
                <w:rFonts w:ascii="Times New Roman" w:cs="Times New Roman" w:eastAsia="Times New Roman" w:hAnsi="Times New Roman"/>
                <w:sz w:val="18"/>
                <w:szCs w:val="18"/>
                <w:color w:val="auto"/>
                <w:vertAlign w:val="superscript"/>
              </w:rPr>
              <w:t>$</w:t>
            </w:r>
          </w:p>
        </w:tc>
        <w:tc>
          <w:tcPr>
            <w:tcW w:w="6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207,256</w:t>
            </w:r>
          </w:p>
        </w:tc>
        <w:tc>
          <w:tcPr>
            <w:tcW w:w="140" w:type="dxa"/>
            <w:vAlign w:val="bottom"/>
          </w:tcPr>
          <w:p>
            <w:pPr>
              <w:spacing w:after="0"/>
              <w:rPr>
                <w:sz w:val="14"/>
                <w:szCs w:val="14"/>
                <w:color w:val="auto"/>
              </w:rPr>
            </w:pPr>
          </w:p>
        </w:tc>
        <w:tc>
          <w:tcPr>
            <w:tcW w:w="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218,708</w:t>
            </w:r>
          </w:p>
        </w:tc>
        <w:tc>
          <w:tcPr>
            <w:tcW w:w="100" w:type="dxa"/>
            <w:vAlign w:val="bottom"/>
          </w:tcPr>
          <w:p>
            <w:pPr>
              <w:spacing w:after="0"/>
              <w:rPr>
                <w:sz w:val="14"/>
                <w:szCs w:val="14"/>
                <w:color w:val="auto"/>
              </w:rPr>
            </w:pPr>
          </w:p>
        </w:tc>
        <w:tc>
          <w:tcPr>
            <w:tcW w:w="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(11,452 )</w:t>
            </w:r>
          </w:p>
        </w:tc>
        <w:tc>
          <w:tcPr>
            <w:tcW w:w="8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-4482465</wp:posOffset>
            </wp:positionV>
            <wp:extent cx="7132320" cy="1117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-3110865</wp:posOffset>
            </wp:positionV>
            <wp:extent cx="7132320" cy="1117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7132320" cy="1111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7132320" cy="1200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-3453765</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-3453765</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-3453765</wp:posOffset>
            </wp:positionV>
            <wp:extent cx="774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-3453765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-3453765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-3453765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-2682240</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-2682240</wp:posOffset>
            </wp:positionV>
            <wp:extent cx="774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-2682240</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-2682240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-2682240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-2682240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1117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1797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Revenue decreased by $12.9 million, or (15)%, from $84.7 million in the three months ended September 30, 2023 to $71.7 million in the three months ended September 30, 2024. The decrease in revenue was due to decreases of $18.9 million in COVID-19 testing services, $0.6 million in BioPharma services, and $0.3 million in anatomic pathology, partially offset by an increase of $6.9 million in precision diagnostics.</w:t>
      </w:r>
    </w:p>
    <w:p>
      <w:pPr>
        <w:spacing w:after="0" w:line="176"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Revenue decreased by $11.5 million, or (5)%, from $218.7 million in the nine months ended September 30, 2023 to $207.3 million in the nine months ended September 30, 2024. The decrease in revenue was due to decreases of $21.0 million in COVID-19 testing services, $10.5 million in BioPharma services, $7.6 million in anatomic pathology, and partially offset by an increase of $27.6 million in precision diagnostics.</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increase in precision diagnostics revenue was due to a growth in our reproductive health services and growth in our specialized oncology tests and testing services. The decrease in anatomic pathology services was due to decreased reimbursement rates from third-party payors. We have also experienced, and expect to continue to experience, seasonality in our anatomic pathology testing services which are dependent on patients being treated by healthcare providers. The volume of our anatomic pathology testing services can fluctuate during holiday periods and can decline due to extreme adverse weather conditions. The decrease in BioPharma</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305" w:right="259" w:bottom="1440" w:gutter="0" w:footer="0" w:header="0"/>
        </w:sectPr>
      </w:pPr>
    </w:p>
    <w:bookmarkStart w:id="30" w:name="page31"/>
    <w:bookmarkEnd w:id="30"/>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services was attributed to timing of BioPharma service projects. We also expect that our BioPharma services revenue may continue to fluctuate from period to period due in part to the length of the sales cycle and variation in timing amongst projects. The decrease in COVID-19 testing services was primarily due to revenue recorded for testing services completed in the prior periods and ceased testing operations at the end of March 2023.</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or maintain these revenue streams are 1) the average price point we offer and the reimbursement rate from third-party payors; 2) the concentration of our payor base; 3) the competitive advantage we have due to our broad and flexible test menu, detection rate, and turnaround times; and 4) growth in size of an addressable market. Estimated collection amounts from third-party payors are subject to the complexities and ambiguities of billing, reimbursement regulations and claims processing, as well as considerations unique to Medicare and Medicaid programs.</w:t>
      </w:r>
    </w:p>
    <w:p>
      <w:pPr>
        <w:spacing w:after="0" w:line="183"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on a smaller number of customers. For the laboratory services business, aggregating customers that are under common control, one customer comprised of $16.2 million, or 23%, of total revenue in the three months ended September 30, 2024, and contributed $45.7 million, or 22%, of total revenue in the nine months ended September 30, 2024. The same customer contributed $12.2 million, or 14%, of total revenue in the three months ended September 30, 2023, and contributed $24.8 million, or 11%, of the Company’s total revenue in the nine months ended September 30, 2023. To reduce this revenue concentration risk, we continue to focus on increasing the number of customers and thereby reducing the concentration.</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Revenue from non-U.S. sources increased by $0.3 million, or 6%, from $5.7 million in the three months ended September 30, 2023 to $6.0 million in the three months ended September 30, 2024. Revenue from non-U.S. sources increased by $3.6 million, or 25%, from $14.6 million in the nine months ended September 30, 2023, to $18.2 million in the nine months ended September 30, 2024. The increase in revenue from non-U.S. sources between periods were primarily due to new foreign customers and increased sales of our testing services to some of our existing non-U.S.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gridSpan w:val="2"/>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1"/>
                <w:szCs w:val="11"/>
                <w:color w:val="auto"/>
              </w:rPr>
            </w:pPr>
          </w:p>
        </w:tc>
        <w:tc>
          <w:tcPr>
            <w:tcW w:w="62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44,843</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0 %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131,890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139,481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(7,591 )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8"/>
        </w:trPr>
        <w:tc>
          <w:tcPr>
            <w:tcW w:w="2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Cost of revenue as a % of revenue</w:t>
            </w:r>
          </w:p>
        </w:tc>
        <w:tc>
          <w:tcPr>
            <w:tcW w:w="200" w:type="dxa"/>
            <w:vAlign w:val="bottom"/>
          </w:tcPr>
          <w:p>
            <w:pPr>
              <w:spacing w:after="0"/>
              <w:rPr>
                <w:sz w:val="16"/>
                <w:szCs w:val="16"/>
                <w:color w:val="auto"/>
              </w:rPr>
            </w:pP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63 %</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53 %</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64 %</w:t>
            </w:r>
          </w:p>
        </w:tc>
        <w:tc>
          <w:tcPr>
            <w:tcW w:w="2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111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cost of revenue was flat in the three-month periods ended September 30, 2024 and 2023.</w:t>
      </w:r>
    </w:p>
    <w:p>
      <w:pPr>
        <w:spacing w:after="0" w:line="22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consolidated cost of revenue decreased by $7.6 million, or 5%, from $139.5 million in the nine months ended September 30, 2023 to $131.9 million in the nine months ended September 30, 2024. The decrease in consolidated cost of revenue was due to decreases of $5.6 million in consulting and outside labor costs, $1.7 million in software expenses, $1.0 million in shipping and handling expenses, related to the cessation of COVID-19 testing operations, closure of a laboratory, and efforts of optimizing cost structures mentioned above, partially offset by an increase of $0.9 million in reagents and supply expenses.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consolidated cost of revenues as a percentage of revenue increased from 53% in the three months ended September 30, 2023 to 63% in the three months ended September 30, 2024, due to revenue recorded in 2023 for COVID-19 testing services completed in the prior periods due to collection efforts. Our consolidated cost of revenues as a percentage of revenue was flat in the nine-month periods ended September 30, 2024 and 2023.</w:t>
      </w:r>
    </w:p>
    <w:p>
      <w:pPr>
        <w:spacing w:after="0" w:line="17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gross profit decreased by $13.1 million, or 33%, from $39.8 million in the three months ended September 30, 2023 to $26.8 million in the three months ended September 30, 2024, and decreased by $3.9 million, or 5%, from $79.2 million in the nine months ended September 30, 2023 to $75.4 million in the nine months ended September 30, 2024. Our gross profit as a percentage of revenue, or gross margin, decreased from 47% in the three months ended September 30, 2023 to 37% in the three months ended September 30, 2024, and was flat in the nine-month periods ended September 30, 2024 and 2023. The decreases were primarily due to revenue recorded in 2023 for COVID-19 testing services completed in the prior periods due to collection efforts.</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01"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vMerge w:val="restart"/>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1"/>
                <w:szCs w:val="11"/>
                <w:color w:val="auto"/>
              </w:rPr>
            </w:pPr>
          </w:p>
        </w:tc>
        <w:tc>
          <w:tcPr>
            <w:tcW w:w="50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vMerge w:val="restart"/>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1"/>
                <w:szCs w:val="11"/>
                <w:color w:val="auto"/>
              </w:rPr>
            </w:pPr>
          </w:p>
        </w:tc>
        <w:tc>
          <w:tcPr>
            <w:tcW w:w="520" w:type="dxa"/>
            <w:vAlign w:val="bottom"/>
          </w:tcPr>
          <w:p>
            <w:pPr>
              <w:jc w:val="right"/>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2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Laboratory services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7,448</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(468 )</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21,635</w:t>
            </w:r>
          </w:p>
        </w:tc>
        <w:tc>
          <w:tcPr>
            <w:tcW w:w="2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21,760</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(125 )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6"/>
        </w:trPr>
        <w:tc>
          <w:tcPr>
            <w:tcW w:w="3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Therapeutic development</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4,803</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2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87 %</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15,068</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7,728</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2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research and development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22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36,703</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29,488</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-144780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-144780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-144780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-144780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-144780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-144780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laboratory services business were mainly for developing our technology and testing services and were flat for both periods.</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business were primarily related to the development of FID-007. The expenses increased by $2.2 million, or 87%, from $2.6 million in the three months ended September 30, 2023 to $4.8 million in the three months ended September 30, 2024, and increased by $7.3 million, or 95%, from $7.7 million in the nine months ended September 30, 2023 to $15.1 million in the nine months ended September 30, 2024. The increase was primarily due to increased expenses related to the drug study with our contract research organizations. We anticipate research and development expenditures for this segment to continue to increase as we began enrollment for the phase 2 study of FID-007 in the second quarter of 2024. We expect to enroll approximately 40 patients at various sites for this clinical trial and to complete enrollment by late 2025. We anticipate research and development expenditures to continue to increase as and if the pace of our enrollment for the phase 2 study for FID-007 increases and as we continue the development of FID-007 and other potential therapeutic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consolidated selling and marketing expenses decreased by $1.0 million, or 10%, from $10.2 million in the three months ended September 30, 2023 to $9.1 million in the three months ended September 30, 2024. The decrease in consolidated selling and marketing expenses was due to decreases of $0.6 million in marketing expenses and $0.5 million in facility expense.</w:t>
      </w:r>
    </w:p>
    <w:p>
      <w:pPr>
        <w:spacing w:after="0" w:line="176"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decreased by $4.3 million, or 14%, from $31.0 million in the nine months ended September 30, 2023 to $26.7 million in the nine months ended September 30, 2024. The decrease in consolidated selling and marketing expenses was primarily due to decreases of $1.3 million in facility expenses, $1.2 million in consulting and outside labor costs, $1.0 million in marketing expenses, $0.5 million in depreciation expenses, and $0.4 million in commission.</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change in selling and marketing expenses for both periods is mainly due to discontinued marketing efforts related to the COVID-19 business and decreased revenue in BioPharma and anatomic pathology services. The decrease in facility expenses was due to terminations of certain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$3.5 million, or 20%, from $17.5 million in the three months ended September 30, 2023 to $21.0 million in the three months ended September 30, 2024. The increase in consolidated general and administrative expenses was due to increases of $4.2 million in personnel costs including equity-based compensation expenses, and $3.3 million in provision for credit losses, partially offset by decreases of $3.1 million in legal expenses, $0.5 million in facility expenses, and $0.4 million in depreciation expenses.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$6.5 million, or 11%, from $57.3 million in the nine months ended September 30, 2023 to $63.8 million in the nine months ended September 30, 2024. The increase in consolidated general and administrative expenses was due to increases of $9.5 million in personnel expense including equity-based compensation expenses and $1.1 million in provision for credit losses, partially offset by decreases of $2.7 million in legal expenses and $1.4 million in business insurance.</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increase in personnel expenses was primarily due to equity awards granted after the third quarter of 2023; the decrease in legal expenses was due to reversal of overly accrued legal liabilities; the decrease in business insurance was due to savings from consolidating coverages and service providers; and the change in facility expenses was due to the relocation of certain facilities and termination of certain leases.</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305"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represents amortization expenses on the intangible assets that arose from the business combinations in prior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new business combinations in the current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Other income, net, is primarily comprised of interest income, which was $8.1 million and $23.2 million in the three and nine months ended September 30, 2024, respectively, and $6.5 million and $15.8 million in the three and nine months ended September 30, 2023, respectively, and impairment of available-for-sale debt securities of $10.1 million in each of the three and nine months ended September 30, 2024. This interest income included interest earned on marketable securities and realized gain or loss on sale of marketable securities. The increase in interest income was primarily due to increased interest rates on marketable securities relative to the prior comparative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Provision for Income Taxes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(Benefit from) provision for income taxes was $(3.8) million and $(6.3) million for the three and nine months ended September 30, 2024, respectively, compared with $20.3 million and $12.0 million for the three and nine months ended September 30, 2023, respectively. The effective tax rates were 21% and 14% for the three and nine months ended September 30, 2024, respectively, compared to 296% and (42)% for the three and nine months ended September 30, 2023. The change in the effective tax rate compared to prior period is due to the valuation allowance in the current period that precludes us from recognizing the benefit from our net operating losses.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the minority shareholders from entities not wholly owned.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had $815.4 million and $847.7 million in cash, cash equivalents, restricted cash, and marketable securities as of September 30, 2024 and December 31, 2023, respectively. Our marketable securities primarily consist of U.S. government and U.S. agency debt securities, U.S. treasury bills, corporate bonds, municipal bonds, and Yankee debt securities.</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cash are to fund our operations, repurchase our stock, and to fund strategic acquisitions as we continue to invest in and seek to grow our business. Cash used to fund operating expenses is impacted by the timing of our expense payments, as reflected in the changes in our outstanding accounts payable and accrued expenses.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existing cash, cash equivalents, and short-term marketable securities will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seasonality,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ind w:right="100"/>
        <w:spacing w:after="0" w:line="261" w:lineRule="auto"/>
        <w:rPr>
          <w:sz w:val="20"/>
          <w:szCs w:val="20"/>
          <w:color w:val="auto"/>
        </w:rPr>
      </w:pPr>
      <w:r>
        <w:rPr>
          <w:rFonts w:ascii="Times New Roman" w:cs="Times New Roman" w:eastAsia="Times New Roman" w:hAnsi="Times New Roman"/>
          <w:sz w:val="18"/>
          <w:szCs w:val="18"/>
          <w:color w:val="auto"/>
        </w:rPr>
        <w:t>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77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(3,958 )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(30,897 )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(4,520 )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(21,834 )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our operations used $4.0 million of cash, as compared to $12.1 million provided in the nine months ended September 30, 2023. The decrease in cash from operating activities in the nine months ended September 30, 2024, as compared with the corresponding period in 2023 was primarily due to ITCs purchased for $24.6 million in cash in 2024, partially offset by the timing of cash payments for operating expenses. We expect to incur more operating expenses and use more cash in operating activities in the coming quarters as a result of our planned and ongoing clinical trials for FID-007 and as we continue to invest resources to grow our laboratory services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or used in investing activities are impacted by capital expenditures for operation needs and timing of payments, timing of maturities of marketable securities, and discretionary business combinations and other investment.</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September 30, 2024 was $30.9 million, which primarily represents $374.2 million for purchases of marketable securities and $36.5 million for purchases of fixed assets, including real estate consisting of the property where our Alpharetta, Georgia laboratory is located, partially offset by proceeds of $278.0 million from maturities of marketable securities and proceeds of $101.5 million from sales of marketable securities.</w:t>
      </w:r>
    </w:p>
    <w:p>
      <w:pPr>
        <w:spacing w:after="0" w:line="180"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in the nine months ended September 30, 2023 was $14.6 million, which primarily represents proceeds of $376.9 million from maturities of marketable securities, partially offset by $343.6 million for purchases of marketable securities and $19.1 million on purchases of fixed assets, including real estate.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2024 was $4.5 million, which primarily related to $2.7 million common stock withholding for employee tax obligations and $1.2 million for repayment of the notes payable.</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2023 was $21.8 million, which primarily related to $15.0 million repayment to the margin loan account, $2.4 million repayment to the notes payable, $2.2 million repurchase of common stock, and $1.6 million common stock withholding for employee tax obligations.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expect to use any credit facilities for the foreseeable future due to the strong cash position as of September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repurchased zero and 10,000 shares of our common stock, respectively, at an aggregate cost of $0.2 million, under the stock repurchase program. During the three and nine months ended September 30, 2023, we repurchased 80,000 shares of our common stock at an aggregate cost of $2.2 million under the stock repurchase program. As of September 30, 2024, a total of approximately $150.5 million remained available for future repurchases of our common stock under the stock repurchase program.</w:t>
      </w:r>
    </w:p>
    <w:p>
      <w:pPr>
        <w:spacing w:after="0" w:line="28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0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“Item 7, Management’s Discussion and Analysis of Financial Condition and Results of Operations,” included in the 2023 Annual Report.</w:t>
      </w:r>
    </w:p>
    <w:p>
      <w:pPr>
        <w:spacing w:after="0" w:line="26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2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our 2023 Annual Report. There were no material changes during the nine months ended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September 30, 2024. Based on this evaluation, our Chief Executive Officer and Chief Financial Officer concluded that our disclosure controls and procedures were effective as of September 30, 2024.</w:t>
      </w: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13a-15(b) under the Exchange Act) over the financial reporting during the three and nine months ended September 30, 2024 that have materially affected or are reasonably likely to materially affect our internal control over financial reporting.</w:t>
      </w: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and similar matters arising in the ordinary course of our business. As disclosed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to the condensed consolidated financial statements, we are engaged in certain legal proceedings, claims, investigations, audits, and voluntary disclosure processes; and the disclosure set forth in Note 8 relating to these certain legal matters is incorporated herein by reference.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these matters is inherently uncertain, and there can be no assurances that favorable outcomes will be obtained.</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such matters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Except as set forth in the Company’s Quarterly Report on Form 10-Q for the quarterly periods ended March 31, 2024 and June 30, 2024, filed with the SEC on May 3, 2024 and August 2, 2024, respectively, there have been no material changes to the risk factors set forth in Part I, “Item 1A, Risk Factors,” of the 2023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date, we have used $190.8 million of the net proceeds from sales of our common stock, of which, $4.5 million was used for contributions to FF Gene Biotech, prior to the FF Gene Biotech acquisition; $170.5 million was used to fund the Company’s operations and a business combination; and $15.8 million was used to pay off the investment margin loan.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applicable prospectus.</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March 2022, our Board authorized a $250.0 million stock repurchase program. The stock repurchase program has no expiration from the date of authorization. Under the stock repurchase program, the Company may repurchase shares from time to time in the open market or in privately negotiated transactions. All purchases listed below were made in the open market at prevailing market prices and were executed pursuant to trading plans we adopted pursuant to Rule 10b5-1 under the Exchange Act.</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repurchases of shares pursuant to the stock repurchase program during the three months ended September 30, 2024. As of September 30, 2024, a total of approximately $150.5 million remained available for future repurchases of its common stock under the stock repurchase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none of our directors or officers adopted or terminated “Rule 10b5-1 trading arrangement” or “non-Rule 10b5-1 trading arrangement,” as each term is defined in Item 408 of Regulation S-K.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that immediately precedes the signature page to this report and is incorporated herein by reference.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6" w:name="page37"/>
    <w:bookmarkEnd w:id="36"/>
    <w:tbl>
      <w:tblPr>
        <w:tblLayout w:type="fixed"/>
        <w:tblInd w:w="12"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5"/>
        </w:trPr>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3"/>
          </w:tcPr>
          <w:p>
            <w:pPr>
              <w:ind w:left="2300"/>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78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420">
              <w:r>
                <w:rPr>
                  <w:rFonts w:ascii="Times New Roman" w:cs="Times New Roman" w:eastAsia="Times New Roman" w:hAnsi="Times New Roman"/>
                  <w:sz w:val="14"/>
                  <w:szCs w:val="14"/>
                  <w:color w:val="0000FF"/>
                </w:rPr>
                <w:t>Certificate of Incorporation of the registrant, dated May 13, 2016.</w:t>
              </w:r>
            </w:hyperlink>
          </w:p>
        </w:tc>
        <w:tc>
          <w:tcPr>
            <w:tcW w:w="20" w:type="dxa"/>
            <w:vAlign w:val="bottom"/>
            <w:tcBorders>
              <w:bottom w:val="single" w:sz="8" w:color="0000EE"/>
            </w:tcBorders>
          </w:tcPr>
          <w:p>
            <w:pPr>
              <w:spacing w:after="0"/>
              <w:rPr>
                <w:sz w:val="24"/>
                <w:szCs w:val="24"/>
                <w:color w:val="auto"/>
              </w:rPr>
            </w:pPr>
          </w:p>
        </w:tc>
        <w:tc>
          <w:tcPr>
            <w:tcW w:w="2040" w:type="dxa"/>
            <w:vAlign w:val="bottom"/>
            <w:gridSpan w:val="9"/>
          </w:tcPr>
          <w:p>
            <w:pPr>
              <w:spacing w:after="0"/>
              <w:rPr>
                <w:sz w:val="24"/>
                <w:szCs w:val="24"/>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600" w:type="dxa"/>
            <w:vAlign w:val="bottom"/>
            <w:tcBorders>
              <w:bottom w:val="single" w:sz="8" w:color="0000EE"/>
            </w:tcBorders>
            <w:gridSpan w:val="12"/>
          </w:tcPr>
          <w:p>
            <w:pPr>
              <w:spacing w:after="0"/>
              <w:rPr>
                <w:rFonts w:ascii="Times New Roman" w:cs="Times New Roman" w:eastAsia="Times New Roman" w:hAnsi="Times New Roman"/>
                <w:sz w:val="14"/>
                <w:szCs w:val="14"/>
                <w:color w:val="0000FF"/>
              </w:rPr>
            </w:pPr>
            <w:hyperlink r:id="rId421">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240" w:type="dxa"/>
            <w:vAlign w:val="bottom"/>
            <w:gridSpan w:val="3"/>
          </w:tcPr>
          <w:p>
            <w:pPr>
              <w:spacing w:after="0"/>
              <w:rPr>
                <w:sz w:val="24"/>
                <w:szCs w:val="24"/>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48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422">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360" w:type="dxa"/>
            <w:vAlign w:val="bottom"/>
            <w:gridSpan w:val="6"/>
          </w:tcPr>
          <w:p>
            <w:pPr>
              <w:spacing w:after="0"/>
              <w:rPr>
                <w:sz w:val="24"/>
                <w:szCs w:val="24"/>
                <w:color w:val="auto"/>
              </w:rPr>
            </w:pPr>
          </w:p>
        </w:tc>
      </w:tr>
      <w:tr>
        <w:trPr>
          <w:trHeight w:val="39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278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423">
              <w:r>
                <w:rPr>
                  <w:rFonts w:ascii="Times New Roman" w:cs="Times New Roman" w:eastAsia="Times New Roman" w:hAnsi="Times New Roman"/>
                  <w:sz w:val="14"/>
                  <w:szCs w:val="14"/>
                  <w:color w:val="0000FF"/>
                </w:rPr>
                <w:t>Amended and Restated Bylaws of the registrant.</w:t>
              </w:r>
            </w:hyperlink>
          </w:p>
        </w:tc>
        <w:tc>
          <w:tcPr>
            <w:tcW w:w="20" w:type="dxa"/>
            <w:vAlign w:val="bottom"/>
            <w:tcBorders>
              <w:bottom w:val="single" w:sz="8" w:color="0000EE"/>
            </w:tcBorders>
          </w:tcPr>
          <w:p>
            <w:pPr>
              <w:spacing w:after="0"/>
              <w:rPr>
                <w:sz w:val="24"/>
                <w:szCs w:val="24"/>
                <w:color w:val="auto"/>
              </w:rPr>
            </w:pPr>
          </w:p>
        </w:tc>
        <w:tc>
          <w:tcPr>
            <w:tcW w:w="3040" w:type="dxa"/>
            <w:vAlign w:val="bottom"/>
            <w:gridSpan w:val="11"/>
          </w:tcPr>
          <w:p>
            <w:pPr>
              <w:spacing w:after="0"/>
              <w:rPr>
                <w:sz w:val="24"/>
                <w:szCs w:val="24"/>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r>
      <w:tr>
        <w:trPr>
          <w:trHeight w:val="128"/>
        </w:trPr>
        <w:tc>
          <w:tcPr>
            <w:tcW w:w="940" w:type="dxa"/>
            <w:vAlign w:val="bottom"/>
          </w:tcPr>
          <w:p>
            <w:pPr>
              <w:spacing w:after="0"/>
              <w:rPr>
                <w:sz w:val="11"/>
                <w:szCs w:val="11"/>
                <w:color w:val="auto"/>
              </w:rPr>
            </w:pPr>
          </w:p>
        </w:tc>
        <w:tc>
          <w:tcPr>
            <w:tcW w:w="558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260" w:type="dxa"/>
            <w:vAlign w:val="bottom"/>
            <w:gridSpan w:val="4"/>
          </w:tcPr>
          <w:p>
            <w:pPr>
              <w:jc w:val="right"/>
              <w:ind w:right="140"/>
              <w:spacing w:after="0" w:line="129" w:lineRule="exact"/>
              <w:rPr>
                <w:sz w:val="20"/>
                <w:szCs w:val="20"/>
                <w:color w:val="auto"/>
              </w:rPr>
            </w:pPr>
            <w:r>
              <w:rPr>
                <w:rFonts w:ascii="Times New Roman" w:cs="Times New Roman" w:eastAsia="Times New Roman" w:hAnsi="Times New Roman"/>
                <w:sz w:val="14"/>
                <w:szCs w:val="14"/>
                <w:color w:val="0000FF"/>
                <w:w w:val="85"/>
              </w:rPr>
              <w:t>of</w:t>
            </w: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24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r>
      <w:tr>
        <w:trPr>
          <w:trHeight w:val="128"/>
        </w:trPr>
        <w:tc>
          <w:tcPr>
            <w:tcW w:w="940" w:type="dxa"/>
            <w:vAlign w:val="bottom"/>
          </w:tcPr>
          <w:p>
            <w:pPr>
              <w:spacing w:after="0"/>
              <w:rPr>
                <w:sz w:val="11"/>
                <w:szCs w:val="11"/>
                <w:color w:val="auto"/>
              </w:rPr>
            </w:pPr>
          </w:p>
        </w:tc>
        <w:tc>
          <w:tcPr>
            <w:tcW w:w="554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300" w:type="dxa"/>
            <w:vAlign w:val="bottom"/>
            <w:gridSpan w:val="5"/>
          </w:tcPr>
          <w:p>
            <w:pPr>
              <w:jc w:val="right"/>
              <w:ind w:right="140"/>
              <w:spacing w:after="0" w:line="129" w:lineRule="exact"/>
              <w:rPr>
                <w:sz w:val="20"/>
                <w:szCs w:val="20"/>
                <w:color w:val="auto"/>
              </w:rPr>
            </w:pPr>
            <w:r>
              <w:rPr>
                <w:rFonts w:ascii="Times New Roman" w:cs="Times New Roman" w:eastAsia="Times New Roman" w:hAnsi="Times New Roman"/>
                <w:sz w:val="14"/>
                <w:szCs w:val="14"/>
                <w:color w:val="0000FF"/>
              </w:rPr>
              <w:t>of</w:t>
            </w: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24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w:t>
            </w:r>
          </w:p>
        </w:tc>
      </w:tr>
      <w:tr>
        <w:trPr>
          <w:trHeight w:val="128"/>
        </w:trPr>
        <w:tc>
          <w:tcPr>
            <w:tcW w:w="9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80" w:type="dxa"/>
            <w:vAlign w:val="bottom"/>
            <w:tcBorders>
              <w:top w:val="single" w:sz="8" w:color="0000FF"/>
            </w:tcBorders>
            <w:gridSpan w:val="5"/>
          </w:tcPr>
          <w:p>
            <w:pPr>
              <w:spacing w:after="0"/>
              <w:rPr>
                <w:sz w:val="11"/>
                <w:szCs w:val="11"/>
                <w:color w:val="auto"/>
              </w:rPr>
            </w:pPr>
          </w:p>
        </w:tc>
        <w:tc>
          <w:tcPr>
            <w:tcW w:w="220" w:type="dxa"/>
            <w:vAlign w:val="bottom"/>
            <w:gridSpan w:val="2"/>
          </w:tcPr>
          <w:p>
            <w:pPr>
              <w:spacing w:after="0"/>
              <w:rPr>
                <w:sz w:val="11"/>
                <w:szCs w:val="11"/>
                <w:color w:val="auto"/>
              </w:rPr>
            </w:pPr>
          </w:p>
        </w:tc>
      </w:tr>
      <w:tr>
        <w:trPr>
          <w:trHeight w:val="295"/>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r>
      <w:tr>
        <w:trPr>
          <w:trHeight w:val="188"/>
        </w:trPr>
        <w:tc>
          <w:tcPr>
            <w:tcW w:w="940" w:type="dxa"/>
            <w:vAlign w:val="bottom"/>
          </w:tcPr>
          <w:p>
            <w:pPr>
              <w:spacing w:after="0"/>
              <w:rPr>
                <w:sz w:val="16"/>
                <w:szCs w:val="16"/>
                <w:color w:val="auto"/>
              </w:rPr>
            </w:pP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136" w:lineRule="exact"/>
        <w:rPr>
          <w:sz w:val="20"/>
          <w:szCs w:val="20"/>
          <w:color w:val="auto"/>
        </w:rPr>
      </w:pPr>
    </w:p>
    <w:p>
      <w:pPr>
        <w:ind w:left="952" w:hanging="939"/>
        <w:spacing w:after="0"/>
        <w:tabs>
          <w:tab w:leader="none" w:pos="952"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76" w:lineRule="exact"/>
        <w:rPr>
          <w:rFonts w:ascii="Times New Roman" w:cs="Times New Roman" w:eastAsia="Times New Roman" w:hAnsi="Times New Roman"/>
          <w:sz w:val="14"/>
          <w:szCs w:val="14"/>
          <w:color w:val="auto"/>
        </w:rPr>
      </w:pPr>
    </w:p>
    <w:p>
      <w:pPr>
        <w:ind w:left="292" w:hanging="292"/>
        <w:spacing w:after="0"/>
        <w:tabs>
          <w:tab w:leader="none" w:pos="2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11912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292" w:hanging="292"/>
        <w:spacing w:after="0"/>
        <w:tabs>
          <w:tab w:leader="none" w:pos="29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8"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48"/>
        </w:trPr>
        <w:tc>
          <w:tcPr>
            <w:tcW w:w="11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Date Filed</w:t>
            </w:r>
          </w:p>
        </w:tc>
      </w:tr>
      <w:tr>
        <w:trPr>
          <w:trHeight w:val="190"/>
        </w:trPr>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5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5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5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419"/>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8/4/2023</w:t>
            </w:r>
          </w:p>
        </w:tc>
      </w:tr>
    </w:tbl>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6792" w:space="380"/>
            <w:col w:w="3940"/>
          </w:cols>
          <w:pgMar w:left="328" w:top="981"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696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7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28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205"/>
        </w:trPr>
        <w:tc>
          <w:tcPr>
            <w:tcW w:w="4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Ming Hsieh</w:t>
            </w:r>
          </w:p>
        </w:tc>
      </w:tr>
      <w:tr>
        <w:trPr>
          <w:trHeight w:val="214"/>
        </w:trPr>
        <w:tc>
          <w:tcPr>
            <w:tcW w:w="4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7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28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205"/>
        </w:trPr>
        <w:tc>
          <w:tcPr>
            <w:tcW w:w="4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Paul Kim</w:t>
            </w:r>
          </w:p>
        </w:tc>
      </w:tr>
      <w:tr>
        <w:trPr>
          <w:trHeight w:val="234"/>
        </w:trPr>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862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Ming Hsieh</w:t>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4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87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Paul Kim</w:t>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4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September 30, 2024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Ming Hsieh</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20"/>
        <w:spacing w:after="0"/>
        <w:tabs>
          <w:tab w:leader="none" w:pos="5680" w:val="left"/>
          <w:tab w:leader="none" w:pos="816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Paul Kim</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6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lvl w:ilvl="1">
      <w:lvlJc w:val="left"/>
      <w:lvlText w:val="%2"/>
      <w:numFmt w:val="decimal"/>
      <w:start w:val="104"/>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20" Type="http://schemas.openxmlformats.org/officeDocument/2006/relationships/hyperlink" Target="https://www.sec.gov/Archives/edgar/data/1674930/000119312516700733/d360404dex31.htm" TargetMode="External"/><Relationship Id="rId421" Type="http://schemas.openxmlformats.org/officeDocument/2006/relationships/hyperlink" Target="https://www.sec.gov/Archives/edgar/data/1674930/000119312516700733/d360404dex311.htm" TargetMode="External"/><Relationship Id="rId422" Type="http://schemas.openxmlformats.org/officeDocument/2006/relationships/hyperlink" Target="https://www.sec.gov/Archives/edgar/data/1674930/000156459017017670/flgt-ex312_342.htm" TargetMode="External"/><Relationship Id="rId423"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2024-11-08T06:25:47Z</dcterms:created>
  <dcterms:modified xsi:type="dcterms:W3CDTF">2024-11-08T06:25:47Z</dcterms:modified>
</cp:coreProperties>
</file>