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64"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3446780</wp:posOffset>
            </wp:positionH>
            <wp:positionV relativeFrom="paragraph">
              <wp:posOffset>-7620</wp:posOffset>
            </wp:positionV>
            <wp:extent cx="800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80" w:type="dxa"/>
            <w:vAlign w:val="bottom"/>
          </w:tcPr>
          <w:p>
            <w:pPr>
              <w:jc w:val="right"/>
              <w:ind w:right="2300"/>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53"/>
        </w:trPr>
        <w:tc>
          <w:tcPr>
            <w:tcW w:w="4500" w:type="dxa"/>
            <w:vAlign w:val="bottom"/>
            <w:gridSpan w:val="2"/>
          </w:tcPr>
          <w:p>
            <w:pPr>
              <w:jc w:val="center"/>
              <w:ind w:left="105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80" w:type="dxa"/>
            <w:vAlign w:val="bottom"/>
          </w:tcPr>
          <w:p>
            <w:pPr>
              <w:jc w:val="center"/>
              <w:ind w:right="1940"/>
              <w:spacing w:after="0" w:line="15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59"/>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18"/>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89"/>
              </w:rPr>
              <w:t>4399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39"/>
              <w:spacing w:after="0"/>
              <w:rPr>
                <w:sz w:val="20"/>
                <w:szCs w:val="20"/>
                <w:color w:val="auto"/>
              </w:rPr>
            </w:pPr>
            <w:r>
              <w:rPr>
                <w:rFonts w:ascii="Arial" w:cs="Arial" w:eastAsia="Arial" w:hAnsi="Arial"/>
                <w:sz w:val="18"/>
                <w:szCs w:val="18"/>
                <w:b w:val="1"/>
                <w:bCs w:val="1"/>
                <w:color w:val="auto"/>
                <w:w w:val="95"/>
              </w:rPr>
              <w:t>El Monte, CA</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80" w:type="dxa"/>
            <w:vAlign w:val="bottom"/>
          </w:tcPr>
          <w:p>
            <w:pPr>
              <w:jc w:val="right"/>
              <w:ind w:right="2500"/>
              <w:spacing w:after="0"/>
              <w:rPr>
                <w:sz w:val="20"/>
                <w:szCs w:val="20"/>
                <w:color w:val="auto"/>
              </w:rPr>
            </w:pPr>
            <w:r>
              <w:rPr>
                <w:rFonts w:ascii="Arial" w:cs="Arial" w:eastAsia="Arial" w:hAnsi="Arial"/>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6"/>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9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36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2"/>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20"/>
              <w:spacing w:after="0"/>
              <w:rPr>
                <w:sz w:val="20"/>
                <w:szCs w:val="20"/>
                <w:color w:val="auto"/>
              </w:rPr>
            </w:pPr>
            <w:r>
              <w:rPr>
                <w:rFonts w:ascii="Arial" w:cs="Arial" w:eastAsia="Arial" w:hAnsi="Arial"/>
                <w:sz w:val="16"/>
                <w:szCs w:val="16"/>
                <w:b w:val="1"/>
                <w:bCs w:val="1"/>
                <w:color w:val="auto"/>
                <w:w w:val="91"/>
              </w:rPr>
              <w:t>Trading Symbol(s)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86"/>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880" w:type="dxa"/>
            <w:vAlign w:val="bottom"/>
          </w:tcPr>
          <w:p>
            <w:pPr>
              <w:spacing w:after="0"/>
              <w:rPr>
                <w:sz w:val="16"/>
                <w:szCs w:val="16"/>
                <w:color w:val="auto"/>
              </w:rPr>
            </w:pPr>
          </w:p>
        </w:tc>
        <w:tc>
          <w:tcPr>
            <w:tcW w:w="316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6"/>
                <w:szCs w:val="16"/>
                <w:color w:val="auto"/>
                <w:w w:val="97"/>
              </w:rPr>
              <w:t>FLGT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r>
        <w:trPr>
          <w:trHeight w:val="219"/>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8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5" w:lineRule="exact"/>
        <w:rPr>
          <w:sz w:val="24"/>
          <w:szCs w:val="24"/>
          <w:color w:val="auto"/>
        </w:rPr>
      </w:pPr>
    </w:p>
    <w:p>
      <w:pPr>
        <w:jc w:val="both"/>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160"/>
        <w:spacing w:after="0" w:line="25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2023, there were 29,926,846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3"/>
          </w:tcPr>
          <w:p>
            <w:pPr>
              <w:ind w:left="420"/>
              <w:spacing w:after="0"/>
              <w:rPr>
                <w:sz w:val="20"/>
                <w:szCs w:val="20"/>
                <w:color w:val="auto"/>
              </w:rPr>
            </w:pPr>
            <w:r>
              <w:rPr>
                <w:rFonts w:ascii="Arial" w:cs="Arial" w:eastAsia="Arial" w:hAnsi="Arial"/>
                <w:sz w:val="22"/>
                <w:szCs w:val="22"/>
                <w:b w:val="1"/>
                <w:bCs w:val="1"/>
                <w:color w:val="auto"/>
              </w:rPr>
              <w:t>Table of Contents</w:t>
            </w:r>
          </w:p>
        </w:tc>
        <w:tc>
          <w:tcPr>
            <w:tcW w:w="4140" w:type="dxa"/>
            <w:vAlign w:val="bottom"/>
          </w:tcPr>
          <w:p>
            <w:pPr>
              <w:spacing w:after="0"/>
              <w:rPr>
                <w:sz w:val="24"/>
                <w:szCs w:val="24"/>
                <w:color w:val="auto"/>
              </w:rPr>
            </w:pPr>
          </w:p>
        </w:tc>
      </w:tr>
      <w:tr>
        <w:trPr>
          <w:trHeight w:val="48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40" w:type="dxa"/>
            <w:vAlign w:val="bottom"/>
          </w:tcPr>
          <w:p>
            <w:pPr>
              <w:ind w:left="3780"/>
              <w:spacing w:after="0"/>
              <w:rPr>
                <w:sz w:val="20"/>
                <w:szCs w:val="20"/>
                <w:color w:val="auto"/>
              </w:rPr>
            </w:pPr>
            <w:r>
              <w:rPr>
                <w:rFonts w:ascii="Arial" w:cs="Arial" w:eastAsia="Arial" w:hAnsi="Arial"/>
                <w:sz w:val="18"/>
                <w:szCs w:val="18"/>
                <w:b w:val="1"/>
                <w:bCs w:val="1"/>
                <w:color w:val="auto"/>
                <w:w w:val="78"/>
              </w:rPr>
              <w:t>Page</w:t>
            </w:r>
          </w:p>
        </w:tc>
      </w:tr>
      <w:tr>
        <w:trPr>
          <w:trHeight w:val="297"/>
        </w:trPr>
        <w:tc>
          <w:tcPr>
            <w:tcW w:w="7000" w:type="dxa"/>
            <w:vAlign w:val="bottom"/>
            <w:gridSpan w:val="16"/>
          </w:tcPr>
          <w:p>
            <w:pPr>
              <w:spacing w:after="0"/>
              <w:rPr>
                <w:sz w:val="20"/>
                <w:szCs w:val="20"/>
                <w:color w:val="auto"/>
              </w:rPr>
            </w:pPr>
            <w:r>
              <w:rPr>
                <w:rFonts w:ascii="Arial" w:cs="Arial" w:eastAsia="Arial" w:hAnsi="Arial"/>
                <w:sz w:val="18"/>
                <w:szCs w:val="18"/>
                <w:b w:val="1"/>
                <w:bCs w:val="1"/>
                <w:color w:val="0000FF"/>
              </w:rPr>
              <w:t>PART I—FINANCIAL INFORMATION</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Item 1. Financial Statements (Unaudited)</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4140" w:type="dxa"/>
            <w:vAlign w:val="bottom"/>
          </w:tcPr>
          <w:p>
            <w:pPr>
              <w:jc w:val="center"/>
              <w:ind w:left="3690"/>
              <w:spacing w:after="0"/>
              <w:rPr>
                <w:sz w:val="20"/>
                <w:szCs w:val="20"/>
                <w:color w:val="auto"/>
              </w:rPr>
            </w:pPr>
            <w:r>
              <w:rPr>
                <w:rFonts w:ascii="Arial" w:cs="Arial" w:eastAsia="Arial" w:hAnsi="Arial"/>
                <w:sz w:val="18"/>
                <w:szCs w:val="18"/>
                <w:color w:val="auto"/>
                <w:w w:val="79"/>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Item 4. Controls and Procedures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b w:val="1"/>
                <w:bCs w:val="1"/>
                <w:color w:val="0000FF"/>
              </w:rPr>
              <w:t>PART II—OTHER INFORMATION</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Item 1. Legal Proceedings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Item 1A. Risk Factors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Item 5. Other Information</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18"/>
        </w:trPr>
        <w:tc>
          <w:tcPr>
            <w:tcW w:w="7000" w:type="dxa"/>
            <w:vAlign w:val="bottom"/>
            <w:gridSpan w:val="16"/>
          </w:tcPr>
          <w:p>
            <w:pPr>
              <w:spacing w:after="0"/>
              <w:rPr>
                <w:sz w:val="20"/>
                <w:szCs w:val="20"/>
                <w:color w:val="auto"/>
              </w:rPr>
            </w:pPr>
            <w:r>
              <w:rPr>
                <w:rFonts w:ascii="Arial" w:cs="Arial" w:eastAsia="Arial" w:hAnsi="Arial"/>
                <w:sz w:val="18"/>
                <w:szCs w:val="18"/>
                <w:color w:val="0000FF"/>
              </w:rPr>
              <w:t>Exhibit Index</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20" w:type="dxa"/>
            <w:vAlign w:val="bottom"/>
            <w:gridSpan w:val="14"/>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04"/>
        </w:trPr>
        <w:tc>
          <w:tcPr>
            <w:tcW w:w="700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4140" w:type="dxa"/>
            <w:vAlign w:val="bottom"/>
          </w:tcPr>
          <w:p>
            <w:pPr>
              <w:jc w:val="center"/>
              <w:ind w:left="3670"/>
              <w:spacing w:after="0"/>
              <w:rPr>
                <w:sz w:val="20"/>
                <w:szCs w:val="20"/>
                <w:color w:val="auto"/>
              </w:rPr>
            </w:pPr>
            <w:r>
              <w:rPr>
                <w:rFonts w:ascii="Arial" w:cs="Arial" w:eastAsia="Arial" w:hAnsi="Arial"/>
                <w:sz w:val="18"/>
                <w:szCs w:val="18"/>
                <w:color w:val="auto"/>
                <w:w w:val="89"/>
              </w:rPr>
              <w:t>29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1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5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58,348</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79,506</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400,083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446,729</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Trade accounts receivable, net of allowance for credit losses of $33,173 and $41,205</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34,809</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52,749</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35,049</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48,889</w:t>
            </w:r>
          </w:p>
        </w:tc>
        <w:tc>
          <w:tcPr>
            <w:tcW w:w="14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528,289</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627,873</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Marketable securities, long-term</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388,383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326,648</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12,385</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87,556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81,353</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146,473</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150,643</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141,970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143,027</w:t>
            </w:r>
          </w:p>
        </w:tc>
        <w:tc>
          <w:tcPr>
            <w:tcW w:w="14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49,064</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1,354,577</w:t>
            </w:r>
          </w:p>
        </w:tc>
        <w:tc>
          <w:tcPr>
            <w:tcW w:w="3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1,386,053</w:t>
            </w:r>
          </w:p>
        </w:tc>
        <w:tc>
          <w:tcPr>
            <w:tcW w:w="14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20,607</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23,093</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22,229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24,981</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Customer deposit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14,460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10,895</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margin loan</w:t>
            </w:r>
          </w:p>
        </w:tc>
        <w:tc>
          <w:tcPr>
            <w:tcW w:w="3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Notes payable, current portion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5,639</w:t>
            </w:r>
          </w:p>
        </w:tc>
        <w:tc>
          <w:tcPr>
            <w:tcW w:w="14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64,819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88,107</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9,836</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9,836</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16,596</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18,235</w:t>
            </w:r>
          </w:p>
        </w:tc>
        <w:tc>
          <w:tcPr>
            <w:tcW w:w="140" w:type="dxa"/>
            <w:vAlign w:val="bottom"/>
          </w:tcPr>
          <w:p>
            <w:pPr>
              <w:spacing w:after="0"/>
              <w:rPr>
                <w:sz w:val="20"/>
                <w:szCs w:val="20"/>
                <w:color w:val="auto"/>
              </w:rPr>
            </w:pPr>
          </w:p>
        </w:tc>
      </w:tr>
      <w:tr>
        <w:trPr>
          <w:trHeight w:val="23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91,251</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116,178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w w:val="93"/>
              </w:rPr>
              <w:t>Common stock, $0.0001 par value per share, 50,000 shares authorized, 31,728 and 31,248 shares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issued, respectively, and 29,917 and 29,438 shares outstanding,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r>
      <w:tr>
        <w:trPr>
          <w:trHeight w:val="250"/>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8"/>
              </w:rPr>
              <w:t>Preferred stock, $0.0001 par value per share, 1,000 shares authorized, no shares issued or outstanding</w:t>
            </w:r>
          </w:p>
        </w:tc>
        <w:tc>
          <w:tcPr>
            <w:tcW w:w="3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506,075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486,585</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(20,746 )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(20,903 )</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774,431</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801,000</w:t>
            </w:r>
          </w:p>
        </w:tc>
        <w:tc>
          <w:tcPr>
            <w:tcW w:w="14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Fulgent stockholders’ equity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1,259,763</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1,266,685</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40" w:type="dxa"/>
            <w:vAlign w:val="bottom"/>
          </w:tcPr>
          <w:p>
            <w:pPr>
              <w:spacing w:after="0"/>
              <w:rPr>
                <w:sz w:val="20"/>
                <w:szCs w:val="20"/>
                <w:color w:val="auto"/>
              </w:rPr>
            </w:pP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1,263,326</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1,269,875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1,354,577</w:t>
            </w:r>
          </w:p>
        </w:tc>
        <w:tc>
          <w:tcPr>
            <w:tcW w:w="3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1,386,053</w:t>
            </w:r>
          </w:p>
        </w:tc>
        <w:tc>
          <w:tcPr>
            <w:tcW w:w="14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-4105275</wp:posOffset>
            </wp:positionV>
            <wp:extent cx="8572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-4105275</wp:posOffset>
            </wp:positionV>
            <wp:extent cx="8572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-2528570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-2528570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-1893570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-1893570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125,341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134,021</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445,609</w:t>
            </w:r>
          </w:p>
        </w:tc>
        <w:tc>
          <w:tcPr>
            <w:tcW w:w="140" w:type="dxa"/>
            <w:vAlign w:val="bottom"/>
            <w:shd w:val="clear" w:color="auto" w:fill="CFF0FC"/>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137,790</w:t>
            </w:r>
          </w:p>
        </w:tc>
        <w:tc>
          <w:tcPr>
            <w:tcW w:w="140" w:type="dxa"/>
            <w:vAlign w:val="bottom"/>
          </w:tcPr>
          <w:p>
            <w:pPr>
              <w:spacing w:after="0"/>
              <w:rPr>
                <w:sz w:val="20"/>
                <w:szCs w:val="20"/>
                <w:color w:val="auto"/>
              </w:rPr>
            </w:pPr>
          </w:p>
        </w:tc>
      </w:tr>
      <w:tr>
        <w:trPr>
          <w:trHeight w:val="236"/>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65,276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39,383</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307,819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20,806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18,806</w:t>
            </w:r>
          </w:p>
        </w:tc>
        <w:tc>
          <w:tcPr>
            <w:tcW w:w="14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56,015</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20"/>
                <w:szCs w:val="20"/>
                <w:color w:val="auto"/>
              </w:rPr>
            </w:pPr>
          </w:p>
        </w:tc>
      </w:tr>
      <w:tr>
        <w:trPr>
          <w:trHeight w:val="243"/>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40,370</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52,482</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93,092</w:t>
            </w:r>
          </w:p>
        </w:tc>
        <w:tc>
          <w:tcPr>
            <w:tcW w:w="140" w:type="dxa"/>
            <w:vAlign w:val="bottom"/>
            <w:tcBorders>
              <w:top w:val="single" w:sz="8" w:color="CFF0FC"/>
            </w:tcBorders>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214,727</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215,730</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(3,110 )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(8,310 )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51,074</w:t>
            </w:r>
          </w:p>
        </w:tc>
        <w:tc>
          <w:tcPr>
            <w:tcW w:w="140" w:type="dxa"/>
            <w:vAlign w:val="bottom"/>
          </w:tcPr>
          <w:p>
            <w:pPr>
              <w:spacing w:after="0"/>
              <w:rPr>
                <w:sz w:val="20"/>
                <w:szCs w:val="20"/>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from consolidated operations</w:t>
            </w:r>
          </w:p>
        </w:tc>
        <w:tc>
          <w:tcPr>
            <w:tcW w:w="2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w:t>
            </w:r>
          </w:p>
        </w:tc>
        <w:tc>
          <w:tcPr>
            <w:tcW w:w="3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164,656</w:t>
            </w: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0"/>
                <w:szCs w:val="20"/>
                <w:color w:val="auto"/>
              </w:rPr>
            </w:pPr>
          </w:p>
        </w:tc>
      </w:tr>
      <w:tr>
        <w:trPr>
          <w:trHeight w:val="277"/>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 attributable to Fulgent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11,537</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165,516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common share attributable to Fulgent: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(0.38 )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0.38</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(0.90 )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30"/>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29,813</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w:t>
            </w:r>
          </w:p>
        </w:tc>
        <w:tc>
          <w:tcPr>
            <w:tcW w:w="1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29,813</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31,189</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31,225</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-3574415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-3574415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-3574415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-3574415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-2639695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-2639695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-2639695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-2639695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-1362075</wp:posOffset>
            </wp:positionV>
            <wp:extent cx="294068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40685"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-693420</wp:posOffset>
            </wp:positionV>
            <wp:extent cx="294068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40685"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 from consolidated operations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164,656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(1,965 )</w:t>
            </w:r>
          </w:p>
        </w:tc>
        <w:tc>
          <w:tcPr>
            <w:tcW w:w="28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(1,878 )</w:t>
            </w:r>
          </w:p>
        </w:tc>
        <w:tc>
          <w:tcPr>
            <w:tcW w:w="180" w:type="dxa"/>
            <w:vAlign w:val="bottom"/>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(1,797 )</w:t>
            </w:r>
          </w:p>
        </w:tc>
        <w:tc>
          <w:tcPr>
            <w:tcW w:w="30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(1,755 )</w:t>
            </w:r>
          </w:p>
        </w:tc>
        <w:tc>
          <w:tcPr>
            <w:tcW w:w="0" w:type="dxa"/>
            <w:vAlign w:val="bottom"/>
          </w:tcPr>
          <w:p>
            <w:pPr>
              <w:spacing w:after="0"/>
              <w:rPr>
                <w:sz w:val="1"/>
                <w:szCs w:val="1"/>
                <w:color w:val="auto"/>
              </w:rPr>
            </w:pPr>
          </w:p>
        </w:tc>
      </w:tr>
      <w:tr>
        <w:trPr>
          <w:trHeight w:val="250"/>
        </w:trPr>
        <w:tc>
          <w:tcPr>
            <w:tcW w:w="5360" w:type="dxa"/>
            <w:vAlign w:val="bottom"/>
          </w:tcPr>
          <w:p>
            <w:pPr>
              <w:ind w:left="200"/>
              <w:spacing w:after="0"/>
              <w:rPr>
                <w:sz w:val="20"/>
                <w:szCs w:val="20"/>
                <w:color w:val="auto"/>
              </w:rPr>
            </w:pPr>
            <w:r>
              <w:rPr>
                <w:rFonts w:ascii="Arial" w:cs="Arial" w:eastAsia="Arial" w:hAnsi="Arial"/>
                <w:sz w:val="18"/>
                <w:szCs w:val="18"/>
                <w:color w:val="auto"/>
              </w:rPr>
              <w:t>Net (loss) gain on available-for-sale debt securities, net of tax</w:t>
            </w:r>
          </w:p>
        </w:tc>
        <w:tc>
          <w:tcPr>
            <w:tcW w:w="280" w:type="dxa"/>
            <w:vAlign w:val="bottom"/>
          </w:tcPr>
          <w:p>
            <w:pPr>
              <w:spacing w:after="0"/>
              <w:rPr>
                <w:sz w:val="21"/>
                <w:szCs w:val="21"/>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(2,132 )</w:t>
            </w:r>
          </w:p>
        </w:tc>
        <w:tc>
          <w:tcPr>
            <w:tcW w:w="2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(8,468 )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(20,206 )</w:t>
            </w: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income from consolidated operations</w:t>
            </w:r>
          </w:p>
        </w:tc>
        <w:tc>
          <w:tcPr>
            <w:tcW w:w="2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142,695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Foreign currency translation loss (gain) attributable to noncontrolling</w:t>
            </w:r>
          </w:p>
        </w:tc>
        <w:tc>
          <w:tcPr>
            <w:tcW w:w="28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(1,243 )</w:t>
            </w:r>
          </w:p>
        </w:tc>
        <w:tc>
          <w:tcPr>
            <w:tcW w:w="30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w w:val="95"/>
              </w:rPr>
              <w:t>Comprehensive loss (gain) attributable to noncontrolling interest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(373 )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income attributable to Fulgent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143,858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-350520</wp:posOffset>
            </wp:positionV>
            <wp:extent cx="857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-25400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7"/>
              </w:rPr>
              <w:t>Fulgent Stockholders’ Equity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96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Fulgent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Comprehensi</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6"/>
              </w:rPr>
              <w:t>Noncontrolli</w:t>
            </w:r>
          </w:p>
        </w:tc>
        <w:tc>
          <w:tcPr>
            <w:tcW w:w="14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 (1)</w:t>
            </w:r>
          </w:p>
        </w:tc>
        <w:tc>
          <w:tcPr>
            <w:tcW w:w="120" w:type="dxa"/>
            <w:vAlign w:val="bottom"/>
          </w:tcPr>
          <w:p>
            <w:pPr>
              <w:spacing w:after="0"/>
              <w:rPr>
                <w:sz w:val="12"/>
                <w:szCs w:val="12"/>
                <w:color w:val="auto"/>
              </w:rPr>
            </w:pPr>
          </w:p>
        </w:tc>
        <w:tc>
          <w:tcPr>
            <w:tcW w:w="7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89"/>
              </w:rPr>
              <w:t>ve</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Equity</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ng Interest</w:t>
            </w:r>
          </w:p>
        </w:tc>
        <w:tc>
          <w:tcPr>
            <w:tcW w:w="14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0"/>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29,438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486,585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(20,903</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801,000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1,266,685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3,190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1,269,875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awards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Common stock withholding for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employee tax obligations</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(869 )</w:t>
            </w:r>
          </w:p>
        </w:tc>
        <w:tc>
          <w:tcPr>
            <w:tcW w:w="16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(869 )</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(869 )</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(15,340 )</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(15,340 )</w:t>
            </w:r>
          </w:p>
        </w:tc>
        <w:tc>
          <w:tcPr>
            <w:tcW w:w="2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(509 )</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(15,849 )</w:t>
            </w:r>
          </w:p>
        </w:tc>
        <w:tc>
          <w:tcPr>
            <w:tcW w:w="0" w:type="dxa"/>
            <w:vAlign w:val="bottom"/>
          </w:tcPr>
          <w:p>
            <w:pPr>
              <w:spacing w:after="0"/>
              <w:rPr>
                <w:sz w:val="1"/>
                <w:szCs w:val="1"/>
                <w:color w:val="auto"/>
              </w:rPr>
            </w:pPr>
          </w:p>
        </w:tc>
      </w:tr>
      <w:tr>
        <w:trPr>
          <w:trHeight w:val="266"/>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29,692</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495,981</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(17,196</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785,660</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1,264,448</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spacing w:after="0"/>
              <w:rPr>
                <w:sz w:val="23"/>
                <w:szCs w:val="2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4,471</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1,268,919</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10,323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Exercise of common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withholding for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(232 )</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(232 )</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(loss)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(3,550 )</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(3,550 )</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(547 )</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(4,097 )</w:t>
            </w: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(11,229 )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(11,229 )</w:t>
            </w: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(361 )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(11,590 )</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29,917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506,075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(20,746 )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774,431</w:t>
            </w:r>
          </w:p>
        </w:tc>
        <w:tc>
          <w:tcPr>
            <w:tcW w:w="2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8"/>
              </w:rPr>
              <w:t>1,259,763</w:t>
            </w:r>
          </w:p>
        </w:tc>
        <w:tc>
          <w:tcPr>
            <w:tcW w:w="24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3,563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1,263,326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-2485390</wp:posOffset>
            </wp:positionV>
            <wp:extent cx="7683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-2485390</wp:posOffset>
            </wp:positionV>
            <wp:extent cx="7683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-2485390</wp:posOffset>
            </wp:positionV>
            <wp:extent cx="7683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-2485390</wp:posOffset>
            </wp:positionV>
            <wp:extent cx="7747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-2485390</wp:posOffset>
            </wp:positionV>
            <wp:extent cx="7747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-2485390</wp:posOffset>
            </wp:positionV>
            <wp:extent cx="7683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-2485390</wp:posOffset>
            </wp:positionV>
            <wp:extent cx="7747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-2485390</wp:posOffset>
            </wp:positionV>
            <wp:extent cx="857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-1336675</wp:posOffset>
            </wp:positionV>
            <wp:extent cx="500634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06340" cy="17145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-179070</wp:posOffset>
            </wp:positionV>
            <wp:extent cx="7683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-179070</wp:posOffset>
            </wp:positionV>
            <wp:extent cx="7683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7683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-179070</wp:posOffset>
            </wp:positionV>
            <wp:extent cx="774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7747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-179070</wp:posOffset>
            </wp:positionV>
            <wp:extent cx="7683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-179070</wp:posOffset>
            </wp:positionV>
            <wp:extent cx="7747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69" w:lineRule="exact"/>
        <w:rPr>
          <w:sz w:val="20"/>
          <w:szCs w:val="20"/>
          <w:color w:val="auto"/>
        </w:rPr>
      </w:pPr>
    </w:p>
    <w:p>
      <w:pPr>
        <w:ind w:right="60" w:firstLine="8"/>
        <w:spacing w:after="0" w:line="253" w:lineRule="auto"/>
        <w:tabs>
          <w:tab w:leader="none" w:pos="196"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June 30, 2023, 371,006 shares of the Company's common stock were not issued and were held back by the Company as partial security for the indemnification obligations in connection with the business combination of Fulgent Pharma Holdings, Inc., or Fulgent Pharma, in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7"/>
              </w:rPr>
              <w:t>Fulgent Stockholders’ Equity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96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Fulgent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Comprehensi</w:t>
            </w:r>
          </w:p>
        </w:tc>
        <w:tc>
          <w:tcPr>
            <w:tcW w:w="10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Retained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6"/>
              </w:rPr>
              <w:t>Noncontrolli</w:t>
            </w:r>
          </w:p>
        </w:tc>
        <w:tc>
          <w:tcPr>
            <w:tcW w:w="14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89"/>
              </w:rPr>
              <w:t>ve</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4"/>
                <w:szCs w:val="14"/>
                <w:b w:val="1"/>
                <w:bCs w:val="1"/>
                <w:color w:val="auto"/>
                <w:w w:val="96"/>
              </w:rPr>
              <w:t>Earnings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Equity</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ng Interest</w:t>
            </w:r>
          </w:p>
        </w:tc>
        <w:tc>
          <w:tcPr>
            <w:tcW w:w="14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0"/>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30,160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501,908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(759</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657,597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1,158,749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1,165,880</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Exercise of common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withholding for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(494 )</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(494 )</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(494 )</w:t>
            </w:r>
          </w:p>
        </w:tc>
        <w:tc>
          <w:tcPr>
            <w:tcW w:w="0" w:type="dxa"/>
            <w:vAlign w:val="bottom"/>
          </w:tcPr>
          <w:p>
            <w:pPr>
              <w:spacing w:after="0"/>
              <w:rPr>
                <w:sz w:val="1"/>
                <w:szCs w:val="1"/>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(loss)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(11,734 )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(11,734 )</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(11,615 )</w:t>
            </w: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(422 )</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153,557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30,327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507,046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(12,493 )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811,576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8"/>
              </w:rPr>
              <w:t>1,306,132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1,312,960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w w:val="99"/>
              </w:rPr>
              <w:t>Exercise of common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awards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Common stock withholding for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employee tax obligations</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(436 )</w:t>
            </w:r>
          </w:p>
        </w:tc>
        <w:tc>
          <w:tcPr>
            <w:tcW w:w="16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(436 )</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(436 )</w:t>
            </w:r>
          </w:p>
        </w:tc>
        <w:tc>
          <w:tcPr>
            <w:tcW w:w="0" w:type="dxa"/>
            <w:vAlign w:val="bottom"/>
          </w:tcPr>
          <w:p>
            <w:pPr>
              <w:spacing w:after="0"/>
              <w:rPr>
                <w:sz w:val="1"/>
                <w:szCs w:val="1"/>
                <w:color w:val="auto"/>
              </w:rPr>
            </w:pP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(215 )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(10,577 )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(10,577 )</w:t>
            </w: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(10,577 )</w:t>
            </w:r>
          </w:p>
        </w:tc>
        <w:tc>
          <w:tcPr>
            <w:tcW w:w="0" w:type="dxa"/>
            <w:vAlign w:val="bottom"/>
          </w:tcPr>
          <w:p>
            <w:pPr>
              <w:spacing w:after="0"/>
              <w:rPr>
                <w:sz w:val="1"/>
                <w:szCs w:val="1"/>
                <w:color w:val="auto"/>
              </w:rPr>
            </w:pP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(9,924 )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(9,924 )</w:t>
            </w:r>
          </w:p>
        </w:tc>
        <w:tc>
          <w:tcPr>
            <w:tcW w:w="2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(422 )</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(10,346 )</w:t>
            </w: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(438 )</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30,266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504,066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(22,417 )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823,113</w:t>
            </w:r>
          </w:p>
        </w:tc>
        <w:tc>
          <w:tcPr>
            <w:tcW w:w="380" w:type="dxa"/>
            <w:vAlign w:val="bottom"/>
            <w:gridSpan w:val="2"/>
          </w:tcPr>
          <w:p>
            <w:pPr>
              <w:ind w:left="28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8"/>
              </w:rPr>
              <w:t>1,304,765</w:t>
            </w:r>
          </w:p>
        </w:tc>
        <w:tc>
          <w:tcPr>
            <w:tcW w:w="24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5,968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1,310,733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-2647950</wp:posOffset>
            </wp:positionV>
            <wp:extent cx="7683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-2647950</wp:posOffset>
            </wp:positionV>
            <wp:extent cx="7683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-2647950</wp:posOffset>
            </wp:positionV>
            <wp:extent cx="7683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-2647950</wp:posOffset>
            </wp:positionV>
            <wp:extent cx="7747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-2647950</wp:posOffset>
            </wp:positionV>
            <wp:extent cx="7747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-2647950</wp:posOffset>
            </wp:positionV>
            <wp:extent cx="7683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-2647950</wp:posOffset>
            </wp:positionV>
            <wp:extent cx="7747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-2647950</wp:posOffset>
            </wp:positionV>
            <wp:extent cx="8572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-1508125</wp:posOffset>
            </wp:positionV>
            <wp:extent cx="7683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-1508125</wp:posOffset>
            </wp:positionV>
            <wp:extent cx="76835"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-1508125</wp:posOffset>
            </wp:positionV>
            <wp:extent cx="76835"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-1508125</wp:posOffset>
            </wp:positionV>
            <wp:extent cx="7747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-1508125</wp:posOffset>
            </wp:positionV>
            <wp:extent cx="7747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-1508125</wp:posOffset>
            </wp:positionV>
            <wp:extent cx="7683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-1508125</wp:posOffset>
            </wp:positionV>
            <wp:extent cx="7747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-1508125</wp:posOffset>
            </wp:positionV>
            <wp:extent cx="8572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-179070</wp:posOffset>
            </wp:positionV>
            <wp:extent cx="7683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-179070</wp:posOffset>
            </wp:positionV>
            <wp:extent cx="7683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7683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-179070</wp:posOffset>
            </wp:positionV>
            <wp:extent cx="7747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7747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-179070</wp:posOffset>
            </wp:positionV>
            <wp:extent cx="7683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-179070</wp:posOffset>
            </wp:positionV>
            <wp:extent cx="7747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1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69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6940" w:type="dxa"/>
            <w:vAlign w:val="bottom"/>
          </w:tcPr>
          <w:p>
            <w:pPr>
              <w:ind w:left="20"/>
              <w:spacing w:after="0"/>
              <w:rPr>
                <w:sz w:val="20"/>
                <w:szCs w:val="20"/>
                <w:color w:val="auto"/>
              </w:rPr>
            </w:pPr>
            <w:r>
              <w:rPr>
                <w:rFonts w:ascii="Arial" w:cs="Arial" w:eastAsia="Arial" w:hAnsi="Arial"/>
                <w:sz w:val="16"/>
                <w:szCs w:val="16"/>
                <w:color w:val="auto"/>
              </w:rPr>
              <w:t>Net (loss) income from consolidated operations</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(27,439 )</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164,656</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Equity-based compensation</w:t>
            </w:r>
          </w:p>
        </w:tc>
        <w:tc>
          <w:tcPr>
            <w:tcW w:w="1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20,588</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13,646</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13,191</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13,040</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(1,984 )</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18,734</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3,268</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Loss on disposal of fixed asset</w:t>
            </w:r>
          </w:p>
        </w:tc>
        <w:tc>
          <w:tcPr>
            <w:tcW w:w="1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(discount) premium of marketable securities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(1,192 )</w:t>
            </w: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(8,418 )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(7,639 )</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Unrecognized tax benefits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Net loss on marketable securities</w:t>
            </w:r>
          </w:p>
        </w:tc>
        <w:tc>
          <w:tcPr>
            <w:tcW w:w="1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(17 )</w:t>
            </w: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Trade accounts receivable</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19,658</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1,802</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380"/>
              <w:spacing w:after="0"/>
              <w:rPr>
                <w:sz w:val="20"/>
                <w:szCs w:val="20"/>
                <w:color w:val="auto"/>
              </w:rPr>
            </w:pPr>
            <w:r>
              <w:rPr>
                <w:rFonts w:ascii="Arial" w:cs="Arial" w:eastAsia="Arial" w:hAnsi="Arial"/>
                <w:sz w:val="16"/>
                <w:szCs w:val="16"/>
                <w:color w:val="auto"/>
              </w:rPr>
              <w:t>Other current and long-term assets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(3,764 )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(1,854 )</w:t>
            </w:r>
          </w:p>
        </w:tc>
      </w:tr>
      <w:tr>
        <w:trPr>
          <w:trHeight w:val="23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(4,447 )</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(10,258 )</w:t>
            </w:r>
          </w:p>
        </w:tc>
      </w:tr>
      <w:tr>
        <w:trPr>
          <w:trHeight w:val="220"/>
        </w:trPr>
        <w:tc>
          <w:tcPr>
            <w:tcW w:w="694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1,978</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 and other liabilities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(4,518 )</w:t>
            </w: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FF0FC"/>
          </w:tcPr>
          <w:p>
            <w:pPr>
              <w:spacing w:after="0"/>
              <w:rPr>
                <w:sz w:val="20"/>
                <w:szCs w:val="20"/>
                <w:color w:val="auto"/>
              </w:rPr>
            </w:pPr>
          </w:p>
        </w:tc>
      </w:tr>
      <w:tr>
        <w:trPr>
          <w:trHeight w:val="223"/>
        </w:trPr>
        <w:tc>
          <w:tcPr>
            <w:tcW w:w="69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(3,144 )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(1,679 )</w:t>
            </w:r>
          </w:p>
        </w:tc>
      </w:tr>
      <w:tr>
        <w:trPr>
          <w:trHeight w:val="223"/>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1,830</w:t>
            </w:r>
          </w:p>
        </w:tc>
        <w:tc>
          <w:tcPr>
            <w:tcW w:w="3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199,537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marketable securities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(250,537 )</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(245,488 )</w:t>
            </w: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Maturities of marketable securities</w:t>
            </w:r>
          </w:p>
        </w:tc>
        <w:tc>
          <w:tcPr>
            <w:tcW w:w="1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258,847</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70,432</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marketable securities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133,407</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Purchases of fixed assets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(14,178 )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(8,618 )</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fixed assets</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Acquisition of businesses, net of cash acquired</w:t>
            </w:r>
          </w:p>
        </w:tc>
        <w:tc>
          <w:tcPr>
            <w:tcW w:w="1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(137,755 )</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in private equity securities</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(15,000 )</w:t>
            </w: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Contingent consideration payout related to a business acquisition</w:t>
            </w:r>
          </w:p>
        </w:tc>
        <w:tc>
          <w:tcPr>
            <w:tcW w:w="1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(10,000 )</w:t>
            </w:r>
          </w:p>
        </w:tc>
      </w:tr>
      <w:tr>
        <w:trPr>
          <w:trHeight w:val="23"/>
        </w:trPr>
        <w:tc>
          <w:tcPr>
            <w:tcW w:w="6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used in investing activities</w:t>
            </w:r>
          </w:p>
        </w:tc>
        <w:tc>
          <w:tcPr>
            <w:tcW w:w="1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(5,450 )</w:t>
            </w:r>
          </w:p>
        </w:tc>
        <w:tc>
          <w:tcPr>
            <w:tcW w:w="7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(213,004 )</w:t>
            </w:r>
          </w:p>
        </w:tc>
      </w:tr>
      <w:tr>
        <w:trPr>
          <w:trHeight w:val="220"/>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 of common stock</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(10,577 )</w:t>
            </w: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Common stock withholding for employee tax obligations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(1,101 )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(930 )</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notes payable</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(799 )</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(368 )</w:t>
            </w: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Repayment of investment margin loan</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(15,000 )</w:t>
            </w:r>
          </w:p>
        </w:tc>
        <w:tc>
          <w:tcPr>
            <w:tcW w:w="7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Principal paid for finance lease</w:t>
            </w:r>
          </w:p>
        </w:tc>
        <w:tc>
          <w:tcPr>
            <w:tcW w:w="1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(463 )</w:t>
            </w:r>
          </w:p>
        </w:tc>
        <w:tc>
          <w:tcPr>
            <w:tcW w:w="7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(230 )</w:t>
            </w:r>
          </w:p>
        </w:tc>
      </w:tr>
      <w:tr>
        <w:trPr>
          <w:trHeight w:val="223"/>
        </w:trPr>
        <w:tc>
          <w:tcPr>
            <w:tcW w:w="694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r>
      <w:tr>
        <w:trPr>
          <w:trHeight w:val="220"/>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used in financing activities</w:t>
            </w:r>
          </w:p>
        </w:tc>
        <w:tc>
          <w:tcPr>
            <w:tcW w:w="1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(17,360 )</w:t>
            </w:r>
          </w:p>
        </w:tc>
        <w:tc>
          <w:tcPr>
            <w:tcW w:w="7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(12,086 )</w:t>
            </w:r>
          </w:p>
        </w:tc>
      </w:tr>
      <w:tr>
        <w:trPr>
          <w:trHeight w:val="23"/>
        </w:trPr>
        <w:tc>
          <w:tcPr>
            <w:tcW w:w="6940" w:type="dxa"/>
            <w:vAlign w:val="bottom"/>
            <w:shd w:val="clear" w:color="auto" w:fill="CFF0F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0"/>
        </w:trPr>
        <w:tc>
          <w:tcPr>
            <w:tcW w:w="69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(178 )</w:t>
            </w:r>
          </w:p>
        </w:tc>
        <w:tc>
          <w:tcPr>
            <w:tcW w:w="7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(561 )</w:t>
            </w:r>
          </w:p>
        </w:tc>
      </w:tr>
      <w:tr>
        <w:trPr>
          <w:trHeight w:val="23"/>
        </w:trPr>
        <w:tc>
          <w:tcPr>
            <w:tcW w:w="6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(21,158 )</w:t>
            </w:r>
          </w:p>
        </w:tc>
        <w:tc>
          <w:tcPr>
            <w:tcW w:w="7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(26,114 )</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79,506</w:t>
            </w:r>
          </w:p>
        </w:tc>
        <w:tc>
          <w:tcPr>
            <w:tcW w:w="3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164,894</w:t>
            </w:r>
          </w:p>
        </w:tc>
        <w:tc>
          <w:tcPr>
            <w:tcW w:w="14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160" w:type="dxa"/>
            <w:vAlign w:val="bottom"/>
            <w:tcBorders>
              <w:bottom w:val="single" w:sz="8" w:color="auto"/>
            </w:tcBorders>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58,348</w:t>
            </w:r>
          </w:p>
        </w:tc>
        <w:tc>
          <w:tcPr>
            <w:tcW w:w="3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138,780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07"/>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paid</w:t>
            </w: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2,636</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54,982</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Interest Paid</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919</w:t>
            </w:r>
          </w:p>
        </w:tc>
        <w:tc>
          <w:tcPr>
            <w:tcW w:w="36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Purchases of fixed assets in accounts payable</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3,725</w:t>
            </w:r>
          </w:p>
        </w:tc>
        <w:tc>
          <w:tcPr>
            <w:tcW w:w="36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2,158</w:t>
            </w:r>
          </w:p>
        </w:tc>
        <w:tc>
          <w:tcPr>
            <w:tcW w:w="140" w:type="dxa"/>
            <w:vAlign w:val="bottom"/>
          </w:tcPr>
          <w:p>
            <w:pPr>
              <w:spacing w:after="0"/>
              <w:rPr>
                <w:sz w:val="19"/>
                <w:szCs w:val="19"/>
                <w:color w:val="auto"/>
              </w:rPr>
            </w:pP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 in notes payable</w:t>
            </w: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3,833</w:t>
            </w:r>
          </w:p>
        </w:tc>
        <w:tc>
          <w:tcPr>
            <w:tcW w:w="140" w:type="dxa"/>
            <w:vAlign w:val="bottom"/>
            <w:shd w:val="clear" w:color="auto" w:fill="CFF0FC"/>
          </w:tcPr>
          <w:p>
            <w:pPr>
              <w:spacing w:after="0"/>
              <w:rPr>
                <w:sz w:val="20"/>
                <w:szCs w:val="20"/>
                <w:color w:val="auto"/>
              </w:rPr>
            </w:pPr>
          </w:p>
        </w:tc>
      </w:tr>
      <w:tr>
        <w:trPr>
          <w:trHeight w:val="220"/>
        </w:trPr>
        <w:tc>
          <w:tcPr>
            <w:tcW w:w="6940" w:type="dxa"/>
            <w:vAlign w:val="bottom"/>
          </w:tcPr>
          <w:p>
            <w:pPr>
              <w:ind w:left="20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2,661</w:t>
            </w:r>
          </w:p>
        </w:tc>
        <w:tc>
          <w:tcPr>
            <w:tcW w:w="36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6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Finance lease right-of-use assets reduced due to lease modification and termination</w:t>
            </w: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-4457065</wp:posOffset>
            </wp:positionV>
            <wp:extent cx="8572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-4457065</wp:posOffset>
            </wp:positionV>
            <wp:extent cx="8572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-2982595</wp:posOffset>
            </wp:positionV>
            <wp:extent cx="8572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-2982595</wp:posOffset>
            </wp:positionV>
            <wp:extent cx="8572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-1799590</wp:posOffset>
            </wp:positionV>
            <wp:extent cx="8572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-1799590</wp:posOffset>
            </wp:positionV>
            <wp:extent cx="8572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-1190625</wp:posOffset>
            </wp:positionV>
            <wp:extent cx="152590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5905" cy="17145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Fulgent Genetics, Inc., together with its subsidiaries and affiliated professional corporations (collectively referred to as the Company, unless otherwise noted or the context otherwise requires), is a technology-based company with a well-established clinical diagnostic business and a therapeutic development business. Its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accompanying unaudited interim condensed consolidated financial statements have been prepared on the same basis as the Company’s audited consolidated financial statements as of and for the fiscal year ended December 31, 2022, which are included in the Company’s annual report on Form 10-K filed with the Securities and Exchange Commission, or SEC, on February 28, 2023, or the 2022 Annual Report, and, in the opinion of management, include all adjustments, which are normal and recurring in nature, necessary for a fair presentation of the Company’s financial position and results of operations.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results for interim periods are not necessarily indicative of the results that may be expected for a full fiscal year or any other period. The accompanying Condensed Consolidated Balance Sheet as of December 31, 2022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2022 Annual Report, including the notes thereto.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2022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17"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six months ended June 30, 2023, the Company recorded an adjustment of $(2.0) million in provision for credit losses for trade accounts receivable due to decreased allowance for uncollectible accounts. During the three and six months ended June 30, 2022, the Company recorded $7.2 million and $18.7 million of provision for credit losses for trade accounts receivable,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 Investment</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redeemable preferred stock investment of $12.8 million as of June 30, 2023 represents the fair value of redeemable preferred stock of a private company that the Company purchased in July 2021. The investment is classified as available-for-sale debt securities. The fair value of available-for-sale debt security is included in the Condensed Consolidated Statement of Balance Sheets. Unrealized gain (loss) of $(140,000) and $457,000 is excluded from earnings and reported in other comprehensive income (loss) in the three and six months ended June 30, 2023, respectively, and unrealized loss of $5.6 million and $10.0 million is excluded from earnings and reported in other comprehensive income (loss) in the three and six months ended June 30, 2022, respectively. Since the Company intends on holding the preferred stock, and the preferred stock is not redeemable until July 2027, the investment is recorded as a long-term investment.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Losses from these remeasurements were $2.0 million and $1.8 million in the three and six months ended June 30, 2023, respectively. Loss from these translations were $1.9 million and $1.8 million in the three and six months ended June 30, 2022,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There were no reclassifications from other comprehensive income (loss) to net loss in the three and six months ended June 30, 2023, and reclassification from other comprehensive income (loss) to net earnings was not significant in the three and six months ended June 30, 2022. The tax effects related to net unrealized loss on available-for-sale debt securities were $(775,000) and $1.2 million in the three and six months ended June 30, 2023, respectively. The tax effects related to net unrealized loss on available-for-sale debt securities were $1.3 million and $5.8 million in the three and six months ended June 30, 2022,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certain periods, a small number of customers have accounted for a significant portion of the Company’s revenue. After aggregating customers that are under common control or affiliation, one customer contributed 13% of the Company’s revenue in the three months ended June 30, 2023, and no customer contributed more than 10% of the Company's revenue for the six months ended June 30, 2023. Two customers contributed 15% and 12%, respectively, of the Company's revenue for the three months ended June 30, 2022, and one customer contributed 23% of the Company's revenue for the six months ended June 30, 2022. One customer comprised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12% of total accounts receivable as of June 30, 2023, and a different customer comprised 17% of total accounts receivable as of December 31, 2022.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classifies its customers into three payor types: (i) Insurance, including claim reimbursement from the U.S. Health Resources and Services Administration, or HRSA, for uninsured individuals, (ii) Institutional customers, including hospitals, medical institutions, other laboratories, governmental bodies, municipalities and large corporations, or (iii) Patients who pay directly; as the Company believes these classifications best depict how the nature, amount, timing, and uncertainty of its revenue and cash flows are affected by economic factors. The following table summarizes revenue from contracts with customers by payor type for the three and six months ended June 30, 2023 and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50"/>
        </w:trPr>
        <w:tc>
          <w:tcPr>
            <w:tcW w:w="46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180"/>
        </w:trPr>
        <w:tc>
          <w:tcPr>
            <w:tcW w:w="4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57"/>
        </w:trPr>
        <w:tc>
          <w:tcPr>
            <w:tcW w:w="4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Testing Services by payor</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33,061</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63,790</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67,612</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274,467</w:t>
            </w:r>
          </w:p>
        </w:tc>
        <w:tc>
          <w:tcPr>
            <w:tcW w:w="140" w:type="dxa"/>
            <w:vAlign w:val="bottom"/>
          </w:tcPr>
          <w:p>
            <w:pPr>
              <w:spacing w:after="0"/>
              <w:rPr>
                <w:sz w:val="20"/>
                <w:szCs w:val="20"/>
                <w:color w:val="auto"/>
              </w:rPr>
            </w:pPr>
          </w:p>
        </w:tc>
      </w:tr>
      <w:tr>
        <w:trPr>
          <w:trHeight w:val="249"/>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Institutional customers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34,082</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61,232</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170,700</w:t>
            </w:r>
          </w:p>
        </w:tc>
        <w:tc>
          <w:tcPr>
            <w:tcW w:w="140" w:type="dxa"/>
            <w:vAlign w:val="bottom"/>
            <w:shd w:val="clear" w:color="auto" w:fill="CFF0FC"/>
          </w:tcPr>
          <w:p>
            <w:pPr>
              <w:spacing w:after="0"/>
              <w:rPr>
                <w:sz w:val="21"/>
                <w:szCs w:val="21"/>
                <w:color w:val="auto"/>
              </w:rPr>
            </w:pPr>
          </w:p>
        </w:tc>
      </w:tr>
      <w:tr>
        <w:trPr>
          <w:trHeight w:val="243"/>
        </w:trPr>
        <w:tc>
          <w:tcPr>
            <w:tcW w:w="4600" w:type="dxa"/>
            <w:vAlign w:val="bottom"/>
          </w:tcPr>
          <w:p>
            <w:pPr>
              <w:ind w:left="200"/>
              <w:spacing w:after="0"/>
              <w:rPr>
                <w:sz w:val="20"/>
                <w:szCs w:val="20"/>
                <w:color w:val="auto"/>
              </w:rPr>
            </w:pPr>
            <w:r>
              <w:rPr>
                <w:rFonts w:ascii="Arial" w:cs="Arial" w:eastAsia="Arial" w:hAnsi="Arial"/>
                <w:sz w:val="18"/>
                <w:szCs w:val="18"/>
                <w:color w:val="auto"/>
              </w:rPr>
              <w:t>Patients</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1"/>
                <w:szCs w:val="21"/>
                <w:color w:val="auto"/>
              </w:rPr>
            </w:pPr>
          </w:p>
        </w:tc>
      </w:tr>
      <w:tr>
        <w:trPr>
          <w:trHeight w:val="277"/>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67,853</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125,341</w:t>
            </w:r>
          </w:p>
        </w:tc>
        <w:tc>
          <w:tcPr>
            <w:tcW w:w="3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134,021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445,609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insurance revenue category above includes zero and $106.7 million for the three and six months ended June 30, 2022, respectively, for services related to claims covered by the HRSA COVID-19 Uninsured Program. The Company did not recognize any insurance revenue under HRSA COVID-19 Uninsurance Program for three and six months ended June 30, 2023.</w:t>
      </w:r>
    </w:p>
    <w:p>
      <w:pPr>
        <w:spacing w:after="0" w:line="18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i w:val="1"/>
          <w:iCs w:val="1"/>
          <w:color w:val="auto"/>
        </w:rPr>
        <w:t xml:space="preserve">Receivables from contracts with customers - </w:t>
      </w:r>
      <w:r>
        <w:rPr>
          <w:rFonts w:ascii="Arial" w:cs="Arial" w:eastAsia="Arial" w:hAnsi="Arial"/>
          <w:sz w:val="17"/>
          <w:szCs w:val="17"/>
          <w:color w:val="auto"/>
        </w:rPr>
        <w:t>Receivables from contracts with customers are included within trade accounts receivable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Balance Sheets. Net receivable from Insurance and Institutional customers represented 60% and 40%, respectively, as of June 30, 2023. Net receivable from Insurance and Institutional customers represented 14% and 86%, respectively, as of December 31, 2022.</w:t>
      </w:r>
    </w:p>
    <w:p>
      <w:pPr>
        <w:spacing w:after="0" w:line="16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Contract assets from contracts with customers associated with contract execution and certain costs to fulfill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$99,000 and $4.7 million were recognized for the three months ended June 30, 2023 and 2022, respectively, and $1.7 million and $14.4 million were recognized for the six months ended June 30, 2023 and 2022, respectively, related to contract liabilities at the beginning of the respective periods.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Deposit</w:t>
      </w:r>
    </w:p>
    <w:p>
      <w:pPr>
        <w:spacing w:after="0" w:line="117"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Customer deposit in the accompanying Condensed Consolidated Balance Sheets consists of payments received from customers in excess of their outstanding trade accounts receivable balances. These deposits will be offset against future testing receivables or refunded to the customers.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4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3"/>
          </w:tcPr>
          <w:p>
            <w:pPr>
              <w:jc w:val="right"/>
              <w:ind w:right="81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1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1"/>
                <w:szCs w:val="11"/>
                <w:color w:val="auto"/>
              </w:rPr>
            </w:pPr>
          </w:p>
        </w:tc>
      </w:t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Cost Basis</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Preferred stock of privately held company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660" w:type="dxa"/>
            <w:vAlign w:val="bottom"/>
          </w:tcPr>
          <w:p>
            <w:pPr>
              <w:ind w:left="56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187,995</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(3,222 )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184,773</w:t>
            </w: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98,796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(2,607 )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96,189</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71,773</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(491 )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71,282</w:t>
            </w: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U.S. treasury bills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40,507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40,500</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23,985</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23,985</w:t>
            </w: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7,339</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(23,985 )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(23,985 )</w:t>
            </w: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4660" w:type="dxa"/>
            <w:vAlign w:val="bottom"/>
          </w:tcPr>
          <w:p>
            <w:pPr>
              <w:ind w:left="560"/>
              <w:spacing w:after="0"/>
              <w:rPr>
                <w:sz w:val="20"/>
                <w:szCs w:val="20"/>
                <w:color w:val="auto"/>
              </w:rPr>
            </w:pPr>
            <w:r>
              <w:rPr>
                <w:rFonts w:ascii="Arial" w:cs="Arial" w:eastAsia="Arial" w:hAnsi="Arial"/>
                <w:sz w:val="18"/>
                <w:szCs w:val="18"/>
                <w:color w:val="auto"/>
              </w:rPr>
              <w:t>Total debt securities due within 1 year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406,460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(6,378 )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400,083</w:t>
            </w:r>
          </w:p>
        </w:tc>
        <w:tc>
          <w:tcPr>
            <w:tcW w:w="140" w:type="dxa"/>
            <w:vAlign w:val="bottom"/>
          </w:tcPr>
          <w:p>
            <w:pPr>
              <w:spacing w:after="0"/>
              <w:rPr>
                <w:sz w:val="20"/>
                <w:szCs w:val="20"/>
                <w:color w:val="auto"/>
              </w:rPr>
            </w:pPr>
          </w:p>
        </w:tc>
      </w:tr>
      <w:tr>
        <w:trPr>
          <w:trHeight w:val="237"/>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(4,751 )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187,372</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173,528</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(4,375 )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169,155</w:t>
            </w: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(1,476 )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19,609</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8,962</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(134 )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8,829</w:t>
            </w: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Redeemable preferred stock investment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(7,158 )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140" w:type="dxa"/>
            <w:vAlign w:val="bottom"/>
            <w:shd w:val="clear" w:color="auto" w:fill="CFF0FC"/>
          </w:tcPr>
          <w:p>
            <w:pPr>
              <w:spacing w:after="0"/>
              <w:rPr>
                <w:sz w:val="21"/>
                <w:szCs w:val="2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4660" w:type="dxa"/>
            <w:vAlign w:val="bottom"/>
          </w:tcPr>
          <w:p>
            <w:pPr>
              <w:ind w:left="560"/>
              <w:spacing w:after="0"/>
              <w:rPr>
                <w:sz w:val="20"/>
                <w:szCs w:val="20"/>
                <w:color w:val="auto"/>
              </w:rPr>
            </w:pPr>
            <w:r>
              <w:rPr>
                <w:rFonts w:ascii="Arial" w:cs="Arial" w:eastAsia="Arial" w:hAnsi="Arial"/>
                <w:sz w:val="18"/>
                <w:szCs w:val="18"/>
                <w:color w:val="auto"/>
                <w:w w:val="96"/>
              </w:rPr>
              <w:t>Total debt securities due after 1 year through 5 years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416,451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(17,978 )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398,476</w:t>
            </w:r>
          </w:p>
        </w:tc>
        <w:tc>
          <w:tcPr>
            <w:tcW w:w="140" w:type="dxa"/>
            <w:vAlign w:val="bottom"/>
          </w:tcPr>
          <w:p>
            <w:pPr>
              <w:spacing w:after="0"/>
              <w:rPr>
                <w:sz w:val="20"/>
                <w:szCs w:val="20"/>
                <w:color w:val="auto"/>
              </w:rPr>
            </w:pPr>
          </w:p>
        </w:tc>
      </w:tr>
      <w:tr>
        <w:trPr>
          <w:trHeight w:val="237"/>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(45 )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21"/>
                <w:szCs w:val="21"/>
                <w:color w:val="auto"/>
              </w:rPr>
            </w:pPr>
          </w:p>
        </w:tc>
      </w:tr>
      <w:tr>
        <w:trPr>
          <w:trHeight w:val="236"/>
        </w:trPr>
        <w:tc>
          <w:tcPr>
            <w:tcW w:w="4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w w:val="92"/>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4660" w:type="dxa"/>
            <w:vAlign w:val="bottom"/>
          </w:tcPr>
          <w:p>
            <w:pPr>
              <w:ind w:left="74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825,704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(24,401 )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801,308</w:t>
            </w:r>
          </w:p>
        </w:tc>
        <w:tc>
          <w:tcPr>
            <w:tcW w:w="140" w:type="dxa"/>
            <w:vAlign w:val="bottom"/>
          </w:tcPr>
          <w:p>
            <w:pPr>
              <w:spacing w:after="0"/>
              <w:rPr>
                <w:sz w:val="20"/>
                <w:szCs w:val="20"/>
                <w:color w:val="auto"/>
              </w:rPr>
            </w:pPr>
          </w:p>
        </w:tc>
      </w:tr>
      <w:tr>
        <w:trPr>
          <w:trHeight w:val="277"/>
        </w:trPr>
        <w:tc>
          <w:tcPr>
            <w:tcW w:w="46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840,704</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816,308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28"/>
        </w:trPr>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4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-4293870</wp:posOffset>
            </wp:positionV>
            <wp:extent cx="857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-4293870</wp:posOffset>
            </wp:positionV>
            <wp:extent cx="857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-4293870</wp:posOffset>
            </wp:positionV>
            <wp:extent cx="857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-4293870</wp:posOffset>
            </wp:positionV>
            <wp:extent cx="857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-2734310</wp:posOffset>
            </wp:positionV>
            <wp:extent cx="857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-2734310</wp:posOffset>
            </wp:positionV>
            <wp:extent cx="857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-2734310</wp:posOffset>
            </wp:positionV>
            <wp:extent cx="857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-2734310</wp:posOffset>
            </wp:positionV>
            <wp:extent cx="857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-1482725</wp:posOffset>
            </wp:positionV>
            <wp:extent cx="857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-1482725</wp:posOffset>
            </wp:positionV>
            <wp:extent cx="857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-1482725</wp:posOffset>
            </wp:positionV>
            <wp:extent cx="857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-1482725</wp:posOffset>
            </wp:positionV>
            <wp:extent cx="857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-839470</wp:posOffset>
            </wp:positionV>
            <wp:extent cx="857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-839470</wp:posOffset>
            </wp:positionV>
            <wp:extent cx="8572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-839470</wp:posOffset>
            </wp:positionV>
            <wp:extent cx="857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-839470</wp:posOffset>
            </wp:positionV>
            <wp:extent cx="8572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-513715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-496570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-513715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-496570</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-513715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-496570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right"/>
              <w:ind w:right="1181"/>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right"/>
              <w:ind w:right="58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1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Cost Basis</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Preferred stock of privately held company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189,333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(3,373 )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120,480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(2,222 )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118,258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U.S. treasury bills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69,991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(193 )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(342 )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Money market accounts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27,455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(80 )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(32,444 )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(32,444 )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560"/>
              <w:spacing w:after="0"/>
              <w:rPr>
                <w:sz w:val="20"/>
                <w:szCs w:val="20"/>
                <w:color w:val="auto"/>
              </w:rPr>
            </w:pPr>
            <w:r>
              <w:rPr>
                <w:rFonts w:ascii="Arial" w:cs="Arial" w:eastAsia="Arial" w:hAnsi="Arial"/>
                <w:sz w:val="18"/>
                <w:szCs w:val="18"/>
                <w:color w:val="auto"/>
              </w:rPr>
              <w:t>Total debt securities due within 1 year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452,944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(6,215 )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446,729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152,435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(6,349 )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146,088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92,054</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(3,435 )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80,647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(4,756 )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12,065</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(217 )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Redeemable preferred stock investment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(7,615 )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560"/>
              <w:spacing w:after="0"/>
              <w:rPr>
                <w:sz w:val="20"/>
                <w:szCs w:val="20"/>
                <w:color w:val="auto"/>
              </w:rPr>
            </w:pPr>
            <w:r>
              <w:rPr>
                <w:rFonts w:ascii="Arial" w:cs="Arial" w:eastAsia="Arial" w:hAnsi="Arial"/>
                <w:sz w:val="18"/>
                <w:szCs w:val="18"/>
                <w:color w:val="auto"/>
                <w:w w:val="96"/>
              </w:rPr>
              <w:t>Total debt securities due after 1 year through 5 years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357,954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(22,457 )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335,499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w w:val="92"/>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74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814,515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(28,755 )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785,762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829,515</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800,762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-3796665</wp:posOffset>
            </wp:positionV>
            <wp:extent cx="85725"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-3796665</wp:posOffset>
            </wp:positionV>
            <wp:extent cx="8572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-3796665</wp:posOffset>
            </wp:positionV>
            <wp:extent cx="8572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-3796665</wp:posOffset>
            </wp:positionV>
            <wp:extent cx="8572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-2245360</wp:posOffset>
            </wp:positionV>
            <wp:extent cx="857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-2245360</wp:posOffset>
            </wp:positionV>
            <wp:extent cx="8572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-2245360</wp:posOffset>
            </wp:positionV>
            <wp:extent cx="857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-2245360</wp:posOffset>
            </wp:positionV>
            <wp:extent cx="857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-993775</wp:posOffset>
            </wp:positionV>
            <wp:extent cx="8572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-993775</wp:posOffset>
            </wp:positionV>
            <wp:extent cx="8572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-993775</wp:posOffset>
            </wp:positionV>
            <wp:extent cx="857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-350520</wp:posOffset>
            </wp:positionV>
            <wp:extent cx="8572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-350520</wp:posOffset>
            </wp:positionV>
            <wp:extent cx="857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8572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Gross unrealized losses on the Company’s equity and debt securities were $24.4 million and $28.8 million as of June 30, 2023 and December 31, 2022, respectively. The Company did not recognize any credit losses for its available-for-sale debt securities during the three and six months ended June 30, 2023 and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124" w:lineRule="exact"/>
        <w:rPr>
          <w:sz w:val="20"/>
          <w:szCs w:val="20"/>
          <w:color w:val="auto"/>
        </w:rPr>
      </w:pPr>
    </w:p>
    <w:p>
      <w:pPr>
        <w:ind w:left="1640" w:right="400" w:hanging="1045"/>
        <w:spacing w:after="0" w:line="277" w:lineRule="auto"/>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640" w:right="480" w:hanging="1045"/>
        <w:spacing w:after="0" w:line="277" w:lineRule="auto"/>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76" w:lineRule="exact"/>
        <w:rPr>
          <w:sz w:val="20"/>
          <w:szCs w:val="20"/>
          <w:color w:val="auto"/>
        </w:rPr>
      </w:pPr>
    </w:p>
    <w:p>
      <w:pPr>
        <w:ind w:left="600"/>
        <w:spacing w:after="0"/>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for the asset or liability.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 w:name="page14"/>
    <w:bookmarkEnd w:id="13"/>
    <w:p>
      <w:pPr>
        <w:ind w:right="40" w:firstLine="50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above three-tier fair value hierarchy:</w:t>
      </w:r>
    </w:p>
    <w:p>
      <w:pPr>
        <w:spacing w:after="0" w:line="229"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15240</wp:posOffset>
            </wp:positionV>
            <wp:extent cx="40894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89400" cy="8255"/>
                    </a:xfrm>
                    <a:prstGeom prst="rect">
                      <a:avLst/>
                    </a:prstGeom>
                    <a:noFill/>
                  </pic:spPr>
                </pic:pic>
              </a:graphicData>
            </a:graphic>
          </wp:anchor>
        </w:drawing>
      </w:r>
    </w:p>
    <w:p>
      <w:pPr>
        <w:spacing w:after="0" w:line="8" w:lineRule="exact"/>
        <w:rPr>
          <w:sz w:val="20"/>
          <w:szCs w:val="20"/>
          <w:color w:val="auto"/>
        </w:rPr>
      </w:pPr>
    </w:p>
    <w:p>
      <w:pPr>
        <w:ind w:left="5200"/>
        <w:spacing w:after="0"/>
        <w:tabs>
          <w:tab w:leader="none" w:pos="6800" w:val="left"/>
          <w:tab w:leader="none" w:pos="8480" w:val="left"/>
          <w:tab w:leader="none" w:pos="1018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15240</wp:posOffset>
            </wp:positionV>
            <wp:extent cx="4089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89400" cy="8255"/>
                    </a:xfrm>
                    <a:prstGeom prst="rect">
                      <a:avLst/>
                    </a:prstGeom>
                    <a:noFill/>
                  </pic:spPr>
                </pic:pic>
              </a:graphicData>
            </a:graphic>
          </wp:anchor>
        </w:drawing>
      </w:r>
    </w:p>
    <w:p>
      <w:pPr>
        <w:spacing w:after="0" w:line="8"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securities, debt securities and cash equivalents: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U.S. government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372,145</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372,145</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agency debt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240,437</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240,437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115,798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115,798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bills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Money market accounts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23,985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23,985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18,917</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Preferred stock of privately held company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140" w:type="dxa"/>
            <w:vAlign w:val="bottom"/>
            <w:shd w:val="clear" w:color="auto" w:fill="CFF0FC"/>
          </w:tcPr>
          <w:p>
            <w:pPr>
              <w:spacing w:after="0"/>
              <w:rPr>
                <w:sz w:val="21"/>
                <w:szCs w:val="2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Yankee debt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7"/>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89"/>
              </w:rPr>
              <w:t>Total equity securities, debt securities and cash equivalents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840,293</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64,485</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747,966</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399"/>
        </w:trPr>
        <w:tc>
          <w:tcPr>
            <w:tcW w:w="4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Level 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6"/>
              </w:rPr>
              <w:t>thousands)</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Equity securities, debt securities and cash equivalents: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U.S. government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332,048</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332,048</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194,149</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194,149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U.S. agency debt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156,688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156,688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bills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69,798</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Money market accounts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27,455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27,455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Preferred stock of privately held company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12,385</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12,385</w:t>
            </w:r>
          </w:p>
        </w:tc>
        <w:tc>
          <w:tcPr>
            <w:tcW w:w="140" w:type="dxa"/>
            <w:vAlign w:val="bottom"/>
            <w:shd w:val="clear" w:color="auto" w:fill="CFF0FC"/>
          </w:tcPr>
          <w:p>
            <w:pPr>
              <w:spacing w:after="0"/>
              <w:rPr>
                <w:sz w:val="21"/>
                <w:szCs w:val="2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Yankee debt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6"/>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89"/>
              </w:rPr>
              <w:t>Total equity securities, debt securities and cash equivalents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833,206</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97,253</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708,568</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-2262505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-2245360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-2262505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-2245360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-2262505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-2245360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-2262505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-2245360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-7620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June 30, 2023, the Company had preferred stock of a privately held company, which was included in other long-term assets in the accompanying Condensed Consolidated Balance Sheets, and redeemable preferred stock of a private company that were measured using unobservable (Level 3) inputs. The fair value of redeemable preferred stock as of June 30, 2023 and December 31, 2022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June 30,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three months ended June 30, 2023 and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4240" w:type="dxa"/>
            <w:vAlign w:val="bottom"/>
          </w:tcPr>
          <w:p>
            <w:pPr>
              <w:spacing w:after="0"/>
              <w:rPr>
                <w:sz w:val="14"/>
                <w:szCs w:val="1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Medical lab equipment</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 months to 12 Years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53,503</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Shorter of lease term or estimated useful life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11,804</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software</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to 5 Years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1 to 5 Years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6,979</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39 Years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Aircraft</w:t>
            </w:r>
          </w:p>
        </w:tc>
        <w:tc>
          <w:tcPr>
            <w:tcW w:w="4240" w:type="dxa"/>
            <w:vAlign w:val="bottom"/>
          </w:tcPr>
          <w:p>
            <w:pPr>
              <w:jc w:val="center"/>
              <w:spacing w:after="0"/>
              <w:rPr>
                <w:sz w:val="20"/>
                <w:szCs w:val="20"/>
                <w:color w:val="auto"/>
              </w:rPr>
            </w:pPr>
            <w:r>
              <w:rPr>
                <w:rFonts w:ascii="Arial" w:cs="Arial" w:eastAsia="Arial" w:hAnsi="Arial"/>
                <w:sz w:val="18"/>
                <w:szCs w:val="18"/>
                <w:color w:val="auto"/>
                <w:w w:val="86"/>
              </w:rPr>
              <w:t>7 Years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 improvements</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 months to 39 Years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1 to 5 Years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4,248</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improvements</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 to 15 Years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3 to 7 Years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equipment</w:t>
            </w: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to 5 Years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Land</w:t>
            </w: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20"/>
                <w:szCs w:val="20"/>
                <w:color w:val="auto"/>
              </w:rPr>
            </w:pPr>
          </w:p>
        </w:tc>
      </w:tr>
      <w:tr>
        <w:trPr>
          <w:trHeight w:val="249"/>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 not yet placed in service</w:t>
            </w:r>
          </w:p>
        </w:tc>
        <w:tc>
          <w:tcPr>
            <w:tcW w:w="4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124,634</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4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(49,666 )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(43,281 )</w:t>
            </w:r>
          </w:p>
        </w:tc>
      </w:tr>
      <w:tr>
        <w:trPr>
          <w:trHeight w:val="237"/>
        </w:trPr>
        <w:tc>
          <w:tcPr>
            <w:tcW w:w="4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Fixed assets, net</w:t>
            </w:r>
          </w:p>
        </w:tc>
        <w:tc>
          <w:tcPr>
            <w:tcW w:w="4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87,556</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81,353</w:t>
            </w:r>
          </w:p>
        </w:tc>
        <w:tc>
          <w:tcPr>
            <w:tcW w:w="140" w:type="dxa"/>
            <w:vAlign w:val="bottom"/>
            <w:tcBorders>
              <w:top w:val="single" w:sz="8" w:color="CFF0FC"/>
            </w:tcBorders>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-504825</wp:posOffset>
            </wp:positionV>
            <wp:extent cx="85725"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8572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Depreciation expenses on fixed assets totaled $4.1 million and $6.6 million for the three months ended June 30, 2023 and 2022, respectively, and $8.8 million and $10.3 million for the six months ended June 30, 2023 and 2022,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6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thousands)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income taxes</w:t>
            </w:r>
          </w:p>
        </w:tc>
        <w:tc>
          <w:tcPr>
            <w:tcW w:w="1380" w:type="dxa"/>
            <w:vAlign w:val="bottom"/>
            <w:shd w:val="clear" w:color="auto" w:fill="CFF0FC"/>
          </w:tcPr>
          <w:p>
            <w:pPr>
              <w:jc w:val="right"/>
              <w:ind w:right="11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15,434</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7,301</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6,814</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Reagents and supplies</w:t>
            </w:r>
          </w:p>
        </w:tc>
        <w:tc>
          <w:tcPr>
            <w:tcW w:w="13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Marketable securities interest receivable</w:t>
            </w:r>
          </w:p>
        </w:tc>
        <w:tc>
          <w:tcPr>
            <w:tcW w:w="1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3,964</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20"/>
                <w:szCs w:val="20"/>
                <w:color w:val="auto"/>
              </w:rPr>
            </w:pPr>
          </w:p>
        </w:tc>
      </w:tr>
      <w:tr>
        <w:trPr>
          <w:trHeight w:val="24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receivable</w:t>
            </w:r>
          </w:p>
        </w:tc>
        <w:tc>
          <w:tcPr>
            <w:tcW w:w="13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11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35,049</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48,889</w:t>
            </w:r>
          </w:p>
        </w:tc>
        <w:tc>
          <w:tcPr>
            <w:tcW w:w="14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-187960</wp:posOffset>
            </wp:positionV>
            <wp:extent cx="8572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 xml:space="preserve">Other long-term liabilities primarily include operating and finance lease liabilities, long-term, see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notes payable, long-term, see Note 8, </w:t>
      </w:r>
      <w:r>
        <w:rPr>
          <w:rFonts w:ascii="Arial" w:cs="Arial" w:eastAsia="Arial" w:hAnsi="Arial"/>
          <w:sz w:val="18"/>
          <w:szCs w:val="18"/>
          <w:i w:val="1"/>
          <w:iCs w:val="1"/>
          <w:color w:val="auto"/>
        </w:rPr>
        <w:t>Debt, Commitments and Contingencies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21"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The Company views its operations and manages its business in one reporting segment. Long-lived assets were primarily located in the United States as of June 30, 2023 and December 31, 2022. Revenue by region during the three and six months ended June 30, 2023 and 2022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537"/>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63,051</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122,096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125,113</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439,286</w:t>
            </w:r>
          </w:p>
        </w:tc>
        <w:tc>
          <w:tcPr>
            <w:tcW w:w="140" w:type="dxa"/>
            <w:vAlign w:val="bottom"/>
          </w:tcPr>
          <w:p>
            <w:pPr>
              <w:spacing w:after="0"/>
              <w:rPr>
                <w:sz w:val="20"/>
                <w:szCs w:val="20"/>
                <w:color w:val="auto"/>
              </w:rPr>
            </w:pPr>
          </w:p>
        </w:tc>
      </w:tr>
      <w:tr>
        <w:trPr>
          <w:trHeight w:val="24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8,908</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67,853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125,341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134,021</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445,609</w:t>
            </w:r>
          </w:p>
        </w:tc>
        <w:tc>
          <w:tcPr>
            <w:tcW w:w="14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8572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857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857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June 30, 2023, the Company did not have any outstanding borrowing under its margin account with the custodian of the Company’s marketable debt security investment account, Pershing Advisor Solutions, LLC, a BNY Mellon Company. The related interest expenses for the three and six months ended June 30, 2023 were $136,000 and $336,000, respectively. The related interest expenses for the three and six months ended June 30, 2022 were $50,000 and $79,000, respectively.</w:t>
      </w:r>
    </w:p>
    <w:p>
      <w:pPr>
        <w:spacing w:after="0" w:line="18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Notes payable as of June 30, 2023 consisted of $3.4 million of notes payable related to an installment sale contract the Company entered in February 2022 for a building and $4.2 million of notes payable to Xilong Scientific Co., or Xilong Scientific, by Fujian Fujun Gene Biotech Co., Ltd., or FF Gene Biotech. The notes payable related to the installment sale are due in February 2030, and the interest rate is 1.08%. The current portion and noncurrent portion are $408,000 and $3.0 million, respectively, and the noncurrent portion is included in the other long-term liabilities in the accompanying Condensed Consolidated Balance Sheets. The notes payable to Xilong Scientific were extended to and are due on December 31, 2023, and the interest rate on the loan is 4.97%. The related interest expenses for the three and six months ended June 30, 2023 were $70,000 and $145,000.00, respectively. The related interest expenses for the three and six months ended June 30, 2022 were $77,000 and $156,000,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jc w:val="both"/>
        <w:ind w:right="380" w:firstLine="509"/>
        <w:spacing w:after="0" w:line="286" w:lineRule="auto"/>
        <w:rPr>
          <w:sz w:val="20"/>
          <w:szCs w:val="20"/>
          <w:color w:val="auto"/>
        </w:rPr>
      </w:pPr>
      <w:r>
        <w:rPr>
          <w:rFonts w:ascii="Arial" w:cs="Arial" w:eastAsia="Arial" w:hAnsi="Arial"/>
          <w:sz w:val="17"/>
          <w:szCs w:val="17"/>
          <w:color w:val="auto"/>
        </w:rPr>
        <w:t>The Company entered certain noncancelable purchase commitments with its vendors, which primarily consist of services, reagent and supplies, computer software, and medical lab equipment. As of June 30, 2023, the Company had non-cancelable purchase obligations of $59.5 million, of which $28.8 million is payable within twelve months, and $ 30.7 million is payable within the next five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20" w:firstLine="509"/>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84"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the CID, which represent a small portion of the Company’s revenues. As previously disclosed in the Company’s Exchange Act reports, the SEC is also conducting a non-public formal investigation, which appears to relate to the matters raised in the CID requests and our Exchange Act reports filed for 2018 through 2020. The Company is fully cooperating with the U.S. Department of Justice and the SEC to promptly respond to the requests for information in this CID and investigation and does not presently expect this CID or resulting investigation or the SEC investigation to have a material adverse impact. However, the Company cannot predict when these matters will be resolved, the outcome of these matters, or their potential impact, which may ultimately be greater than what the Company currently expects.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Company is a lessee to various non-cancelable operating leases with varying terms through April 2033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9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280"/>
        <w:spacing w:after="0" w:line="277" w:lineRule="auto"/>
        <w:rPr>
          <w:sz w:val="20"/>
          <w:szCs w:val="20"/>
          <w:color w:val="auto"/>
        </w:rPr>
      </w:pPr>
      <w:r>
        <w:rPr>
          <w:rFonts w:ascii="Arial" w:cs="Arial" w:eastAsia="Arial" w:hAnsi="Arial"/>
          <w:sz w:val="18"/>
          <w:szCs w:val="18"/>
          <w:color w:val="auto"/>
        </w:rPr>
        <w:t>laboratories are located in Temple City, California; Irving, Texas; Needham, Massachusetts; Phoenix, Arizona; Alpharetta, Georgia; and New York, New York.</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operating and finance lease right-of-use asset, short-term lease liabilities, and long-term lease liabilities as of June 30, 2023 and December 31, 2022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r>
      <w:tr>
        <w:trPr>
          <w:trHeight w:val="223"/>
        </w:trPr>
        <w:tc>
          <w:tcPr>
            <w:tcW w:w="67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6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ROU asset, net</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w:t>
            </w:r>
          </w:p>
        </w:tc>
        <w:tc>
          <w:tcPr>
            <w:tcW w:w="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liabilities, short term</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5,943</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6,132</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 term</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8,795</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Finance lease ROU asset,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1,582</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2,784</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liabilities, short term</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FF0FC"/>
          </w:tcPr>
          <w:p>
            <w:pPr>
              <w:spacing w:after="0"/>
              <w:rPr>
                <w:sz w:val="21"/>
                <w:szCs w:val="2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Finance lease liabilities, long term</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1,030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were operating and finance lease expenses: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7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7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ROU assets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32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300" w:type="dxa"/>
            <w:vAlign w:val="bottom"/>
          </w:tcPr>
          <w:p>
            <w:pPr>
              <w:spacing w:after="0"/>
              <w:rPr>
                <w:sz w:val="20"/>
                <w:szCs w:val="20"/>
                <w:color w:val="auto"/>
              </w:rPr>
            </w:pPr>
          </w:p>
        </w:tc>
        <w:tc>
          <w:tcPr>
            <w:tcW w:w="5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6780" w:type="dxa"/>
            <w:vAlign w:val="bottom"/>
            <w:gridSpan w:val="5"/>
          </w:tcPr>
          <w:p>
            <w:pPr>
              <w:ind w:left="520"/>
              <w:spacing w:after="0"/>
              <w:rPr>
                <w:sz w:val="20"/>
                <w:szCs w:val="20"/>
                <w:color w:val="auto"/>
              </w:rPr>
            </w:pPr>
            <w:r>
              <w:rPr>
                <w:rFonts w:ascii="Arial" w:cs="Arial" w:eastAsia="Arial" w:hAnsi="Arial"/>
                <w:sz w:val="18"/>
                <w:szCs w:val="18"/>
                <w:color w:val="auto"/>
                <w:w w:val="92"/>
              </w:rPr>
              <w:t>Supplemental information related to operating and finance leases were the following:</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2023</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Weighted average remaining lease term - operating leases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4.21 years</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4.01 %</w:t>
            </w:r>
          </w:p>
        </w:tc>
        <w:tc>
          <w:tcPr>
            <w:tcW w:w="20" w:type="dxa"/>
            <w:vAlign w:val="bottom"/>
          </w:tcPr>
          <w:p>
            <w:pPr>
              <w:spacing w:after="0"/>
              <w:rPr>
                <w:sz w:val="20"/>
                <w:szCs w:val="20"/>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-finance lease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3.11 years</w:t>
            </w:r>
          </w:p>
        </w:tc>
        <w:tc>
          <w:tcPr>
            <w:tcW w:w="20" w:type="dxa"/>
            <w:vAlign w:val="bottom"/>
          </w:tcPr>
          <w:p>
            <w:pPr>
              <w:spacing w:after="0"/>
              <w:rPr>
                <w:sz w:val="22"/>
                <w:szCs w:val="22"/>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3.81 %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-1379855</wp:posOffset>
            </wp:positionV>
            <wp:extent cx="857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-1379855</wp:posOffset>
            </wp:positionV>
            <wp:extent cx="8572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-1379855</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-1379855</wp:posOffset>
            </wp:positionV>
            <wp:extent cx="857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gridSpan w:val="2"/>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Finance Lease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2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2023 (remaining 6 months)</w:t>
            </w:r>
          </w:p>
        </w:tc>
        <w:tc>
          <w:tcPr>
            <w:tcW w:w="3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3,408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2025</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2027</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 lease payments</w:t>
            </w:r>
          </w:p>
        </w:tc>
        <w:tc>
          <w:tcPr>
            <w:tcW w:w="29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2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(1,388 )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6"/>
        </w:trPr>
        <w:tc>
          <w:tcPr>
            <w:tcW w:w="376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w:t>
            </w:r>
          </w:p>
        </w:tc>
        <w:tc>
          <w:tcPr>
            <w:tcW w:w="29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14,322</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40" w:type="dxa"/>
            <w:vAlign w:val="bottom"/>
            <w:vMerge w:val="restart"/>
          </w:tcPr>
          <w:p>
            <w:pPr>
              <w:jc w:val="right"/>
              <w:ind w:right="89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-993775</wp:posOffset>
            </wp:positionV>
            <wp:extent cx="8572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-676275</wp:posOffset>
            </wp:positionV>
            <wp:extent cx="8572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Lessor</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leases out space in buildings it owns and leases to third-party tenants under noncancelable operating leases. As of June 30, 2023, the remaining lease terms range from 6 months to 18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lease income was included in interest and other income, net, in the accompanying Condensed Consolidated Statements of Operations. Total lease income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23"/>
        </w:trPr>
        <w:tc>
          <w:tcPr>
            <w:tcW w:w="4640" w:type="dxa"/>
            <w:vAlign w:val="bottom"/>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4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income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7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7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21"/>
                <w:szCs w:val="2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r>
      <w:tr>
        <w:trPr>
          <w:trHeight w:val="277"/>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income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June 30, 2023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Lease Payments</w:t>
            </w:r>
          </w:p>
        </w:tc>
        <w:tc>
          <w:tcPr>
            <w:tcW w:w="140" w:type="dxa"/>
            <w:vAlign w:val="bottom"/>
          </w:tcPr>
          <w:p>
            <w:pPr>
              <w:spacing w:after="0"/>
              <w:rPr>
                <w:sz w:val="16"/>
                <w:szCs w:val="16"/>
                <w:color w:val="auto"/>
              </w:rPr>
            </w:pPr>
          </w:p>
        </w:tc>
      </w:tr>
      <w:tr>
        <w:trPr>
          <w:trHeight w:val="228"/>
        </w:trPr>
        <w:tc>
          <w:tcPr>
            <w:tcW w:w="85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2"/>
              </w:rPr>
              <w:t>from Tenants</w:t>
            </w:r>
          </w:p>
        </w:tc>
        <w:tc>
          <w:tcPr>
            <w:tcW w:w="140" w:type="dxa"/>
            <w:vAlign w:val="bottom"/>
          </w:tcPr>
          <w:p>
            <w:pPr>
              <w:spacing w:after="0"/>
              <w:rPr>
                <w:sz w:val="19"/>
                <w:szCs w:val="19"/>
                <w:color w:val="auto"/>
              </w:rPr>
            </w:pPr>
          </w:p>
        </w:tc>
      </w:tr>
      <w:tr>
        <w:trPr>
          <w:trHeight w:val="237"/>
        </w:trPr>
        <w:tc>
          <w:tcPr>
            <w:tcW w:w="8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0"/>
                <w:szCs w:val="20"/>
                <w:color w:val="auto"/>
              </w:rPr>
            </w:pPr>
          </w:p>
        </w:tc>
      </w:tr>
      <w:tr>
        <w:trPr>
          <w:trHeight w:val="243"/>
        </w:trPr>
        <w:tc>
          <w:tcPr>
            <w:tcW w:w="8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2023 (remaining 6 months)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r>
      <w:tr>
        <w:trPr>
          <w:trHeight w:val="249"/>
        </w:trPr>
        <w:tc>
          <w:tcPr>
            <w:tcW w:w="8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8520" w:type="dxa"/>
            <w:vAlign w:val="bottom"/>
          </w:tcPr>
          <w:p>
            <w:pPr>
              <w:ind w:left="1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0"/>
                <w:szCs w:val="20"/>
                <w:color w:val="auto"/>
              </w:rPr>
            </w:pPr>
          </w:p>
        </w:tc>
      </w:tr>
      <w:tr>
        <w:trPr>
          <w:trHeight w:val="20"/>
        </w:trPr>
        <w:tc>
          <w:tcPr>
            <w:tcW w:w="8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121"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Operations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20" w:type="dxa"/>
            <w:vAlign w:val="bottom"/>
            <w:gridSpan w:val="2"/>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ind w:right="11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w w:val="74"/>
              </w:rPr>
              <w:t>thousands)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1220" w:type="dxa"/>
            <w:vAlign w:val="bottom"/>
            <w:gridSpan w:val="3"/>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4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4,423</w:t>
            </w:r>
          </w:p>
        </w:tc>
        <w:tc>
          <w:tcPr>
            <w:tcW w:w="14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14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40" w:type="dxa"/>
            <w:vAlign w:val="bottom"/>
          </w:tcPr>
          <w:p>
            <w:pPr>
              <w:spacing w:after="0"/>
              <w:rPr>
                <w:sz w:val="20"/>
                <w:szCs w:val="20"/>
                <w:color w:val="auto"/>
              </w:rPr>
            </w:pPr>
          </w:p>
        </w:tc>
      </w:tr>
      <w:tr>
        <w:trPr>
          <w:trHeight w:val="27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10,323</w:t>
            </w:r>
          </w:p>
        </w:tc>
        <w:tc>
          <w:tcPr>
            <w:tcW w:w="1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8,030</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20,588</w:t>
            </w:r>
          </w:p>
        </w:tc>
        <w:tc>
          <w:tcPr>
            <w:tcW w:w="1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Company recorded consolidated benefit from income taxes of $3.1 million and $8.3 million for the three and six months ended June 30, 2023, respectively. The Company recorded consolidated provision for income tax of $2.7 million and $51.1 million for the three and six months ended June 30, 2022, respectively. The Company’s effective tax rate were 21% and 23% for the three and six months ended June 30, 2023, respectively, compared with 19% and 24% for the three and six months ended June 30, 2022, respectively. The change in the effective tax rate for the three and six months ended June 30, 2023, relative to 2022, was primarily attributable to shortfalls from stock-based compensation reducing the amount of tax loss that the Company could benefit from.</w:t>
      </w:r>
    </w:p>
    <w:p>
      <w:pPr>
        <w:spacing w:after="0" w:line="19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is under examination by certain tax authorities for the 2020 to 2021 tax years. During 2023, the statutes of limitations will lapse on the Company’s 2019 federal tax year and certain 2018 and 2019 state tax years. The Company does not</w:t>
      </w:r>
    </w:p>
    <w:p>
      <w:pPr>
        <w:sectPr>
          <w:pgSz w:w="11900" w:h="16838" w:orient="portrait"/>
          <w:cols w:equalWidth="0" w:num="1">
            <w:col w:w="11240"/>
          </w:cols>
          <w:pgMar w:left="320" w:top="449"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believe the federal or state statute lapses or any other event will significantly impact the balance of unrecognized tax benefits in the next twelve months.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calculation of basic and diluted income (loss) per share for the three and six months ended June 30, 2023 and 2022:</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50"/>
        </w:trPr>
        <w:tc>
          <w:tcPr>
            <w:tcW w:w="4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Fulgent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(11,229 )</w:t>
            </w:r>
          </w:p>
        </w:tc>
        <w:tc>
          <w:tcPr>
            <w:tcW w:w="102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11,537</w:t>
            </w:r>
          </w:p>
        </w:tc>
        <w:tc>
          <w:tcPr>
            <w:tcW w:w="120" w:type="dxa"/>
            <w:vAlign w:val="bottom"/>
            <w:shd w:val="clear" w:color="auto" w:fill="CFF0FC"/>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(26,569 )</w:t>
            </w:r>
          </w:p>
        </w:tc>
        <w:tc>
          <w:tcPr>
            <w:tcW w:w="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165,516</w:t>
            </w:r>
          </w:p>
        </w:tc>
        <w:tc>
          <w:tcPr>
            <w:tcW w:w="140" w:type="dxa"/>
            <w:vAlign w:val="bottom"/>
            <w:shd w:val="clear" w:color="auto" w:fill="CFF0FC"/>
          </w:tcPr>
          <w:p>
            <w:pPr>
              <w:spacing w:after="0"/>
              <w:rPr>
                <w:sz w:val="24"/>
                <w:szCs w:val="24"/>
                <w:color w:val="auto"/>
              </w:rPr>
            </w:pPr>
          </w:p>
        </w:tc>
      </w:tr>
      <w:tr>
        <w:trPr>
          <w:trHeight w:val="224"/>
        </w:trPr>
        <w:tc>
          <w:tcPr>
            <w:tcW w:w="45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shares—outstanding, basic</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29,813</w:t>
            </w: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30,362</w:t>
            </w:r>
          </w:p>
        </w:tc>
        <w:tc>
          <w:tcPr>
            <w:tcW w:w="120" w:type="dxa"/>
            <w:vAlign w:val="bottom"/>
            <w:tcBorders>
              <w:top w:val="single" w:sz="8" w:color="CFF0FC"/>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30,298</w:t>
            </w:r>
          </w:p>
        </w:tc>
        <w:tc>
          <w:tcPr>
            <w:tcW w:w="140" w:type="dxa"/>
            <w:vAlign w:val="bottom"/>
            <w:tcBorders>
              <w:top w:val="single" w:sz="8" w:color="CFF0FC"/>
            </w:tcBorders>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Weighted-average common shares—outstanding, diluted</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29,813</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31,189</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29,675</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Net income (loss) per common share,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(0.38 )</w:t>
            </w:r>
          </w:p>
        </w:tc>
        <w:tc>
          <w:tcPr>
            <w:tcW w:w="10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(0.90 )</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per common share,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-745490</wp:posOffset>
            </wp:positionV>
            <wp:extent cx="336931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9310" cy="20574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-385445</wp:posOffset>
            </wp:positionV>
            <wp:extent cx="3369310"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9310" cy="20574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following securities have been excluded from the calculation of diluted income (loss) per share because their effect would have been anti-dilutive: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50"/>
        </w:trPr>
        <w:tc>
          <w:tcPr>
            <w:tcW w:w="4480" w:type="dxa"/>
            <w:vAlign w:val="bottom"/>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169"/>
        </w:trPr>
        <w:tc>
          <w:tcPr>
            <w:tcW w:w="4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thousands)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1,274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858</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20"/>
                <w:szCs w:val="20"/>
                <w:color w:val="auto"/>
              </w:rPr>
            </w:pPr>
          </w:p>
        </w:tc>
      </w:tr>
      <w:tr>
        <w:trPr>
          <w:trHeight w:val="249"/>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Contingently Issuable Shares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anti-dilutive shares described above were calculated using the treasury stock method. In the three and six months ended June 30, 2023, the Company had outstanding stock options and restricted stock units and contingently issuable shares for held back related shares to the business combination of Fulgent Pharma that were excluded from the weighted-average share calculation for continuing operations due to the Company’s net loss positions.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121" w:lineRule="exact"/>
        <w:rPr>
          <w:sz w:val="20"/>
          <w:szCs w:val="20"/>
          <w:color w:val="auto"/>
        </w:rPr>
      </w:pPr>
    </w:p>
    <w:p>
      <w:pPr>
        <w:ind w:right="260" w:firstLine="509"/>
        <w:spacing w:after="0" w:line="273" w:lineRule="auto"/>
        <w:rPr>
          <w:sz w:val="20"/>
          <w:szCs w:val="20"/>
          <w:color w:val="auto"/>
        </w:rPr>
      </w:pPr>
      <w:r>
        <w:rPr>
          <w:rFonts w:ascii="Arial" w:cs="Arial" w:eastAsia="Arial" w:hAnsi="Arial"/>
          <w:sz w:val="17"/>
          <w:szCs w:val="17"/>
          <w:color w:val="auto"/>
        </w:rPr>
        <w:t>Linda Marsh, who is a member of the Company’s Board of Directors, or the Board, currently serves as the Senior Executive Vice President of AHMC Healthcare Inc., or AHMC. The Company performs genetic testing and other testing services, on an arms-length basis, for AHMC, and the Company recognized $22,000 and $117,000 in revenue from AHMC in the three and six months ended June 30, 2023, respectively. The Company recognized $253,000 and $1.0 million in revenue from AHMC in the three and six months ended June 30, 2022, respectively. As of June 30, 2023 and December 31, 2022, $53,000 and $93,000, respectively, was owed to the Company by AHMC, which is included in trade accounts receivable, net, in the accompanying Condensed Consolidated Balance Sheets, in connection with this relationship.</w:t>
      </w:r>
    </w:p>
    <w:p>
      <w:pPr>
        <w:spacing w:after="0" w:line="17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Ming Hsieh, the Chief Executive Officer and Chairperson of the Board, is on the board of directors and a 20% owner of ANP Technologies, Inc., or ANP, from which the Company purchased COVID-19 antigen rapid test kits and entered into certain drug-related licensing and development service agreements. The President and Chief Scientific Officer of Fulgent Pharma, Ray Yin, is the Founder, President and Chief Technology Officer of ANP. The Company incurred $532,000 and $1.5 million, respectively, related to the licensing and development services and purchases of equipment and COVID-19 antigen rapid test kits in the three and six months ended June 30, 2023. The Company incurred $90,000 and $160,000, respectively, in the three and six months ended June 30, 2022. As of June 30, 2023 and December 31, 2022, $241,000 and $607,000, respectively, were owed to ANP by the Company in connection with these relationships. The Company also entered into an employee service agreement with ANP in April 2023, an insignificant amount was recognized in the three and six months ended June 30, 2023, and an insignificant amount was owed by ANP in connection with the employee service agreement as of June 30,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14. Goodwill and Acquisition-Related Intangibles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Summaries of goodwill and intangibles balances assets as of June 30, 2023 and December 31, 2022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Weighted-Average Amortization Period</w:t>
            </w:r>
          </w:p>
        </w:tc>
        <w:tc>
          <w:tcPr>
            <w:tcW w:w="3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960" w:type="dxa"/>
            <w:vAlign w:val="bottom"/>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39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6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141,970</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143,027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&amp; development</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Royalty-free technology</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(1,106 )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(894 )</w:t>
            </w: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Royalty-free technology, net</w:t>
            </w:r>
          </w:p>
        </w:tc>
        <w:tc>
          <w:tcPr>
            <w:tcW w:w="36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13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82,693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(9,385 )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(6,215 )</w:t>
            </w: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 net</w:t>
            </w:r>
          </w:p>
        </w:tc>
        <w:tc>
          <w:tcPr>
            <w:tcW w:w="36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73,308</w:t>
            </w: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76,535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8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(659 )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 net</w:t>
            </w:r>
          </w:p>
        </w:tc>
        <w:tc>
          <w:tcPr>
            <w:tcW w:w="36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In-place lease intangible assets</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In-place lease intangible assets, net</w:t>
            </w:r>
          </w:p>
        </w:tc>
        <w:tc>
          <w:tcPr>
            <w:tcW w:w="36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information system platform</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(713 )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information system platform, net</w:t>
            </w:r>
          </w:p>
        </w:tc>
        <w:tc>
          <w:tcPr>
            <w:tcW w:w="36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patent</w:t>
            </w:r>
          </w:p>
        </w:tc>
        <w:tc>
          <w:tcPr>
            <w:tcW w:w="3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Purchased patent, net</w:t>
            </w:r>
          </w:p>
        </w:tc>
        <w:tc>
          <w:tcPr>
            <w:tcW w:w="36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36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146,473</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-4276725</wp:posOffset>
            </wp:positionV>
            <wp:extent cx="121729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1729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85725"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Acquisition-related intangibles included in the above tables are generally finite-lived and are carried at cost less accumulated amortization, except for In-Process Research and Development, or IPR&amp;D, which is related to a business combination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months ended June 30, 2023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2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Amounts</w:t>
            </w:r>
          </w:p>
        </w:tc>
      </w:tr>
      <w:tr>
        <w:trPr>
          <w:trHeight w:val="169"/>
        </w:trPr>
        <w:tc>
          <w:tcPr>
            <w:tcW w:w="76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 2023</w:t>
            </w:r>
          </w:p>
        </w:tc>
        <w:tc>
          <w:tcPr>
            <w:tcW w:w="720" w:type="dxa"/>
            <w:vAlign w:val="bottom"/>
            <w:shd w:val="clear" w:color="auto" w:fill="CFF0FC"/>
          </w:tcPr>
          <w:p>
            <w:pPr>
              <w:spacing w:after="0"/>
              <w:rPr>
                <w:sz w:val="21"/>
                <w:szCs w:val="21"/>
                <w:color w:val="auto"/>
              </w:rPr>
            </w:pPr>
          </w:p>
        </w:tc>
        <w:tc>
          <w:tcPr>
            <w:tcW w:w="2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143,027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720" w:type="dxa"/>
            <w:vAlign w:val="bottom"/>
            <w:shd w:val="clear" w:color="auto" w:fill="CFF0FC"/>
          </w:tcPr>
          <w:p>
            <w:pPr>
              <w:spacing w:after="0"/>
              <w:rPr>
                <w:sz w:val="21"/>
                <w:szCs w:val="21"/>
                <w:color w:val="auto"/>
              </w:rPr>
            </w:pPr>
          </w:p>
        </w:tc>
        <w:tc>
          <w:tcPr>
            <w:tcW w:w="2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Borders>
              <w:top w:val="single" w:sz="8" w:color="CFF0F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143,027</w:t>
            </w:r>
          </w:p>
        </w:tc>
        <w:tc>
          <w:tcPr>
            <w:tcW w:w="140" w:type="dxa"/>
            <w:vAlign w:val="bottom"/>
            <w:tcBorders>
              <w:top w:val="single" w:sz="8" w:color="CFF0FC"/>
            </w:tcBorders>
          </w:tcPr>
          <w:p>
            <w:pPr>
              <w:spacing w:after="0"/>
              <w:rPr>
                <w:sz w:val="20"/>
                <w:szCs w:val="20"/>
                <w:color w:val="auto"/>
              </w:rPr>
            </w:pPr>
          </w:p>
        </w:tc>
      </w:tr>
      <w:tr>
        <w:trPr>
          <w:trHeight w:val="263"/>
        </w:trPr>
        <w:tc>
          <w:tcPr>
            <w:tcW w:w="76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920" w:type="dxa"/>
            <w:vAlign w:val="bottom"/>
            <w:gridSpan w:val="2"/>
            <w:shd w:val="clear" w:color="auto" w:fill="CFF0FC"/>
          </w:tcPr>
          <w:p>
            <w:pPr>
              <w:spacing w:after="0"/>
              <w:rPr>
                <w:sz w:val="22"/>
                <w:szCs w:val="22"/>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foreign currency exchange differences</w:t>
            </w:r>
          </w:p>
        </w:tc>
        <w:tc>
          <w:tcPr>
            <w:tcW w:w="720" w:type="dxa"/>
            <w:vAlign w:val="bottom"/>
          </w:tcPr>
          <w:p>
            <w:pPr>
              <w:spacing w:after="0"/>
              <w:rPr>
                <w:sz w:val="20"/>
                <w:szCs w:val="20"/>
                <w:color w:val="auto"/>
              </w:rPr>
            </w:pPr>
          </w:p>
        </w:tc>
        <w:tc>
          <w:tcPr>
            <w:tcW w:w="2920" w:type="dxa"/>
            <w:vAlign w:val="bottom"/>
            <w:gridSpan w:val="2"/>
          </w:tcPr>
          <w:p>
            <w:pPr>
              <w:jc w:val="right"/>
              <w:ind w:right="60"/>
              <w:spacing w:after="0"/>
              <w:rPr>
                <w:sz w:val="20"/>
                <w:szCs w:val="20"/>
                <w:color w:val="auto"/>
              </w:rPr>
            </w:pPr>
            <w:r>
              <w:rPr>
                <w:rFonts w:ascii="Arial" w:cs="Arial" w:eastAsia="Arial" w:hAnsi="Arial"/>
                <w:sz w:val="18"/>
                <w:szCs w:val="18"/>
                <w:color w:val="auto"/>
              </w:rPr>
              <w:t>(1,057 )</w:t>
            </w:r>
          </w:p>
        </w:tc>
      </w:tr>
      <w:tr>
        <w:trPr>
          <w:trHeight w:val="249"/>
        </w:trPr>
        <w:tc>
          <w:tcPr>
            <w:tcW w:w="7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21"/>
                <w:szCs w:val="21"/>
                <w:color w:val="auto"/>
              </w:rPr>
            </w:pP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141,970</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720" w:type="dxa"/>
            <w:vAlign w:val="bottom"/>
          </w:tcPr>
          <w:p>
            <w:pPr>
              <w:spacing w:after="0"/>
              <w:rPr>
                <w:sz w:val="21"/>
                <w:szCs w:val="21"/>
                <w:color w:val="auto"/>
              </w:rPr>
            </w:pPr>
          </w:p>
        </w:tc>
        <w:tc>
          <w:tcPr>
            <w:tcW w:w="2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76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141,970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-1285240</wp:posOffset>
            </wp:positionV>
            <wp:extent cx="85725"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0" w:name="page21"/>
    <w:bookmarkEnd w:id="20"/>
    <w:p>
      <w:pPr>
        <w:ind w:right="20" w:firstLine="509"/>
        <w:spacing w:after="0" w:line="277" w:lineRule="auto"/>
        <w:rPr>
          <w:sz w:val="20"/>
          <w:szCs w:val="20"/>
          <w:color w:val="auto"/>
        </w:rPr>
      </w:pPr>
      <w:r>
        <w:rPr>
          <w:rFonts w:ascii="Arial" w:cs="Arial" w:eastAsia="Arial" w:hAnsi="Arial"/>
          <w:sz w:val="18"/>
          <w:szCs w:val="18"/>
          <w:color w:val="auto"/>
        </w:rPr>
        <w:t>Based on the carrying value of finite-lived intangible assets recorded as of June 30, 2023, and assuming no subsequent impairment of the underlying assets, the annual amortization expense for intangible assets is expected to be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414"/>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Pr>
          <w:p>
            <w:pPr>
              <w:jc w:val="right"/>
              <w:ind w:right="127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2023 (remaining 6 months)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3,914</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7,826</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2027</w:t>
            </w:r>
          </w:p>
        </w:tc>
        <w:tc>
          <w:tcPr>
            <w:tcW w:w="72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7,199</w:t>
            </w:r>
          </w:p>
        </w:tc>
        <w:tc>
          <w:tcPr>
            <w:tcW w:w="14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40,430</w:t>
            </w:r>
          </w:p>
        </w:tc>
        <w:tc>
          <w:tcPr>
            <w:tcW w:w="140" w:type="dxa"/>
            <w:vAlign w:val="bottom"/>
          </w:tcPr>
          <w:p>
            <w:pPr>
              <w:spacing w:after="0"/>
              <w:rPr>
                <w:sz w:val="21"/>
                <w:szCs w:val="21"/>
                <w:color w:val="auto"/>
              </w:rPr>
            </w:pPr>
          </w:p>
        </w:tc>
      </w:tr>
      <w:tr>
        <w:trPr>
          <w:trHeight w:val="277"/>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81,883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 Repurchase Program</w:t>
      </w:r>
    </w:p>
    <w:p>
      <w:pPr>
        <w:spacing w:after="0" w:line="121" w:lineRule="exact"/>
        <w:rPr>
          <w:sz w:val="20"/>
          <w:szCs w:val="20"/>
          <w:color w:val="auto"/>
        </w:rPr>
      </w:pPr>
    </w:p>
    <w:p>
      <w:pPr>
        <w:ind w:right="100" w:firstLine="494"/>
        <w:spacing w:after="0" w:line="255" w:lineRule="auto"/>
        <w:rPr>
          <w:sz w:val="20"/>
          <w:szCs w:val="20"/>
          <w:color w:val="auto"/>
        </w:rPr>
      </w:pPr>
      <w:r>
        <w:rPr>
          <w:rFonts w:ascii="Arial" w:cs="Arial" w:eastAsia="Arial" w:hAnsi="Arial"/>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three and six months ended June 30, 2023, the Company did not repurchase any shares of its common stock. During the three months ended June 30, 2022, the Company repurchased 215,000 shares of its common stock at an aggregate cost of $10.6 million under the stock repurchase program. As of June 30, 2023, a total of approximately $175.7 million remained available for future repurchases of its common stock under the stock repurchase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August 1, 2023, no subsequent events are being reported.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2022 filed with the SEC on February 28, 2023, or the 2022 Annual Report. As used in this discussion and analysis and elsewhere in this report, unless the context otherwise requires, the terms “Fulgent,” the “Company,” “we,” “us” and “our” refer to Fulgent Genetics, Inc. and its consolidated subsidiaries.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2022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a technology-based company with a well-established clinical diagnostic business and a therapeutic development business. Our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 We aim to transform from a genomic diagnostic business into a fully integrated precision medicine company.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business and prospects are exposed to numerous risks and uncertainties. For more information, see “Item 1A. Risk Factors” in Part I of the 2022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2022 Annual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table below summarizes our results of our continuing operations for each of the periods presented. For a financial overview relating to our results of operations, including general descriptions of the make-up of material line items of our statement of operation data, see “Item 7. Management’s Discussion and Analysis of Financial Condition and Results of Operations” of the 2022 Annual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 Data:</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67,853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125,341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(57,488 )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(46%)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134,021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8"/>
              </w:rPr>
              <w:t>445,609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(311,588 )</w:t>
            </w: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47,281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60,065</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(12,784 )</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(21%)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94,638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8"/>
              </w:rPr>
              <w:t>137,790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(43,152 )</w:t>
            </w:r>
          </w:p>
        </w:tc>
        <w:tc>
          <w:tcPr>
            <w:tcW w:w="66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(31%)</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20,572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65,276</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(44,704 )</w:t>
            </w:r>
          </w:p>
        </w:tc>
        <w:tc>
          <w:tcPr>
            <w:tcW w:w="8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1"/>
              </w:rPr>
              <w:t>(68%)</w:t>
            </w: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39,383</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98"/>
              </w:rPr>
              <w:t>307,819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(268,436 )</w:t>
            </w:r>
          </w:p>
        </w:tc>
        <w:tc>
          <w:tcPr>
            <w:tcW w:w="660" w:type="dxa"/>
            <w:vAlign w:val="bottom"/>
            <w:tcBorders>
              <w:bottom w:val="single" w:sz="8" w:color="CFF0FC"/>
            </w:tcBorders>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1"/>
              </w:rPr>
              <w:t>(87%)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9,692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6,905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2,787</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40%</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19,474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12,894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6,580</w:t>
            </w:r>
          </w:p>
        </w:tc>
        <w:tc>
          <w:tcPr>
            <w:tcW w:w="660" w:type="dxa"/>
            <w:vAlign w:val="bottom"/>
            <w:gridSpan w:val="2"/>
            <w:shd w:val="clear" w:color="auto" w:fill="CFF0FC"/>
          </w:tcPr>
          <w:p>
            <w:pPr>
              <w:jc w:val="center"/>
              <w:ind w:left="31"/>
              <w:spacing w:after="0"/>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10,866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(143 )</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4"/>
              </w:rPr>
              <w:t>(1%)</w:t>
            </w:r>
          </w:p>
        </w:tc>
        <w:tc>
          <w:tcPr>
            <w:tcW w:w="200" w:type="dxa"/>
            <w:vAlign w:val="bottom"/>
          </w:tcPr>
          <w:p>
            <w:pPr>
              <w:spacing w:after="0"/>
              <w:rPr>
                <w:sz w:val="20"/>
                <w:szCs w:val="20"/>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20,806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18,806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66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17,993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30,240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(40%)</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39,795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56,015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(16,220 )</w:t>
            </w: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387</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25%</w:t>
            </w:r>
          </w:p>
        </w:tc>
        <w:tc>
          <w:tcPr>
            <w:tcW w:w="200" w:type="dxa"/>
            <w:vAlign w:val="bottom"/>
          </w:tcPr>
          <w:p>
            <w:pPr>
              <w:spacing w:after="0"/>
              <w:rPr>
                <w:sz w:val="20"/>
                <w:szCs w:val="20"/>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1,449</w:t>
            </w:r>
          </w:p>
        </w:tc>
        <w:tc>
          <w:tcPr>
            <w:tcW w:w="66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21"/>
        </w:trPr>
        <w:tc>
          <w:tcPr>
            <w:tcW w:w="3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20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2,896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(2,896 )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(100%</w:t>
            </w:r>
          </w:p>
        </w:tc>
        <w:tc>
          <w:tcPr>
            <w:tcW w:w="20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ind w:right="71"/>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(2,896 )</w:t>
            </w: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8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jc w:val="center"/>
              <w:ind w:left="3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40,370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52,482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(12,112 )</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84,005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93,092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(9,087 )</w:t>
            </w:r>
          </w:p>
        </w:tc>
        <w:tc>
          <w:tcPr>
            <w:tcW w:w="66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(255%</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2"/>
              </w:rPr>
              <w:t>(121%</w:t>
            </w: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(19,798 )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12,794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(32,592 )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(44,622 )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8"/>
              </w:rPr>
              <w:t>214,727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(259,349 )</w:t>
            </w:r>
          </w:p>
        </w:tc>
        <w:tc>
          <w:tcPr>
            <w:tcW w:w="660" w:type="dxa"/>
            <w:vAlign w:val="bottom"/>
            <w:gridSpan w:val="2"/>
            <w:shd w:val="clear" w:color="auto" w:fill="CFF0FC"/>
          </w:tcPr>
          <w:p>
            <w:pPr>
              <w:jc w:val="center"/>
              <w:ind w:left="3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4,140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432%</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7,870</w:t>
            </w:r>
          </w:p>
        </w:tc>
        <w:tc>
          <w:tcPr>
            <w:tcW w:w="66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785%</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(207%</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2"/>
              </w:rPr>
              <w:t>(117%</w:t>
            </w: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13,752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(28,452 )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(35,749 )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8"/>
              </w:rPr>
              <w:t>215,730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(251,479 )</w:t>
            </w:r>
          </w:p>
        </w:tc>
        <w:tc>
          <w:tcPr>
            <w:tcW w:w="660" w:type="dxa"/>
            <w:vAlign w:val="bottom"/>
            <w:gridSpan w:val="2"/>
            <w:shd w:val="clear" w:color="auto" w:fill="CFF0FC"/>
          </w:tcPr>
          <w:p>
            <w:pPr>
              <w:jc w:val="center"/>
              <w:ind w:left="3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8"/>
                <w:szCs w:val="18"/>
                <w:color w:val="auto"/>
                <w:w w:val="95"/>
              </w:rPr>
              <w:t>(Benefit from) provision for income taxes</w:t>
            </w:r>
          </w:p>
        </w:tc>
        <w:tc>
          <w:tcPr>
            <w:tcW w:w="2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(3,110 )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(5,763 )</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(217%</w:t>
            </w:r>
          </w:p>
        </w:tc>
        <w:tc>
          <w:tcPr>
            <w:tcW w:w="2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(8,310 )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8"/>
                <w:szCs w:val="18"/>
                <w:color w:val="auto"/>
              </w:rPr>
              <w:t>51,074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(59,384 )</w:t>
            </w:r>
          </w:p>
        </w:tc>
        <w:tc>
          <w:tcPr>
            <w:tcW w:w="66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(116%</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6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from consolidated</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(204%</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2"/>
              </w:rPr>
              <w:t>(117%</w:t>
            </w: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11,099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(22,689 )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(27,439 )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8"/>
              </w:rPr>
              <w:t>164,656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(192,095 )</w:t>
            </w:r>
          </w:p>
        </w:tc>
        <w:tc>
          <w:tcPr>
            <w:tcW w:w="660" w:type="dxa"/>
            <w:vAlign w:val="bottom"/>
            <w:gridSpan w:val="2"/>
            <w:shd w:val="clear" w:color="auto" w:fill="CFF0FC"/>
          </w:tcPr>
          <w:p>
            <w:pPr>
              <w:jc w:val="center"/>
              <w:ind w:left="3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w:t>
            </w:r>
          </w:p>
        </w:tc>
        <w:tc>
          <w:tcPr>
            <w:tcW w:w="200" w:type="dxa"/>
            <w:vAlign w:val="bottom"/>
          </w:tcPr>
          <w:p>
            <w:pPr>
              <w:spacing w:after="0"/>
              <w:rPr>
                <w:sz w:val="18"/>
                <w:szCs w:val="18"/>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(77 )</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(18%)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6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Net (loss) income attributable to Fulgent</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(11,229 )</w:t>
            </w:r>
          </w:p>
        </w:tc>
        <w:tc>
          <w:tcPr>
            <w:tcW w:w="3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11,537</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(22,766 )</w:t>
            </w: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(197%</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(26,569 )</w:t>
            </w:r>
          </w:p>
        </w:tc>
        <w:tc>
          <w:tcPr>
            <w:tcW w:w="3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ind w:right="71"/>
              <w:spacing w:after="0"/>
              <w:rPr>
                <w:sz w:val="20"/>
                <w:szCs w:val="20"/>
                <w:color w:val="auto"/>
              </w:rPr>
            </w:pPr>
            <w:r>
              <w:rPr>
                <w:rFonts w:ascii="Arial" w:cs="Arial" w:eastAsia="Arial" w:hAnsi="Arial"/>
                <w:sz w:val="18"/>
                <w:szCs w:val="18"/>
                <w:color w:val="auto"/>
                <w:w w:val="98"/>
              </w:rPr>
              <w:t>165,516</w:t>
            </w:r>
          </w:p>
        </w:tc>
        <w:tc>
          <w:tcPr>
            <w:tcW w:w="2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(192,085 )</w:t>
            </w:r>
          </w:p>
        </w:tc>
        <w:tc>
          <w:tcPr>
            <w:tcW w:w="66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2"/>
              </w:rPr>
              <w:t>(116%</w:t>
            </w:r>
          </w:p>
        </w:tc>
        <w:tc>
          <w:tcPr>
            <w:tcW w:w="0" w:type="dxa"/>
            <w:vAlign w:val="bottom"/>
          </w:tcPr>
          <w:p>
            <w:pPr>
              <w:spacing w:after="0"/>
              <w:rPr>
                <w:sz w:val="1"/>
                <w:szCs w:val="1"/>
                <w:color w:val="auto"/>
              </w:rPr>
            </w:pPr>
          </w:p>
        </w:tc>
      </w:tr>
      <w:tr>
        <w:trPr>
          <w:trHeight w:val="243"/>
        </w:trPr>
        <w:tc>
          <w:tcPr>
            <w:tcW w:w="3120" w:type="dxa"/>
            <w:vAlign w:val="bottom"/>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840" w:type="dxa"/>
            <w:vAlign w:val="bottom"/>
            <w:vMerge w:val="continue"/>
            <w:shd w:val="clear" w:color="auto" w:fill="CFF0FC"/>
          </w:tcPr>
          <w:p>
            <w:pPr>
              <w:spacing w:after="0"/>
              <w:rPr>
                <w:sz w:val="21"/>
                <w:szCs w:val="21"/>
                <w:color w:val="auto"/>
              </w:rPr>
            </w:pPr>
          </w:p>
        </w:tc>
        <w:tc>
          <w:tcPr>
            <w:tcW w:w="320" w:type="dxa"/>
            <w:vAlign w:val="bottom"/>
            <w:gridSpan w:val="2"/>
            <w:vMerge w:val="continue"/>
            <w:shd w:val="clear" w:color="auto" w:fill="CFF0FC"/>
          </w:tcPr>
          <w:p>
            <w:pPr>
              <w:spacing w:after="0"/>
              <w:rPr>
                <w:sz w:val="21"/>
                <w:szCs w:val="21"/>
                <w:color w:val="auto"/>
              </w:rPr>
            </w:pPr>
          </w:p>
        </w:tc>
        <w:tc>
          <w:tcPr>
            <w:tcW w:w="820" w:type="dxa"/>
            <w:vAlign w:val="bottom"/>
            <w:vMerge w:val="continue"/>
            <w:shd w:val="clear" w:color="auto" w:fill="CFF0FC"/>
          </w:tcPr>
          <w:p>
            <w:pPr>
              <w:spacing w:after="0"/>
              <w:rPr>
                <w:sz w:val="21"/>
                <w:szCs w:val="21"/>
                <w:color w:val="auto"/>
              </w:rPr>
            </w:pPr>
          </w:p>
        </w:tc>
        <w:tc>
          <w:tcPr>
            <w:tcW w:w="240" w:type="dxa"/>
            <w:vAlign w:val="bottom"/>
            <w:gridSpan w:val="2"/>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21"/>
                <w:szCs w:val="21"/>
                <w:color w:val="auto"/>
              </w:rPr>
            </w:pPr>
          </w:p>
        </w:tc>
        <w:tc>
          <w:tcPr>
            <w:tcW w:w="840" w:type="dxa"/>
            <w:vAlign w:val="bottom"/>
            <w:vMerge w:val="continue"/>
            <w:shd w:val="clear" w:color="auto" w:fill="CFF0FC"/>
          </w:tcPr>
          <w:p>
            <w:pPr>
              <w:spacing w:after="0"/>
              <w:rPr>
                <w:sz w:val="21"/>
                <w:szCs w:val="21"/>
                <w:color w:val="auto"/>
              </w:rPr>
            </w:pPr>
          </w:p>
        </w:tc>
        <w:tc>
          <w:tcPr>
            <w:tcW w:w="340" w:type="dxa"/>
            <w:vAlign w:val="bottom"/>
            <w:gridSpan w:val="2"/>
            <w:vMerge w:val="continue"/>
            <w:shd w:val="clear" w:color="auto" w:fill="CFF0FC"/>
          </w:tcPr>
          <w:p>
            <w:pPr>
              <w:spacing w:after="0"/>
              <w:rPr>
                <w:sz w:val="21"/>
                <w:szCs w:val="21"/>
                <w:color w:val="auto"/>
              </w:rPr>
            </w:pPr>
          </w:p>
        </w:tc>
        <w:tc>
          <w:tcPr>
            <w:tcW w:w="820" w:type="dxa"/>
            <w:vAlign w:val="bottom"/>
            <w:vMerge w:val="continue"/>
            <w:shd w:val="clear" w:color="auto" w:fill="CFF0FC"/>
          </w:tcPr>
          <w:p>
            <w:pPr>
              <w:spacing w:after="0"/>
              <w:rPr>
                <w:sz w:val="21"/>
                <w:szCs w:val="21"/>
                <w:color w:val="auto"/>
              </w:rPr>
            </w:pPr>
          </w:p>
        </w:tc>
        <w:tc>
          <w:tcPr>
            <w:tcW w:w="280" w:type="dxa"/>
            <w:vAlign w:val="bottom"/>
            <w:gridSpan w:val="2"/>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660" w:type="dxa"/>
            <w:vAlign w:val="bottom"/>
            <w:gridSpan w:val="2"/>
            <w:shd w:val="clear" w:color="auto" w:fill="CFF0FC"/>
          </w:tcPr>
          <w:p>
            <w:pPr>
              <w:jc w:val="center"/>
              <w:ind w:left="31"/>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29"/>
        </w:trPr>
        <w:tc>
          <w:tcPr>
            <w:tcW w:w="3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w w:val="79"/>
              </w:rPr>
              <w:t>21</w:t>
            </w:r>
          </w:p>
        </w:tc>
        <w:tc>
          <w:tcPr>
            <w:tcW w:w="14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-3642995</wp:posOffset>
            </wp:positionV>
            <wp:extent cx="7747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-3642995</wp:posOffset>
            </wp:positionV>
            <wp:extent cx="85725"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-3642995</wp:posOffset>
            </wp:positionV>
            <wp:extent cx="85725"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-3642995</wp:posOffset>
            </wp:positionV>
            <wp:extent cx="76835"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-3642995</wp:posOffset>
            </wp:positionV>
            <wp:extent cx="76835"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-3642995</wp:posOffset>
            </wp:positionV>
            <wp:extent cx="85725"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-2579370</wp:posOffset>
            </wp:positionV>
            <wp:extent cx="7747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-2579370</wp:posOffset>
            </wp:positionV>
            <wp:extent cx="85725"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-2579370</wp:posOffset>
            </wp:positionV>
            <wp:extent cx="8572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-2579370</wp:posOffset>
            </wp:positionV>
            <wp:extent cx="7683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-2579370</wp:posOffset>
            </wp:positionV>
            <wp:extent cx="7683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-2579370</wp:posOffset>
            </wp:positionV>
            <wp:extent cx="8572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-522605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-505460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-522605</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-505460</wp:posOffset>
            </wp:positionV>
            <wp:extent cx="857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-522605</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-505460</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-522605</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-505460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-522605</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-505460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decreased $57.5 million, or 46%, from $125.3 million in the three months ended June 30, 2022 to $67.9 million in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2023, and decreased $311.6 million, or 70%, from $445.6 million in the six months ended June 30, 2022 to $134.0 million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The decreases in revenue between periods were primarily due to decreased orders for our COVID-19 tests.</w:t>
      </w:r>
    </w:p>
    <w:p>
      <w:pPr>
        <w:spacing w:after="0" w:line="211"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Revenue from non-U.S. sources increased $1.6 million, or 48%, from $3.2 million in the three months ended June 30, 2022 to $4.8 million in the three months ended June 30, 2023, and increased $2.6 million, or 41%, from $6.3 million in six months ended June 30, 2022 to $8.9 million in the six months ended June 30, 2023. The increase in revenue from non-U.S. sources between periods were primarily due to increased sales of our traditional genetic testing services to customers in China through our joint venture in China.</w:t>
      </w:r>
    </w:p>
    <w:p>
      <w:pPr>
        <w:spacing w:after="0" w:line="187" w:lineRule="exact"/>
        <w:rPr>
          <w:sz w:val="20"/>
          <w:szCs w:val="20"/>
          <w:color w:val="auto"/>
        </w:rPr>
      </w:pPr>
    </w:p>
    <w:p>
      <w:pPr>
        <w:ind w:right="360" w:firstLine="509"/>
        <w:spacing w:after="0" w:line="279" w:lineRule="auto"/>
        <w:rPr>
          <w:sz w:val="20"/>
          <w:szCs w:val="20"/>
          <w:color w:val="auto"/>
        </w:rPr>
      </w:pPr>
      <w:r>
        <w:rPr>
          <w:rFonts w:ascii="Arial" w:cs="Arial" w:eastAsia="Arial" w:hAnsi="Arial"/>
          <w:sz w:val="17"/>
          <w:szCs w:val="17"/>
          <w:color w:val="auto"/>
        </w:rPr>
        <w:t>After aggregating customers that are under common control or affiliation, one customer contributed 13% of the Company’s revenue in the three months ended June 30, 2023, and no customer contributed more than 10% of the Company’s revenue in the six months ended June 30, 2023. Two customers contributed 15% and 12%, respectively, of the Company’s revenue in the three months ended June 30, 2022, respectively, and one customer contributed 23% of the Company’s revenue in the six months ended June 30,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Cost of revenue decreased $12.8 million, or 21%, from $60.1 million in the three months ended June 30, 2022 to $47.3 million in the three months ended June 30, 2023. The decrease was primarily due to decreases of $9.8 million in consulting and outside labor costs related to the decreased tests delivered and decreased orders for our COVID-19 tests, $3.8 million in depreciation expenses, and $1.3 million in allocated facility expense, partially offset by an increase of $2.4 million in personnel costs including equity-based compensation expense related to entity acquired in the second quarter of 2022.</w:t>
      </w:r>
    </w:p>
    <w:p>
      <w:pPr>
        <w:spacing w:after="0" w:line="18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Cost of revenue decreased $43.2 million, or 31%, from $137.8 million in the six months ended June 30, 2022 to $94.6 million in the six months ended June 30, 2023. The decrease was primarily due to decreases of $27.5 million in consulting and outside labor costs for production, $20.5 million in reagent and supply expenses, and $1.6 million in shipping expenses related to the decreased tests delivered and orders for our COVID-19 tests, and $5.0 million in depreciation expenses, partially offset by an increase of $14.7 million in personnel costs including equity-based compensation expense related to entity acquired in the second quarter of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ind w:right="80" w:firstLine="509"/>
        <w:spacing w:after="0" w:line="263" w:lineRule="auto"/>
        <w:rPr>
          <w:sz w:val="20"/>
          <w:szCs w:val="20"/>
          <w:color w:val="auto"/>
        </w:rPr>
      </w:pPr>
      <w:r>
        <w:rPr>
          <w:rFonts w:ascii="Arial" w:cs="Arial" w:eastAsia="Arial" w:hAnsi="Arial"/>
          <w:sz w:val="18"/>
          <w:szCs w:val="18"/>
          <w:color w:val="auto"/>
        </w:rPr>
        <w:t>Our gross profit decreased $44.7 million, from $65.3 million three months ended June 30, 2022 to $20.6 million in the three months ended June 30, 2023. The decrease in gross profit was primarily due to the decrease in revenue from our COVID-19 tests. Our gross profit as a percentage of revenue, or gross margin, decreased from 52.1% to 30.3% due to changes in product mix.</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gross profit decreased $268.4 million, from $307.8 million in the six months ended June 30, 2022 to $39.4 million in the six months ended June 30, 2023. The decrease in gross profit was primarily due to the decrease in revenue from our COVID-19 tests. Our gross profit as a percentage of revenue, or gross margin, decreased from 69.1% to 29.4% due to changes in product mix.</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Research and development expenses increased $2.8 million, or 40%, from $6.9 million in the three months ended June 30, 2022 to $9.7 million in the three months ended June 30, 2023. The increase was primarily due to an increase of $2.3 million in personnel costs including equity-based compensation expense related to increased headcount and equity awards granted post the second quarter of 2022.</w:t>
      </w:r>
    </w:p>
    <w:p>
      <w:pPr>
        <w:spacing w:after="0" w:line="16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Research and development expenses increased $6.6 million, or 51%, from $12.9 million in the six months ended June 30, 2022 to $19.5 million in the six months ended June 30, 2023. The increase was primarily due to increases of $5.6 million in personnel costs including equity-based compensation expense related to increased headcount and equity awards granted post the second quarter of 2022, and $623,000 in consulting and outside labor costs related to continued development of our therapeutic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360" w:firstLine="509"/>
        <w:spacing w:after="0" w:line="286" w:lineRule="auto"/>
        <w:rPr>
          <w:sz w:val="20"/>
          <w:szCs w:val="20"/>
          <w:color w:val="auto"/>
        </w:rPr>
      </w:pPr>
      <w:r>
        <w:rPr>
          <w:rFonts w:ascii="Arial" w:cs="Arial" w:eastAsia="Arial" w:hAnsi="Arial"/>
          <w:sz w:val="17"/>
          <w:szCs w:val="17"/>
          <w:color w:val="auto"/>
        </w:rPr>
        <w:t>Selling and marketing expenses decreased $143,000, or 1%, from $10.9 million in the three months ended June 30, 2022 to $10.7 million in the three months ended June 30, 2023. The decrease was primarily due to decreases of $556,000 in consulting and outside labor costs and $238,000 in personnel costs including equity-based compensation expense, and partially offset by an increase of $619,000 in software expense.</w:t>
      </w:r>
    </w:p>
    <w:p>
      <w:pPr>
        <w:spacing w:after="0" w:line="16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Selling and marketing expenses increased $2.0 million, or 11% from $18.8 million in the six months ended June 30, 2022 to $20.8 million in the six months ended June 30, 2023. The increase was primarily due to increases of $2.0 million in software expense, and $674,000 related to allocated facility expenses, and partially offset by a decrease of $1.5 million in consulting and outside labor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General and administrative expenses decreased $12.2 million, or 40%, from $30.2 million in the three months ended June 30, 2022 to $18.0 million in the three months ended June 30, 2023. The decrease was primarily due to decreases of $9.0 million in provisions for credit losses, $5.2 million in acquisition related costs incurred in the prior period, and $708,000 in consulting and outside labor costs, partially offset by increases of $1.3 million related to allocated facility expenses, $909,000 in depreciation expenses, and $758,000 in personnel costs including equity-based compensation expense related to equity awards granted post the second quarter of 2022.</w:t>
      </w:r>
    </w:p>
    <w:p>
      <w:pPr>
        <w:spacing w:after="0" w:line="18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General and administrative expenses decreased $16.2 million, or 29%, from $56.0 million in the six months ended June 30, 2022 to $39.8 million in the six months ended June 30, 2023. The decrease was primarily due to decreases of $20.7 million in provision for credit losses, $5.2 million in acquisition related costs incurred in the prior period, and $1.8 million in legal and professional fees, partially offset by increases in $5.8 million in personnel costs including equity-based compensation expense related to entity acquired in the second quarter of 2022 and equity awards granted post the second quarter of 2022, $3.3 million related to allocated facility expense, and $2.7 million in depreciation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21"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Amortization of intangible assets represents amortization expenses on the intangible assets arose from the business combinations in 2022 and 2021 and a patent purchased in 2021. Amortization expenses were $2.0 million and $1.6 million in the three months ended June 30, 2023 and 2022, respectively, and $3.9 million and $2.5 million in the six months ended June 30, 2023 and 2022,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Restructuring expenses represent one-time employee termination benefits provided to employees associated with an entity acquired by the Company who were involuntarily terminated in the prior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Interest and other income, net, is primarily comprised of net interest income (expenses), which was $5.0 million and $874,000 in the three months ended June 30, 2023 and 2022, respectively, and $8.8 million and $824,000 in the six months ended June 30, 2023 and 2022, respectively. This interest income (expense) related to interest earned on various investments in marketable securities including realized and holding gain (loss) on marketable equity securities, net of interest expenses incurred for our notes payable and margin loan.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Provision for Income Taxes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(Benefit from) provision for income taxes was $(3.1 million) and $(8.3 million) for the three and six months ended June 30, 2023, respectively, and $2.7 million and $51.1 million for the three and six months ended June 30, 2022, respectively. The effective tax rate was 21% and 19% for the three months ended June 30, 2023 and 2022, respectively. The effective tax rate was 23% and 24% for the six months ended June 30, 2023 and 2022, respectively. The change in the effective tax rate for the three and six months ended June 30, 2023, relative to 2022, was primarily attributable to shortfalls from stock-based compensation reducing the amount of tax loss that we could benefit from.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loss attributable to noncontrolling interest represents net loss attributable to the minority shareholders from entities not wholly owned.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jc w:val="both"/>
        <w:ind w:right="720" w:firstLine="509"/>
        <w:spacing w:after="0" w:line="263" w:lineRule="auto"/>
        <w:rPr>
          <w:sz w:val="20"/>
          <w:szCs w:val="20"/>
          <w:color w:val="auto"/>
        </w:rPr>
      </w:pPr>
      <w:r>
        <w:rPr>
          <w:rFonts w:ascii="Arial" w:cs="Arial" w:eastAsia="Arial" w:hAnsi="Arial"/>
          <w:sz w:val="18"/>
          <w:szCs w:val="18"/>
          <w:color w:val="auto"/>
        </w:rPr>
        <w:t>We had $846.8 million and $852.9 million in cash, cash equivalents and marketable securities as of June 30, 2023 and December 31, 2022, respectively. Our marketable securities primarily consist of U.S. government and U.S. agency debt securities, U.S. treasury bills, corporate bonds, municipal bonds, and Yankee debt securities as of June 30, 2023 and December 31, 2022.</w:t>
      </w:r>
    </w:p>
    <w:p>
      <w:pPr>
        <w:spacing w:after="0" w:line="18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Our primary uses of cash are to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believe our existing cash, cash equivalent, and short-term marketable securities will be sufficient to meet our anticipated cash requirements for at least the next 12 months. Cash provided by operations significantly contributed to our ability to meet our liquidity needs, including paying for capital expenditures. However, cash provided by our operations fluctuates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color w:val="auto"/>
        </w:rPr>
        <w:t>which could lower the economic value to us of these tests, programs or initiatives. Any such outcome could significantly harm our business, performance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7"/>
              </w:rPr>
              <w:t>Six Months Ended June 30,</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6700" w:type="dxa"/>
            <w:vAlign w:val="bottom"/>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6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shd w:val="clear" w:color="auto" w:fill="CFF0FC"/>
          </w:tcPr>
          <w:p>
            <w:pPr>
              <w:jc w:val="right"/>
              <w:ind w:right="105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199,537</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(5,450 )</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(213,004 )</w:t>
            </w: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shd w:val="clear" w:color="auto" w:fill="CFF0FC"/>
          </w:tcPr>
          <w:p>
            <w:pPr>
              <w:jc w:val="right"/>
              <w:ind w:right="1055"/>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(17,360 )</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(12,086 )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Cash provided by operating activities in the six months ended June 30, 2023 was $1.8 million. The difference between net loss and cash provided in operating activities for the period was primarily due to the effects of $20.6 million in equity-based compensation expenses, $13.2 million in the depreciation and amortization, and $3.3 million in noncash lease expense, partially offset by negative impact of $8.4 million in deferred taxes, $2.0 million in provision for credit losses, and $1.2 million in amortization of bond discount on marketable securities. Changes in operating assets and liabilities primarily consisted of decrease of $19.7 million in trade accounts receivable due to the timing of collections, partially offset by decrease of $4.5 million in accrued liabilities and other current and non-current liabilities, $4.4 million in accounts payable related to the timing of payments, $3.1 million in operating lease liabilities, and an increase of $3.8 million in other current and long-term assets.</w:t>
      </w:r>
    </w:p>
    <w:p>
      <w:pPr>
        <w:spacing w:after="0" w:line="17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Cash provided by operating activities in the six months ended June 30, 2022 was $199.5 million. The difference between net income and cash provided by operating activities for the period was primarily due to the effects of $18.7 million in provision for credit losses, $13.6 million in equity-based compensation expenses, $13.0 million in the depreciation and amortization, $3.2 million in amortization of premium of marketable securities, $1.7 million in noncash lease expense, $1.0 million in unrecognized tax benefits, partially offset by a negative impact of $7.6 million increased deferred tax assets. Changes in operating assets and liabilities primarily consisted of decreases of $10.3 million in accounts payable related to timing of payments, $1.7 million in operating and finance lease liabilities, and an increase of $1.9 million in other current and long-term assets primary related to increased prepaid insurance premium, partially offset by an increase of $2.0 million in income tax payable due to the timing of the payment and a decrease of $1.8 million in trade accounts receivable due to timing of collections.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Cash used in investing activities in the six months ended June 30, 2023 was $5.5 million, which primarily related to $250.5 million on purchases of marketable securities and $14.2 million on purchases of fixed assets, including real estate, partially offset by $258.8 million related to maturities of marketable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used in investing activities in the six months ended June 30, 2022 was $213.0 million, which primarily related to $245.5 million on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marketable securities and $137.8 million payment related to acquisition of Inform Diagnostics, $15.0 million investment in private equity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contingent consideration payment made in current period related to a business combination in 2021, purchase of $8.6 million of fixed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proceeds of $133.4 million from sale of marketable securities and $70.4 million related to maturities of marketable securities.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Cash used in financing activities in the six months ended June 30, 2023 was $17.4 million, which primarily related to $15.0 million repayment to the margin loan account and $1.1 million common stock withholding for employee tax obligations.</w:t>
      </w:r>
    </w:p>
    <w:p>
      <w:pPr>
        <w:spacing w:after="0" w:line="17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Cash used in financing activities in the six months ended June 30, 2022 was $12.1 million, which primarily related to $10.6 million repurchase of common stock and $930,000 related to common stock withholding for employee tax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three and six months ended June 30, 2023, we did not repurchase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right="320"/>
        <w:spacing w:after="0" w:line="263" w:lineRule="auto"/>
        <w:rPr>
          <w:sz w:val="20"/>
          <w:szCs w:val="20"/>
          <w:color w:val="auto"/>
        </w:rPr>
      </w:pPr>
      <w:r>
        <w:rPr>
          <w:rFonts w:ascii="Arial" w:cs="Arial" w:eastAsia="Arial" w:hAnsi="Arial"/>
          <w:sz w:val="18"/>
          <w:szCs w:val="18"/>
          <w:color w:val="auto"/>
        </w:rPr>
        <w:t>any common stock under our stock repurchase program. During the three months ended June 30, 2022, we repurchased 215,000 shares of our common stock at an aggregate cost of $10.6 million under the stock repurchase program. As of June 30, 2023, a total of approximately $175.7 million remained available for future repurchases of our common stock under our stock repurchase program.</w:t>
      </w:r>
    </w:p>
    <w:p>
      <w:pPr>
        <w:spacing w:after="0" w:line="28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120" w:firstLine="509"/>
        <w:spacing w:after="0" w:line="342" w:lineRule="auto"/>
        <w:rPr>
          <w:sz w:val="20"/>
          <w:szCs w:val="20"/>
          <w:color w:val="auto"/>
        </w:rPr>
      </w:pPr>
      <w:r>
        <w:rPr>
          <w:rFonts w:ascii="Arial" w:cs="Arial" w:eastAsia="Arial" w:hAnsi="Arial"/>
          <w:sz w:val="16"/>
          <w:szCs w:val="16"/>
          <w:color w:val="auto"/>
        </w:rPr>
        <w:t>There have been no material changes to our critical accounting policies or estimates from the information provided in Part II, Item 7, “Management’s Discussion and Analysis of Financial Condition and Results of Operations,” included in the 2022 Annual Report.</w:t>
      </w:r>
    </w:p>
    <w:p>
      <w:pPr>
        <w:spacing w:after="0" w:line="22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condensed consolidated financial statements included in this report for information about recent accounting pronouncements.</w:t>
      </w:r>
    </w:p>
    <w:p>
      <w:pPr>
        <w:spacing w:after="0" w:line="27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For quantitative and qualitative disclosures about market risk, see Part II, Item 7A, “Quantitative and Qualitative Disclosures About Market Risk,” in our 2022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June 30, 2023. Based on this evaluation, our Chief Executive Officer and Chief Financial Officer concluded that our disclosure controls and procedures were effective as of June 30, 2023.</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There have not been any changes in our internal control (as required by Rule 13a-15(b) under the Exchange Act) over the financial reporting during the three months ended June 30, 2023 that have materially affected or are reasonably likely to materially affect our internal control over financial reporting.</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involved in legal proceedings arising in the ordinary course of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outcome of litigation is inherently uncertain, and there can be no assurances that favorable outcomes will be obtained.</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set forth in Part I, Item 1A, “Risk Factors,” of the 2022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To date, we have used $121.7 million of the net proceeds from sales of our common stock, of which, $4.5 million was used for contributions to FF Gene Biotech, prior to the FF Gene Biotech acquisition, $101.4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Prospectus.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on Share Repurchases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 did not repurchase any common stock during the three and six months ended June 30, 2023. TThe number of shares of common stock repurchased by the Company during the second quarter of 2022 and the average price paid per share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ind w:left="198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8"/>
              </w:rPr>
              <w:t>(a) Total 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(b) Average Price</w:t>
            </w:r>
          </w:p>
        </w:tc>
        <w:tc>
          <w:tcPr>
            <w:tcW w:w="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 Total Number of</w:t>
            </w:r>
          </w:p>
        </w:tc>
        <w:tc>
          <w:tcPr>
            <w:tcW w:w="3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 Maximum Dollar</w:t>
            </w:r>
          </w:p>
        </w:tc>
        <w:tc>
          <w:tcPr>
            <w:tcW w:w="240" w:type="dxa"/>
            <w:vAlign w:val="bottom"/>
          </w:tcPr>
          <w:p>
            <w:pPr>
              <w:spacing w:after="0"/>
              <w:rPr>
                <w:sz w:val="14"/>
                <w:szCs w:val="14"/>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 xml:space="preserve">Paid Per Share </w:t>
            </w:r>
            <w:r>
              <w:rPr>
                <w:rFonts w:ascii="Arial" w:cs="Arial" w:eastAsia="Arial" w:hAnsi="Arial"/>
                <w:sz w:val="12"/>
                <w:szCs w:val="12"/>
                <w:b w:val="1"/>
                <w:bCs w:val="1"/>
                <w:color w:val="auto"/>
              </w:rPr>
              <w:t>(1)</w:t>
            </w: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that May Yet</w:t>
            </w:r>
          </w:p>
        </w:tc>
        <w:tc>
          <w:tcPr>
            <w:tcW w:w="240" w:type="dxa"/>
            <w:vAlign w:val="bottom"/>
          </w:tcPr>
          <w:p>
            <w:pPr>
              <w:spacing w:after="0"/>
              <w:rPr>
                <w:sz w:val="12"/>
                <w:szCs w:val="12"/>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240" w:type="dxa"/>
            <w:vAlign w:val="bottom"/>
          </w:tcPr>
          <w:p>
            <w:pPr>
              <w:spacing w:after="0"/>
              <w:rPr>
                <w:sz w:val="12"/>
                <w:szCs w:val="12"/>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240" w:type="dxa"/>
            <w:vAlign w:val="bottom"/>
          </w:tcPr>
          <w:p>
            <w:pPr>
              <w:spacing w:after="0"/>
              <w:rPr>
                <w:sz w:val="12"/>
                <w:szCs w:val="12"/>
                <w:color w:val="auto"/>
              </w:rPr>
            </w:pPr>
          </w:p>
        </w:tc>
      </w:tr>
      <w:tr>
        <w:trPr>
          <w:trHeight w:val="205"/>
        </w:trPr>
        <w:tc>
          <w:tcPr>
            <w:tcW w:w="4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Programs</w:t>
            </w:r>
          </w:p>
        </w:tc>
        <w:tc>
          <w:tcPr>
            <w:tcW w:w="240" w:type="dxa"/>
            <w:vAlign w:val="bottom"/>
          </w:tcPr>
          <w:p>
            <w:pPr>
              <w:spacing w:after="0"/>
              <w:rPr>
                <w:sz w:val="17"/>
                <w:szCs w:val="17"/>
                <w:color w:val="auto"/>
              </w:rPr>
            </w:pPr>
          </w:p>
        </w:tc>
      </w:tr>
      <w:tr>
        <w:trPr>
          <w:trHeight w:val="210"/>
        </w:trPr>
        <w:tc>
          <w:tcPr>
            <w:tcW w:w="4360" w:type="dxa"/>
            <w:vAlign w:val="bottom"/>
            <w:tcBorders>
              <w:top w:val="single" w:sz="8" w:color="CFF0FC"/>
              <w:bottom w:val="single" w:sz="8" w:color="CFF0FC"/>
            </w:tcBorders>
            <w:shd w:val="clear" w:color="auto" w:fill="CFF0FC"/>
          </w:tcPr>
          <w:p>
            <w:pPr>
              <w:ind w:left="20"/>
              <w:spacing w:after="0" w:line="204" w:lineRule="exact"/>
              <w:rPr>
                <w:sz w:val="20"/>
                <w:szCs w:val="20"/>
                <w:color w:val="auto"/>
              </w:rPr>
            </w:pPr>
            <w:r>
              <w:rPr>
                <w:rFonts w:ascii="Arial" w:cs="Arial" w:eastAsia="Arial" w:hAnsi="Arial"/>
                <w:sz w:val="18"/>
                <w:szCs w:val="18"/>
                <w:color w:val="auto"/>
              </w:rPr>
              <w:t>May 2022 (5/1/2022 - 5/31/2022)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6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Arial" w:cs="Arial" w:eastAsia="Arial" w:hAnsi="Arial"/>
                <w:sz w:val="18"/>
                <w:szCs w:val="18"/>
                <w:color w:val="auto"/>
              </w:rPr>
              <w:t>30,000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Arial" w:cs="Arial" w:eastAsia="Arial" w:hAnsi="Arial"/>
                <w:sz w:val="18"/>
                <w:szCs w:val="18"/>
                <w:color w:val="auto"/>
              </w:rPr>
              <w:t>49.56</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Arial" w:cs="Arial" w:eastAsia="Arial" w:hAnsi="Arial"/>
                <w:sz w:val="18"/>
                <w:szCs w:val="18"/>
                <w:color w:val="auto"/>
              </w:rPr>
              <w:t>30,000</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jc w:val="right"/>
              <w:ind w:right="4"/>
              <w:spacing w:after="0" w:line="204"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CFF0FC"/>
              <w:bottom w:val="single" w:sz="8" w:color="CFF0FC"/>
            </w:tcBorders>
            <w:shd w:val="clear" w:color="auto" w:fill="CFF0FC"/>
          </w:tcPr>
          <w:p>
            <w:pPr>
              <w:jc w:val="right"/>
              <w:spacing w:after="0" w:line="204" w:lineRule="exact"/>
              <w:rPr>
                <w:sz w:val="20"/>
                <w:szCs w:val="20"/>
                <w:color w:val="auto"/>
              </w:rPr>
            </w:pPr>
            <w:r>
              <w:rPr>
                <w:rFonts w:ascii="Arial" w:cs="Arial" w:eastAsia="Arial" w:hAnsi="Arial"/>
                <w:sz w:val="18"/>
                <w:szCs w:val="18"/>
                <w:color w:val="auto"/>
              </w:rPr>
              <w:t>248,515,000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June 2022 (6/1/2022 - 6/30/2022)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56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239,429,000</w:t>
            </w:r>
          </w:p>
        </w:tc>
        <w:tc>
          <w:tcPr>
            <w:tcW w:w="240" w:type="dxa"/>
            <w:vAlign w:val="bottom"/>
          </w:tcPr>
          <w:p>
            <w:pPr>
              <w:spacing w:after="0"/>
              <w:rPr>
                <w:sz w:val="20"/>
                <w:szCs w:val="20"/>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215,000</w:t>
            </w:r>
          </w:p>
        </w:tc>
        <w:tc>
          <w:tcPr>
            <w:tcW w:w="48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3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215,000</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-504825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1454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1454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460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460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(1) Includes commissions for the shares repurchased under the stock repurchase program.</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03"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On August 1, 2023 our Board approved and adopted the Amended and Restated Bylaws, or the Amended Bylaws. The amendments address matters relating to Rule 14a-19 under the Exchange Act, or the Universal Proxy Rules as further set forth in the Amended and Restated Bylaws attached as Exhibit 3.2 to this Quarterly Report on Form 10-Q.</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111"/>
        <w:spacing w:after="0"/>
        <w:rPr>
          <w:sz w:val="20"/>
          <w:szCs w:val="20"/>
          <w:color w:val="auto"/>
        </w:rPr>
      </w:pPr>
      <w:r>
        <w:rPr>
          <w:rFonts w:ascii="Arial" w:cs="Arial" w:eastAsia="Arial" w:hAnsi="Arial"/>
          <w:sz w:val="18"/>
          <w:szCs w:val="18"/>
          <w:b w:val="1"/>
          <w:bCs w:val="1"/>
          <w:color w:val="auto"/>
        </w:rPr>
        <w:t>EXHIBIT INDEX</w:t>
      </w:r>
    </w:p>
    <w:p>
      <w:pPr>
        <w:spacing w:after="0" w:line="45"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Incorporated by Reference</w:t>
            </w:r>
          </w:p>
        </w:tc>
      </w:tr>
      <w:tr>
        <w:trPr>
          <w:trHeight w:val="148"/>
        </w:trPr>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100" w:type="dxa"/>
            <w:vAlign w:val="bottom"/>
            <w:gridSpan w:val="11"/>
          </w:tcPr>
          <w:p>
            <w:pPr>
              <w:ind w:left="720"/>
              <w:spacing w:after="0" w:line="149" w:lineRule="exact"/>
              <w:rPr>
                <w:sz w:val="20"/>
                <w:szCs w:val="20"/>
                <w:color w:val="auto"/>
              </w:rPr>
            </w:pPr>
            <w:r>
              <w:rPr>
                <w:rFonts w:ascii="Arial" w:cs="Arial" w:eastAsia="Arial" w:hAnsi="Arial"/>
                <w:sz w:val="14"/>
                <w:szCs w:val="14"/>
                <w:b w:val="1"/>
                <w:bCs w:val="1"/>
                <w:color w:val="auto"/>
              </w:rPr>
              <w:t>Exhibit Title</w:t>
            </w:r>
          </w:p>
        </w:tc>
        <w:tc>
          <w:tcPr>
            <w:tcW w:w="12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Filed with this</w:t>
            </w:r>
          </w:p>
        </w:tc>
        <w:tc>
          <w:tcPr>
            <w:tcW w:w="6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Form</w:t>
            </w:r>
          </w:p>
        </w:tc>
        <w:tc>
          <w:tcPr>
            <w:tcW w:w="146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Form No.</w:t>
            </w:r>
          </w:p>
        </w:tc>
        <w:tc>
          <w:tcPr>
            <w:tcW w:w="8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Date Filed</w:t>
            </w:r>
          </w:p>
        </w:tc>
      </w:tr>
      <w:tr>
        <w:trPr>
          <w:trHeight w:val="186"/>
        </w:trPr>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Form 10-Q</w:t>
            </w:r>
          </w:p>
        </w:tc>
        <w:tc>
          <w:tcPr>
            <w:tcW w:w="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4"/>
                <w:szCs w:val="14"/>
                <w:color w:val="auto"/>
              </w:rPr>
              <w:t>3.1</w:t>
            </w:r>
          </w:p>
        </w:tc>
        <w:tc>
          <w:tcPr>
            <w:tcW w:w="5980" w:type="dxa"/>
            <w:vAlign w:val="bottom"/>
            <w:gridSpan w:val="13"/>
          </w:tcPr>
          <w:p>
            <w:pPr>
              <w:spacing w:after="0"/>
              <w:rPr>
                <w:rFonts w:ascii="Arial" w:cs="Arial" w:eastAsia="Arial" w:hAnsi="Arial"/>
                <w:sz w:val="14"/>
                <w:szCs w:val="14"/>
                <w:color w:val="0000FF"/>
              </w:rPr>
            </w:pPr>
            <w:hyperlink r:id="rId290">
              <w:r>
                <w:rPr>
                  <w:rFonts w:ascii="Arial" w:cs="Arial" w:eastAsia="Arial" w:hAnsi="Arial"/>
                  <w:sz w:val="14"/>
                  <w:szCs w:val="14"/>
                  <w:color w:val="0000FF"/>
                </w:rPr>
                <w:t>Certificate of Incorporation of the registrant, dated May 13, 2016.</w:t>
              </w:r>
            </w:hyperlink>
          </w:p>
        </w:tc>
        <w:tc>
          <w:tcPr>
            <w:tcW w:w="1240" w:type="dxa"/>
            <w:vAlign w:val="bottom"/>
          </w:tcPr>
          <w:p>
            <w:pPr>
              <w:spacing w:after="0"/>
              <w:rPr>
                <w:sz w:val="24"/>
                <w:szCs w:val="2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color w:val="auto"/>
                <w:w w:val="96"/>
              </w:rPr>
              <w:t>10-Q</w:t>
            </w:r>
          </w:p>
        </w:tc>
        <w:tc>
          <w:tcPr>
            <w:tcW w:w="1460" w:type="dxa"/>
            <w:vAlign w:val="bottom"/>
          </w:tcPr>
          <w:p>
            <w:pPr>
              <w:ind w:left="600"/>
              <w:spacing w:after="0"/>
              <w:rPr>
                <w:sz w:val="20"/>
                <w:szCs w:val="20"/>
                <w:color w:val="auto"/>
              </w:rPr>
            </w:pPr>
            <w:r>
              <w:rPr>
                <w:rFonts w:ascii="Arial" w:cs="Arial" w:eastAsia="Arial" w:hAnsi="Arial"/>
                <w:sz w:val="14"/>
                <w:szCs w:val="14"/>
                <w:color w:val="auto"/>
              </w:rPr>
              <w:t>001-37894</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w w:val="96"/>
              </w:rPr>
              <w:t>8/14/2017</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980" w:type="dxa"/>
            <w:vAlign w:val="bottom"/>
            <w:gridSpan w:val="13"/>
          </w:tcPr>
          <w:p>
            <w:pPr>
              <w:spacing w:after="0"/>
              <w:rPr>
                <w:rFonts w:ascii="Arial" w:cs="Arial" w:eastAsia="Arial" w:hAnsi="Arial"/>
                <w:sz w:val="14"/>
                <w:szCs w:val="14"/>
                <w:color w:val="0000FF"/>
              </w:rPr>
            </w:pPr>
            <w:hyperlink r:id="rId291">
              <w:r>
                <w:rPr>
                  <w:rFonts w:ascii="Arial" w:cs="Arial" w:eastAsia="Arial" w:hAnsi="Arial"/>
                  <w:sz w:val="14"/>
                  <w:szCs w:val="14"/>
                  <w:color w:val="0000FF"/>
                </w:rPr>
                <w:t>Certificate of Amendment to Certificate of Incorporation of the registrant, dated August 2, 2016.</w:t>
              </w:r>
            </w:hyperlink>
          </w:p>
        </w:tc>
        <w:tc>
          <w:tcPr>
            <w:tcW w:w="1240" w:type="dxa"/>
            <w:vAlign w:val="bottom"/>
          </w:tcPr>
          <w:p>
            <w:pPr>
              <w:spacing w:after="0"/>
              <w:rPr>
                <w:sz w:val="24"/>
                <w:szCs w:val="2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color w:val="auto"/>
                <w:w w:val="96"/>
              </w:rPr>
              <w:t>10-Q</w:t>
            </w:r>
          </w:p>
        </w:tc>
        <w:tc>
          <w:tcPr>
            <w:tcW w:w="1460" w:type="dxa"/>
            <w:vAlign w:val="bottom"/>
          </w:tcPr>
          <w:p>
            <w:pPr>
              <w:ind w:left="600"/>
              <w:spacing w:after="0"/>
              <w:rPr>
                <w:sz w:val="20"/>
                <w:szCs w:val="20"/>
                <w:color w:val="auto"/>
              </w:rPr>
            </w:pPr>
            <w:r>
              <w:rPr>
                <w:rFonts w:ascii="Arial" w:cs="Arial" w:eastAsia="Arial" w:hAnsi="Arial"/>
                <w:sz w:val="14"/>
                <w:szCs w:val="14"/>
                <w:color w:val="auto"/>
              </w:rPr>
              <w:t>001-37894</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w w:val="96"/>
              </w:rPr>
              <w:t>8/14/2017</w:t>
            </w: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540" w:type="dxa"/>
            <w:vAlign w:val="bottom"/>
            <w:tcBorders>
              <w:top w:val="single" w:sz="8" w:color="0000FF"/>
            </w:tcBorders>
            <w:gridSpan w:val="8"/>
          </w:tcPr>
          <w:p>
            <w:pPr>
              <w:spacing w:after="0"/>
              <w:rPr>
                <w:rFonts w:ascii="Arial" w:cs="Arial" w:eastAsia="Arial" w:hAnsi="Arial"/>
                <w:sz w:val="14"/>
                <w:szCs w:val="14"/>
                <w:color w:val="0000FF"/>
                <w:w w:val="95"/>
              </w:rPr>
            </w:pPr>
            <w:hyperlink r:id="rId292">
              <w:r>
                <w:rPr>
                  <w:rFonts w:ascii="Arial" w:cs="Arial" w:eastAsia="Arial" w:hAnsi="Arial"/>
                  <w:sz w:val="14"/>
                  <w:szCs w:val="14"/>
                  <w:color w:val="0000FF"/>
                  <w:w w:val="95"/>
                </w:rPr>
                <w:t>Certificate of Amendment to Certificate of Incorporation of the registrant, dated May 17, 2017.</w:t>
              </w:r>
            </w:hyperlink>
          </w:p>
        </w:tc>
        <w:tc>
          <w:tcPr>
            <w:tcW w:w="440" w:type="dxa"/>
            <w:vAlign w:val="bottom"/>
            <w:gridSpan w:val="5"/>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color w:val="auto"/>
                <w:w w:val="96"/>
              </w:rPr>
              <w:t>10-Q</w:t>
            </w:r>
          </w:p>
        </w:tc>
        <w:tc>
          <w:tcPr>
            <w:tcW w:w="1460" w:type="dxa"/>
            <w:vAlign w:val="bottom"/>
          </w:tcPr>
          <w:p>
            <w:pPr>
              <w:ind w:left="600"/>
              <w:spacing w:after="0"/>
              <w:rPr>
                <w:sz w:val="20"/>
                <w:szCs w:val="20"/>
                <w:color w:val="auto"/>
              </w:rPr>
            </w:pPr>
            <w:r>
              <w:rPr>
                <w:rFonts w:ascii="Arial" w:cs="Arial" w:eastAsia="Arial" w:hAnsi="Arial"/>
                <w:sz w:val="14"/>
                <w:szCs w:val="14"/>
                <w:color w:val="auto"/>
              </w:rPr>
              <w:t>001-37894</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w w:val="96"/>
              </w:rPr>
              <w:t>8/14/2017</w:t>
            </w: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3.2</w:t>
            </w:r>
          </w:p>
        </w:tc>
        <w:tc>
          <w:tcPr>
            <w:tcW w:w="546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Amended and Restated Bylaws of the registrant.</w:t>
            </w:r>
          </w:p>
        </w:tc>
        <w:tc>
          <w:tcPr>
            <w:tcW w:w="520" w:type="dxa"/>
            <w:vAlign w:val="bottom"/>
            <w:gridSpan w:val="6"/>
          </w:tcPr>
          <w:p>
            <w:pPr>
              <w:spacing w:after="0"/>
              <w:rPr>
                <w:sz w:val="24"/>
                <w:szCs w:val="2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10.1^</w:t>
            </w:r>
          </w:p>
        </w:tc>
        <w:tc>
          <w:tcPr>
            <w:tcW w:w="5980" w:type="dxa"/>
            <w:vAlign w:val="bottom"/>
            <w:gridSpan w:val="13"/>
          </w:tcPr>
          <w:p>
            <w:pPr>
              <w:spacing w:after="0"/>
              <w:rPr>
                <w:rFonts w:ascii="Arial" w:cs="Arial" w:eastAsia="Arial" w:hAnsi="Arial"/>
                <w:sz w:val="14"/>
                <w:szCs w:val="14"/>
                <w:color w:val="0000FF"/>
              </w:rPr>
            </w:pPr>
            <w:hyperlink r:id="rId293">
              <w:r>
                <w:rPr>
                  <w:rFonts w:ascii="Arial" w:cs="Arial" w:eastAsia="Arial" w:hAnsi="Arial"/>
                  <w:sz w:val="14"/>
                  <w:szCs w:val="14"/>
                  <w:color w:val="0000FF"/>
                </w:rPr>
                <w:t>Amended and Restated 2016 Omnibus Incentive Plan of the registrant</w:t>
              </w:r>
            </w:hyperlink>
          </w:p>
        </w:tc>
        <w:tc>
          <w:tcPr>
            <w:tcW w:w="1240" w:type="dxa"/>
            <w:vAlign w:val="bottom"/>
          </w:tcPr>
          <w:p>
            <w:pPr>
              <w:spacing w:after="0"/>
              <w:rPr>
                <w:sz w:val="24"/>
                <w:szCs w:val="2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color w:val="auto"/>
              </w:rPr>
              <w:t>8-K</w:t>
            </w:r>
          </w:p>
        </w:tc>
        <w:tc>
          <w:tcPr>
            <w:tcW w:w="1460" w:type="dxa"/>
            <w:vAlign w:val="bottom"/>
          </w:tcPr>
          <w:p>
            <w:pPr>
              <w:ind w:left="600"/>
              <w:spacing w:after="0"/>
              <w:rPr>
                <w:sz w:val="20"/>
                <w:szCs w:val="20"/>
                <w:color w:val="auto"/>
              </w:rPr>
            </w:pPr>
            <w:r>
              <w:rPr>
                <w:rFonts w:ascii="Arial" w:cs="Arial" w:eastAsia="Arial" w:hAnsi="Arial"/>
                <w:sz w:val="14"/>
                <w:szCs w:val="14"/>
                <w:color w:val="auto"/>
              </w:rPr>
              <w:t>001-37894</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w w:val="96"/>
              </w:rPr>
              <w:t>5/18/2023</w:t>
            </w: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10.1^#</w:t>
            </w:r>
          </w:p>
        </w:tc>
        <w:tc>
          <w:tcPr>
            <w:tcW w:w="4020" w:type="dxa"/>
            <w:vAlign w:val="bottom"/>
            <w:tcBorders>
              <w:top w:val="single" w:sz="8" w:color="0000FF"/>
            </w:tcBorders>
            <w:gridSpan w:val="5"/>
          </w:tcPr>
          <w:p>
            <w:pPr>
              <w:spacing w:after="0"/>
              <w:rPr>
                <w:rFonts w:ascii="Arial" w:cs="Arial" w:eastAsia="Arial" w:hAnsi="Arial"/>
                <w:sz w:val="14"/>
                <w:szCs w:val="14"/>
                <w:color w:val="0000FF"/>
              </w:rPr>
            </w:pPr>
            <w:hyperlink r:id="rId294">
              <w:r>
                <w:rPr>
                  <w:rFonts w:ascii="Arial" w:cs="Arial" w:eastAsia="Arial" w:hAnsi="Arial"/>
                  <w:sz w:val="14"/>
                  <w:szCs w:val="14"/>
                  <w:color w:val="0000FF"/>
                </w:rPr>
                <w:t>Executive Officer Incentive Plan</w:t>
              </w:r>
            </w:hyperlink>
          </w:p>
        </w:tc>
        <w:tc>
          <w:tcPr>
            <w:tcW w:w="1960" w:type="dxa"/>
            <w:vAlign w:val="bottom"/>
            <w:gridSpan w:val="8"/>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color w:val="auto"/>
                <w:w w:val="96"/>
              </w:rPr>
              <w:t>10-Q</w:t>
            </w:r>
          </w:p>
        </w:tc>
        <w:tc>
          <w:tcPr>
            <w:tcW w:w="1460" w:type="dxa"/>
            <w:vAlign w:val="bottom"/>
          </w:tcPr>
          <w:p>
            <w:pPr>
              <w:ind w:left="600"/>
              <w:spacing w:after="0"/>
              <w:rPr>
                <w:sz w:val="20"/>
                <w:szCs w:val="20"/>
                <w:color w:val="auto"/>
              </w:rPr>
            </w:pPr>
            <w:r>
              <w:rPr>
                <w:rFonts w:ascii="Arial" w:cs="Arial" w:eastAsia="Arial" w:hAnsi="Arial"/>
                <w:sz w:val="14"/>
                <w:szCs w:val="14"/>
                <w:color w:val="auto"/>
              </w:rPr>
              <w:t>001-37894</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w w:val="96"/>
              </w:rPr>
              <w:t>5/05/2023</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60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4"/>
              </w:rPr>
              <w:t>Certification of Principal Executive Officer pursuant to Rules 13a-14(a) and 15d-14(a) under the</w:t>
            </w:r>
          </w:p>
        </w:tc>
        <w:tc>
          <w:tcPr>
            <w:tcW w:w="380" w:type="dxa"/>
            <w:vAlign w:val="bottom"/>
            <w:gridSpan w:val="3"/>
          </w:tcPr>
          <w:p>
            <w:pPr>
              <w:spacing w:after="0"/>
              <w:rPr>
                <w:sz w:val="24"/>
                <w:szCs w:val="2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980" w:type="dxa"/>
            <w:vAlign w:val="bottom"/>
            <w:gridSpan w:val="13"/>
          </w:tcPr>
          <w:p>
            <w:pPr>
              <w:spacing w:after="0" w:line="129" w:lineRule="exact"/>
              <w:rPr>
                <w:sz w:val="20"/>
                <w:szCs w:val="20"/>
                <w:color w:val="auto"/>
              </w:rPr>
            </w:pPr>
            <w:r>
              <w:rPr>
                <w:rFonts w:ascii="Arial" w:cs="Arial" w:eastAsia="Arial" w:hAnsi="Arial"/>
                <w:sz w:val="14"/>
                <w:szCs w:val="14"/>
                <w:color w:val="0000FF"/>
                <w:w w:val="97"/>
              </w:rPr>
              <w:t>Securities Exchange Act of 1934, as adopted pursuant to Section 302 of the Sarbanes-Oxley Act of</w:t>
            </w: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85"/>
              </w:rPr>
              <w:t>2002.</w:t>
            </w:r>
          </w:p>
        </w:tc>
        <w:tc>
          <w:tcPr>
            <w:tcW w:w="15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980" w:type="dxa"/>
            <w:vAlign w:val="bottom"/>
            <w:gridSpan w:val="13"/>
          </w:tcPr>
          <w:p>
            <w:pPr>
              <w:spacing w:after="0"/>
              <w:rPr>
                <w:sz w:val="20"/>
                <w:szCs w:val="20"/>
                <w:color w:val="auto"/>
              </w:rPr>
            </w:pPr>
            <w:r>
              <w:rPr>
                <w:rFonts w:ascii="Arial" w:cs="Arial" w:eastAsia="Arial" w:hAnsi="Arial"/>
                <w:sz w:val="14"/>
                <w:szCs w:val="14"/>
                <w:color w:val="0000FF"/>
              </w:rPr>
              <w:t>Certification of Principal Financial Officer pursuant to Rules 13a-14(a) and 15d-14(a) under the</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60" w:type="dxa"/>
            <w:vAlign w:val="bottom"/>
            <w:tcBorders>
              <w:top w:val="single" w:sz="8" w:color="0000FF"/>
            </w:tcBorders>
            <w:gridSpan w:val="9"/>
          </w:tcPr>
          <w:p>
            <w:pPr>
              <w:spacing w:after="0" w:line="129" w:lineRule="exact"/>
              <w:rPr>
                <w:sz w:val="20"/>
                <w:szCs w:val="20"/>
                <w:color w:val="auto"/>
              </w:rPr>
            </w:pPr>
            <w:r>
              <w:rPr>
                <w:rFonts w:ascii="Arial" w:cs="Arial" w:eastAsia="Arial" w:hAnsi="Arial"/>
                <w:sz w:val="14"/>
                <w:szCs w:val="14"/>
                <w:color w:val="0000FF"/>
                <w:w w:val="92"/>
              </w:rPr>
              <w:t>Securities Exchange Act of 1934, as adopted pursuant to Section 302 of the Sarbanes-Oxley Act</w:t>
            </w:r>
          </w:p>
        </w:tc>
        <w:tc>
          <w:tcPr>
            <w:tcW w:w="420" w:type="dxa"/>
            <w:vAlign w:val="bottom"/>
            <w:gridSpan w:val="4"/>
          </w:tcPr>
          <w:p>
            <w:pPr>
              <w:spacing w:after="0" w:line="129" w:lineRule="exact"/>
              <w:rPr>
                <w:sz w:val="20"/>
                <w:szCs w:val="20"/>
                <w:color w:val="auto"/>
              </w:rPr>
            </w:pPr>
            <w:r>
              <w:rPr>
                <w:rFonts w:ascii="Arial" w:cs="Arial" w:eastAsia="Arial" w:hAnsi="Arial"/>
                <w:sz w:val="14"/>
                <w:szCs w:val="14"/>
                <w:color w:val="0000FF"/>
              </w:rPr>
              <w:t>of</w:t>
            </w: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85"/>
              </w:rPr>
              <w:t>2002.</w:t>
            </w:r>
          </w:p>
        </w:tc>
        <w:tc>
          <w:tcPr>
            <w:tcW w:w="15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32.1*</w:t>
            </w:r>
          </w:p>
        </w:tc>
        <w:tc>
          <w:tcPr>
            <w:tcW w:w="5980" w:type="dxa"/>
            <w:vAlign w:val="bottom"/>
            <w:gridSpan w:val="13"/>
          </w:tcPr>
          <w:p>
            <w:pPr>
              <w:spacing w:after="0"/>
              <w:rPr>
                <w:sz w:val="20"/>
                <w:szCs w:val="20"/>
                <w:color w:val="auto"/>
              </w:rPr>
            </w:pPr>
            <w:r>
              <w:rPr>
                <w:rFonts w:ascii="Arial" w:cs="Arial" w:eastAsia="Arial" w:hAnsi="Arial"/>
                <w:sz w:val="14"/>
                <w:szCs w:val="14"/>
                <w:color w:val="0000FF"/>
              </w:rPr>
              <w:t>Certification of Principal Executive Officer and Principal Financial Officer pursuant to 18 U.S.C.</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9"/>
        </w:trPr>
        <w:tc>
          <w:tcPr>
            <w:tcW w:w="940" w:type="dxa"/>
            <w:vAlign w:val="bottom"/>
          </w:tcPr>
          <w:p>
            <w:pPr>
              <w:spacing w:after="0"/>
              <w:rPr>
                <w:sz w:val="11"/>
                <w:szCs w:val="11"/>
                <w:color w:val="auto"/>
              </w:rPr>
            </w:pPr>
          </w:p>
        </w:tc>
        <w:tc>
          <w:tcPr>
            <w:tcW w:w="5640" w:type="dxa"/>
            <w:vAlign w:val="bottom"/>
            <w:tcBorders>
              <w:top w:val="single" w:sz="8" w:color="0000FF"/>
            </w:tcBorders>
            <w:gridSpan w:val="11"/>
          </w:tcPr>
          <w:p>
            <w:pPr>
              <w:spacing w:after="0" w:line="129" w:lineRule="exact"/>
              <w:rPr>
                <w:sz w:val="20"/>
                <w:szCs w:val="20"/>
                <w:color w:val="auto"/>
              </w:rPr>
            </w:pPr>
            <w:r>
              <w:rPr>
                <w:rFonts w:ascii="Arial" w:cs="Arial" w:eastAsia="Arial" w:hAnsi="Arial"/>
                <w:sz w:val="14"/>
                <w:szCs w:val="14"/>
                <w:color w:val="0000FF"/>
              </w:rPr>
              <w:t>Section 1350, as adopted pursuant to Section 906 of the Sarbanes-Oxley Act of 2002.</w:t>
            </w:r>
          </w:p>
        </w:tc>
        <w:tc>
          <w:tcPr>
            <w:tcW w:w="34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
        </w:trPr>
        <w:tc>
          <w:tcPr>
            <w:tcW w:w="940" w:type="dxa"/>
            <w:vAlign w:val="bottom"/>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4"/>
                <w:szCs w:val="14"/>
                <w:color w:val="auto"/>
              </w:rPr>
              <w:t>101.INS</w:t>
            </w:r>
          </w:p>
        </w:tc>
        <w:tc>
          <w:tcPr>
            <w:tcW w:w="5980" w:type="dxa"/>
            <w:vAlign w:val="bottom"/>
            <w:gridSpan w:val="13"/>
          </w:tcPr>
          <w:p>
            <w:pPr>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5980" w:type="dxa"/>
            <w:vAlign w:val="bottom"/>
            <w:gridSpan w:val="13"/>
          </w:tcPr>
          <w:p>
            <w:pPr>
              <w:spacing w:after="0"/>
              <w:rPr>
                <w:sz w:val="20"/>
                <w:szCs w:val="20"/>
                <w:color w:val="auto"/>
              </w:rPr>
            </w:pPr>
            <w:r>
              <w:rPr>
                <w:rFonts w:ascii="Arial" w:cs="Arial" w:eastAsia="Arial" w:hAnsi="Arial"/>
                <w:sz w:val="14"/>
                <w:szCs w:val="14"/>
                <w:color w:val="auto"/>
              </w:rPr>
              <w:t>because XBRL tags are embedded within the Inline XBRL document.</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101.SCH</w:t>
            </w:r>
          </w:p>
        </w:tc>
        <w:tc>
          <w:tcPr>
            <w:tcW w:w="598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101.CAL</w:t>
            </w:r>
          </w:p>
        </w:tc>
        <w:tc>
          <w:tcPr>
            <w:tcW w:w="5980" w:type="dxa"/>
            <w:vAlign w:val="bottom"/>
            <w:gridSpan w:val="1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101.DEF</w:t>
            </w:r>
          </w:p>
        </w:tc>
        <w:tc>
          <w:tcPr>
            <w:tcW w:w="5980" w:type="dxa"/>
            <w:vAlign w:val="bottom"/>
            <w:gridSpan w:val="1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101.LAB</w:t>
            </w:r>
          </w:p>
        </w:tc>
        <w:tc>
          <w:tcPr>
            <w:tcW w:w="5980" w:type="dxa"/>
            <w:vAlign w:val="bottom"/>
            <w:gridSpan w:val="1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101.PRE</w:t>
            </w:r>
          </w:p>
        </w:tc>
        <w:tc>
          <w:tcPr>
            <w:tcW w:w="5980" w:type="dxa"/>
            <w:vAlign w:val="bottom"/>
            <w:gridSpan w:val="13"/>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104</w:t>
            </w:r>
          </w:p>
        </w:tc>
        <w:tc>
          <w:tcPr>
            <w:tcW w:w="5980" w:type="dxa"/>
            <w:vAlign w:val="bottom"/>
            <w:gridSpan w:val="1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55"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1912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left="292" w:hanging="292"/>
        <w:spacing w:after="0" w:line="221" w:lineRule="auto"/>
        <w:tabs>
          <w:tab w:leader="none" w:pos="292" w:val="left"/>
        </w:tabs>
        <w:numPr>
          <w:ilvl w:val="0"/>
          <w:numId w:val="5"/>
        </w:numPr>
        <w:rPr>
          <w:rFonts w:ascii="Arial" w:cs="Arial" w:eastAsia="Arial" w:hAnsi="Arial"/>
          <w:sz w:val="14"/>
          <w:szCs w:val="14"/>
          <w:color w:val="auto"/>
        </w:rPr>
      </w:pPr>
      <w:r>
        <w:rPr>
          <w:rFonts w:ascii="Arial" w:cs="Arial" w:eastAsia="Arial" w:hAnsi="Arial"/>
          <w:sz w:val="14"/>
          <w:szCs w:val="14"/>
          <w:color w:val="auto"/>
        </w:rPr>
        <w:t>Management compensation plan or arrangement.</w:t>
      </w:r>
    </w:p>
    <w:p>
      <w:pPr>
        <w:ind w:left="-8" w:right="1440" w:firstLine="8"/>
        <w:spacing w:after="0" w:line="237"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Company hereby undertakes to furnish supplementally a copy of any omitted exhibit or schedule upon request by the SEC.</w:t>
      </w:r>
    </w:p>
    <w:p>
      <w:pPr>
        <w:spacing w:after="0" w:line="18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21" w:right="45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FULGENT GENETICS, INC.</w:t>
      </w:r>
    </w:p>
    <w:p>
      <w:pPr>
        <w:spacing w:after="0" w:line="283" w:lineRule="exact"/>
        <w:rPr>
          <w:sz w:val="20"/>
          <w:szCs w:val="20"/>
          <w:color w:val="auto"/>
        </w:rPr>
      </w:pPr>
    </w:p>
    <w:p>
      <w:pPr>
        <w:ind w:left="20"/>
        <w:spacing w:after="0"/>
        <w:tabs>
          <w:tab w:leader="none" w:pos="6720" w:val="left"/>
          <w:tab w:leader="none" w:pos="864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ing</w:t>
      </w:r>
      <w:r>
        <w:rPr>
          <w:rFonts w:ascii="Arial" w:cs="Arial" w:eastAsia="Arial" w:hAnsi="Arial"/>
          <w:sz w:val="18"/>
          <w:szCs w:val="18"/>
          <w:color w:val="auto"/>
        </w:rPr>
        <w:t xml:space="preserve"> H</w:t>
      </w:r>
      <w:r>
        <w:rPr>
          <w:rFonts w:ascii="Arial" w:cs="Arial" w:eastAsia="Arial" w:hAnsi="Arial"/>
          <w:sz w:val="12"/>
          <w:szCs w:val="12"/>
          <w:color w:val="auto"/>
        </w:rPr>
        <w:t>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23495</wp:posOffset>
            </wp:positionV>
            <wp:extent cx="26320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3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Ming Hsieh</w:t>
      </w:r>
    </w:p>
    <w:p>
      <w:pPr>
        <w:spacing w:after="0" w:line="3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left="20"/>
        <w:spacing w:after="0"/>
        <w:tabs>
          <w:tab w:leader="none" w:pos="6720" w:val="left"/>
          <w:tab w:leader="none" w:pos="87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aul</w:t>
      </w:r>
      <w:r>
        <w:rPr>
          <w:rFonts w:ascii="Arial" w:cs="Arial" w:eastAsia="Arial" w:hAnsi="Arial"/>
          <w:sz w:val="18"/>
          <w:szCs w:val="18"/>
          <w:color w:val="auto"/>
        </w:rPr>
        <w:t xml:space="preserve"> K</w:t>
      </w:r>
      <w:r>
        <w:rPr>
          <w:rFonts w:ascii="Arial" w:cs="Arial" w:eastAsia="Arial" w:hAnsi="Arial"/>
          <w:sz w:val="12"/>
          <w:szCs w:val="12"/>
          <w:color w:val="auto"/>
        </w:rPr>
        <w: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23495</wp:posOffset>
            </wp:positionV>
            <wp:extent cx="26320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30"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Paul Kim</w:t>
      </w:r>
    </w:p>
    <w:p>
      <w:pPr>
        <w:spacing w:after="0" w:line="3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5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3.2</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AMENDED AND RESTATED</w:t>
      </w:r>
    </w:p>
    <w:p>
      <w:pPr>
        <w:spacing w:after="0" w:line="19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FULGENT GENETICS, INC.</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923925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08"/>
        </w:trPr>
        <w:tc>
          <w:tcPr>
            <w:tcW w:w="1740" w:type="dxa"/>
            <w:vAlign w:val="bottom"/>
          </w:tcPr>
          <w:p>
            <w:pPr>
              <w:ind w:left="20"/>
              <w:spacing w:after="0"/>
              <w:rPr>
                <w:sz w:val="20"/>
                <w:szCs w:val="20"/>
                <w:color w:val="auto"/>
              </w:rPr>
            </w:pPr>
            <w:r>
              <w:rPr>
                <w:rFonts w:ascii="Arial" w:cs="Arial" w:eastAsia="Arial" w:hAnsi="Arial"/>
                <w:sz w:val="22"/>
                <w:szCs w:val="22"/>
                <w:color w:val="auto"/>
              </w:rPr>
              <w:t>ARTICLE 1</w:t>
            </w:r>
          </w:p>
        </w:tc>
        <w:tc>
          <w:tcPr>
            <w:tcW w:w="7560" w:type="dxa"/>
            <w:vAlign w:val="bottom"/>
          </w:tcPr>
          <w:p>
            <w:pPr>
              <w:spacing w:after="0"/>
              <w:rPr>
                <w:sz w:val="20"/>
                <w:szCs w:val="20"/>
                <w:color w:val="auto"/>
              </w:rPr>
            </w:pPr>
            <w:r>
              <w:rPr>
                <w:rFonts w:ascii="Arial" w:cs="Arial" w:eastAsia="Arial" w:hAnsi="Arial"/>
                <w:sz w:val="22"/>
                <w:szCs w:val="22"/>
                <w:color w:val="auto"/>
              </w:rPr>
              <w:t>OFFICES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1.1</w:t>
            </w:r>
          </w:p>
        </w:tc>
        <w:tc>
          <w:tcPr>
            <w:tcW w:w="7560" w:type="dxa"/>
            <w:vAlign w:val="bottom"/>
          </w:tcPr>
          <w:p>
            <w:pPr>
              <w:ind w:left="660"/>
              <w:spacing w:after="0"/>
              <w:rPr>
                <w:sz w:val="20"/>
                <w:szCs w:val="20"/>
                <w:color w:val="auto"/>
              </w:rPr>
            </w:pPr>
            <w:r>
              <w:rPr>
                <w:rFonts w:ascii="Arial" w:cs="Arial" w:eastAsia="Arial" w:hAnsi="Arial"/>
                <w:sz w:val="22"/>
                <w:szCs w:val="22"/>
                <w:color w:val="auto"/>
              </w:rPr>
              <w:t>Registered Office.</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1.2</w:t>
            </w:r>
          </w:p>
        </w:tc>
        <w:tc>
          <w:tcPr>
            <w:tcW w:w="7560" w:type="dxa"/>
            <w:vAlign w:val="bottom"/>
          </w:tcPr>
          <w:p>
            <w:pPr>
              <w:ind w:left="660"/>
              <w:spacing w:after="0"/>
              <w:rPr>
                <w:sz w:val="20"/>
                <w:szCs w:val="20"/>
                <w:color w:val="auto"/>
              </w:rPr>
            </w:pPr>
            <w:r>
              <w:rPr>
                <w:rFonts w:ascii="Arial" w:cs="Arial" w:eastAsia="Arial" w:hAnsi="Arial"/>
                <w:sz w:val="22"/>
                <w:szCs w:val="22"/>
                <w:color w:val="auto"/>
              </w:rPr>
              <w:t>Other Offices.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78"/>
        </w:trPr>
        <w:tc>
          <w:tcPr>
            <w:tcW w:w="1740" w:type="dxa"/>
            <w:vAlign w:val="bottom"/>
          </w:tcPr>
          <w:p>
            <w:pPr>
              <w:ind w:left="20"/>
              <w:spacing w:after="0"/>
              <w:rPr>
                <w:sz w:val="20"/>
                <w:szCs w:val="20"/>
                <w:color w:val="auto"/>
              </w:rPr>
            </w:pPr>
            <w:r>
              <w:rPr>
                <w:rFonts w:ascii="Arial" w:cs="Arial" w:eastAsia="Arial" w:hAnsi="Arial"/>
                <w:sz w:val="22"/>
                <w:szCs w:val="22"/>
                <w:color w:val="auto"/>
              </w:rPr>
              <w:t>ARTICLE 2</w:t>
            </w:r>
          </w:p>
        </w:tc>
        <w:tc>
          <w:tcPr>
            <w:tcW w:w="7560" w:type="dxa"/>
            <w:vAlign w:val="bottom"/>
          </w:tcPr>
          <w:p>
            <w:pPr>
              <w:spacing w:after="0"/>
              <w:rPr>
                <w:sz w:val="20"/>
                <w:szCs w:val="20"/>
                <w:color w:val="auto"/>
              </w:rPr>
            </w:pPr>
            <w:r>
              <w:rPr>
                <w:rFonts w:ascii="Arial" w:cs="Arial" w:eastAsia="Arial" w:hAnsi="Arial"/>
                <w:sz w:val="22"/>
                <w:szCs w:val="22"/>
                <w:color w:val="auto"/>
              </w:rPr>
              <w:t>STOCKHOLDERS’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2.1</w:t>
            </w:r>
          </w:p>
        </w:tc>
        <w:tc>
          <w:tcPr>
            <w:tcW w:w="7560" w:type="dxa"/>
            <w:vAlign w:val="bottom"/>
          </w:tcPr>
          <w:p>
            <w:pPr>
              <w:ind w:left="660"/>
              <w:spacing w:after="0"/>
              <w:rPr>
                <w:sz w:val="20"/>
                <w:szCs w:val="20"/>
                <w:color w:val="auto"/>
              </w:rPr>
            </w:pPr>
            <w:r>
              <w:rPr>
                <w:rFonts w:ascii="Arial" w:cs="Arial" w:eastAsia="Arial" w:hAnsi="Arial"/>
                <w:sz w:val="22"/>
                <w:szCs w:val="22"/>
                <w:color w:val="auto"/>
              </w:rPr>
              <w:t>Place of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2.2</w:t>
            </w:r>
          </w:p>
        </w:tc>
        <w:tc>
          <w:tcPr>
            <w:tcW w:w="7560" w:type="dxa"/>
            <w:vAlign w:val="bottom"/>
          </w:tcPr>
          <w:p>
            <w:pPr>
              <w:ind w:left="660"/>
              <w:spacing w:after="0"/>
              <w:rPr>
                <w:sz w:val="20"/>
                <w:szCs w:val="20"/>
                <w:color w:val="auto"/>
              </w:rPr>
            </w:pPr>
            <w:r>
              <w:rPr>
                <w:rFonts w:ascii="Arial" w:cs="Arial" w:eastAsia="Arial" w:hAnsi="Arial"/>
                <w:sz w:val="22"/>
                <w:szCs w:val="22"/>
                <w:color w:val="auto"/>
              </w:rPr>
              <w:t>Annual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2.3</w:t>
            </w:r>
          </w:p>
        </w:tc>
        <w:tc>
          <w:tcPr>
            <w:tcW w:w="7560" w:type="dxa"/>
            <w:vAlign w:val="bottom"/>
          </w:tcPr>
          <w:p>
            <w:pPr>
              <w:ind w:left="660"/>
              <w:spacing w:after="0"/>
              <w:rPr>
                <w:sz w:val="20"/>
                <w:szCs w:val="20"/>
                <w:color w:val="auto"/>
              </w:rPr>
            </w:pPr>
            <w:r>
              <w:rPr>
                <w:rFonts w:ascii="Arial" w:cs="Arial" w:eastAsia="Arial" w:hAnsi="Arial"/>
                <w:sz w:val="22"/>
                <w:szCs w:val="22"/>
                <w:color w:val="auto"/>
              </w:rPr>
              <w:t>Special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2.4</w:t>
            </w:r>
          </w:p>
        </w:tc>
        <w:tc>
          <w:tcPr>
            <w:tcW w:w="7560" w:type="dxa"/>
            <w:vAlign w:val="bottom"/>
          </w:tcPr>
          <w:p>
            <w:pPr>
              <w:ind w:left="660"/>
              <w:spacing w:after="0"/>
              <w:rPr>
                <w:sz w:val="20"/>
                <w:szCs w:val="20"/>
                <w:color w:val="auto"/>
              </w:rPr>
            </w:pPr>
            <w:r>
              <w:rPr>
                <w:rFonts w:ascii="Arial" w:cs="Arial" w:eastAsia="Arial" w:hAnsi="Arial"/>
                <w:sz w:val="22"/>
                <w:szCs w:val="22"/>
                <w:color w:val="auto"/>
              </w:rPr>
              <w:t>Notice of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2.5</w:t>
            </w:r>
          </w:p>
        </w:tc>
        <w:tc>
          <w:tcPr>
            <w:tcW w:w="7560" w:type="dxa"/>
            <w:vAlign w:val="bottom"/>
          </w:tcPr>
          <w:p>
            <w:pPr>
              <w:ind w:left="660"/>
              <w:spacing w:after="0"/>
              <w:rPr>
                <w:sz w:val="20"/>
                <w:szCs w:val="20"/>
                <w:color w:val="auto"/>
              </w:rPr>
            </w:pPr>
            <w:r>
              <w:rPr>
                <w:rFonts w:ascii="Arial" w:cs="Arial" w:eastAsia="Arial" w:hAnsi="Arial"/>
                <w:sz w:val="22"/>
                <w:szCs w:val="22"/>
                <w:color w:val="auto"/>
              </w:rPr>
              <w:t>Quorum and Voting.</w:t>
            </w:r>
          </w:p>
        </w:tc>
        <w:tc>
          <w:tcPr>
            <w:tcW w:w="19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2.6</w:t>
            </w:r>
          </w:p>
        </w:tc>
        <w:tc>
          <w:tcPr>
            <w:tcW w:w="7560" w:type="dxa"/>
            <w:vAlign w:val="bottom"/>
          </w:tcPr>
          <w:p>
            <w:pPr>
              <w:ind w:left="660"/>
              <w:spacing w:after="0"/>
              <w:rPr>
                <w:sz w:val="20"/>
                <w:szCs w:val="20"/>
                <w:color w:val="auto"/>
              </w:rPr>
            </w:pPr>
            <w:r>
              <w:rPr>
                <w:rFonts w:ascii="Arial" w:cs="Arial" w:eastAsia="Arial" w:hAnsi="Arial"/>
                <w:sz w:val="22"/>
                <w:szCs w:val="22"/>
                <w:color w:val="auto"/>
              </w:rPr>
              <w:t>Voting Rights.</w:t>
            </w:r>
          </w:p>
        </w:tc>
        <w:tc>
          <w:tcPr>
            <w:tcW w:w="19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2.7</w:t>
            </w:r>
          </w:p>
        </w:tc>
        <w:tc>
          <w:tcPr>
            <w:tcW w:w="7560" w:type="dxa"/>
            <w:vAlign w:val="bottom"/>
          </w:tcPr>
          <w:p>
            <w:pPr>
              <w:ind w:left="660"/>
              <w:spacing w:after="0"/>
              <w:rPr>
                <w:sz w:val="20"/>
                <w:szCs w:val="20"/>
                <w:color w:val="auto"/>
              </w:rPr>
            </w:pPr>
            <w:r>
              <w:rPr>
                <w:rFonts w:ascii="Arial" w:cs="Arial" w:eastAsia="Arial" w:hAnsi="Arial"/>
                <w:sz w:val="22"/>
                <w:szCs w:val="22"/>
                <w:color w:val="auto"/>
              </w:rPr>
              <w:t>Voting Procedures and Inspectors of Elections.</w:t>
            </w:r>
          </w:p>
        </w:tc>
        <w:tc>
          <w:tcPr>
            <w:tcW w:w="19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2.8</w:t>
            </w:r>
          </w:p>
        </w:tc>
        <w:tc>
          <w:tcPr>
            <w:tcW w:w="7560" w:type="dxa"/>
            <w:vAlign w:val="bottom"/>
          </w:tcPr>
          <w:p>
            <w:pPr>
              <w:ind w:left="660"/>
              <w:spacing w:after="0"/>
              <w:rPr>
                <w:sz w:val="20"/>
                <w:szCs w:val="20"/>
                <w:color w:val="auto"/>
              </w:rPr>
            </w:pPr>
            <w:r>
              <w:rPr>
                <w:rFonts w:ascii="Arial" w:cs="Arial" w:eastAsia="Arial" w:hAnsi="Arial"/>
                <w:sz w:val="22"/>
                <w:szCs w:val="22"/>
                <w:color w:val="auto"/>
              </w:rPr>
              <w:t>List of Stockholders.</w:t>
            </w:r>
          </w:p>
        </w:tc>
        <w:tc>
          <w:tcPr>
            <w:tcW w:w="19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2.9</w:t>
            </w:r>
          </w:p>
        </w:tc>
        <w:tc>
          <w:tcPr>
            <w:tcW w:w="7560" w:type="dxa"/>
            <w:vAlign w:val="bottom"/>
          </w:tcPr>
          <w:p>
            <w:pPr>
              <w:ind w:left="660"/>
              <w:spacing w:after="0"/>
              <w:rPr>
                <w:sz w:val="20"/>
                <w:szCs w:val="20"/>
                <w:color w:val="auto"/>
              </w:rPr>
            </w:pPr>
            <w:r>
              <w:rPr>
                <w:rFonts w:ascii="Arial" w:cs="Arial" w:eastAsia="Arial" w:hAnsi="Arial"/>
                <w:sz w:val="22"/>
                <w:szCs w:val="22"/>
                <w:color w:val="auto"/>
              </w:rPr>
              <w:t>Stockholder Proposals at Annual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86"/>
              </w:rPr>
              <w:t>Section 2.10</w:t>
            </w:r>
          </w:p>
        </w:tc>
        <w:tc>
          <w:tcPr>
            <w:tcW w:w="7560" w:type="dxa"/>
            <w:vAlign w:val="bottom"/>
          </w:tcPr>
          <w:p>
            <w:pPr>
              <w:ind w:left="660"/>
              <w:spacing w:after="0"/>
              <w:rPr>
                <w:sz w:val="20"/>
                <w:szCs w:val="20"/>
                <w:color w:val="auto"/>
              </w:rPr>
            </w:pPr>
            <w:r>
              <w:rPr>
                <w:rFonts w:ascii="Arial" w:cs="Arial" w:eastAsia="Arial" w:hAnsi="Arial"/>
                <w:sz w:val="22"/>
                <w:szCs w:val="22"/>
                <w:color w:val="auto"/>
              </w:rPr>
              <w:t>Nominations of Persons for Election to the Board of Directors.</w:t>
            </w:r>
          </w:p>
        </w:tc>
        <w:tc>
          <w:tcPr>
            <w:tcW w:w="19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4"/>
        </w:trPr>
        <w:tc>
          <w:tcPr>
            <w:tcW w:w="1740" w:type="dxa"/>
            <w:vAlign w:val="bottom"/>
          </w:tcPr>
          <w:p>
            <w:pPr>
              <w:ind w:left="660"/>
              <w:spacing w:after="0"/>
              <w:rPr>
                <w:sz w:val="20"/>
                <w:szCs w:val="20"/>
                <w:color w:val="auto"/>
              </w:rPr>
            </w:pPr>
            <w:r>
              <w:rPr>
                <w:rFonts w:ascii="Arial" w:cs="Arial" w:eastAsia="Arial" w:hAnsi="Arial"/>
                <w:sz w:val="22"/>
                <w:szCs w:val="22"/>
                <w:color w:val="auto"/>
                <w:w w:val="86"/>
              </w:rPr>
              <w:t>Section 2.11</w:t>
            </w:r>
          </w:p>
        </w:tc>
        <w:tc>
          <w:tcPr>
            <w:tcW w:w="7560" w:type="dxa"/>
            <w:vAlign w:val="bottom"/>
          </w:tcPr>
          <w:p>
            <w:pPr>
              <w:ind w:left="660"/>
              <w:spacing w:after="0"/>
              <w:rPr>
                <w:sz w:val="20"/>
                <w:szCs w:val="20"/>
                <w:color w:val="auto"/>
              </w:rPr>
            </w:pPr>
            <w:r>
              <w:rPr>
                <w:rFonts w:ascii="Arial" w:cs="Arial" w:eastAsia="Arial" w:hAnsi="Arial"/>
                <w:sz w:val="22"/>
                <w:szCs w:val="22"/>
                <w:color w:val="auto"/>
              </w:rPr>
              <w:t>Action Without Meeting.</w:t>
            </w:r>
          </w:p>
        </w:tc>
        <w:tc>
          <w:tcPr>
            <w:tcW w:w="19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78"/>
        </w:trPr>
        <w:tc>
          <w:tcPr>
            <w:tcW w:w="1740" w:type="dxa"/>
            <w:vAlign w:val="bottom"/>
          </w:tcPr>
          <w:p>
            <w:pPr>
              <w:ind w:left="20"/>
              <w:spacing w:after="0"/>
              <w:rPr>
                <w:sz w:val="20"/>
                <w:szCs w:val="20"/>
                <w:color w:val="auto"/>
              </w:rPr>
            </w:pPr>
            <w:r>
              <w:rPr>
                <w:rFonts w:ascii="Arial" w:cs="Arial" w:eastAsia="Arial" w:hAnsi="Arial"/>
                <w:sz w:val="22"/>
                <w:szCs w:val="22"/>
                <w:color w:val="auto"/>
              </w:rPr>
              <w:t>ARTICLE 3</w:t>
            </w:r>
          </w:p>
        </w:tc>
        <w:tc>
          <w:tcPr>
            <w:tcW w:w="7560" w:type="dxa"/>
            <w:vAlign w:val="bottom"/>
          </w:tcPr>
          <w:p>
            <w:pPr>
              <w:spacing w:after="0"/>
              <w:rPr>
                <w:sz w:val="20"/>
                <w:szCs w:val="20"/>
                <w:color w:val="auto"/>
              </w:rPr>
            </w:pPr>
            <w:r>
              <w:rPr>
                <w:rFonts w:ascii="Arial" w:cs="Arial" w:eastAsia="Arial" w:hAnsi="Arial"/>
                <w:sz w:val="22"/>
                <w:szCs w:val="22"/>
                <w:color w:val="auto"/>
              </w:rPr>
              <w:t>DIRECTORS</w:t>
            </w:r>
          </w:p>
        </w:tc>
        <w:tc>
          <w:tcPr>
            <w:tcW w:w="19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3.1</w:t>
            </w:r>
          </w:p>
        </w:tc>
        <w:tc>
          <w:tcPr>
            <w:tcW w:w="7560" w:type="dxa"/>
            <w:vAlign w:val="bottom"/>
          </w:tcPr>
          <w:p>
            <w:pPr>
              <w:ind w:left="660"/>
              <w:spacing w:after="0"/>
              <w:rPr>
                <w:sz w:val="20"/>
                <w:szCs w:val="20"/>
                <w:color w:val="auto"/>
              </w:rPr>
            </w:pPr>
            <w:r>
              <w:rPr>
                <w:rFonts w:ascii="Arial" w:cs="Arial" w:eastAsia="Arial" w:hAnsi="Arial"/>
                <w:sz w:val="22"/>
                <w:szCs w:val="22"/>
                <w:color w:val="auto"/>
              </w:rPr>
              <w:t>Number and Term of Office.</w:t>
            </w:r>
          </w:p>
        </w:tc>
        <w:tc>
          <w:tcPr>
            <w:tcW w:w="19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3.2</w:t>
            </w:r>
          </w:p>
        </w:tc>
        <w:tc>
          <w:tcPr>
            <w:tcW w:w="7560" w:type="dxa"/>
            <w:vAlign w:val="bottom"/>
          </w:tcPr>
          <w:p>
            <w:pPr>
              <w:ind w:left="660"/>
              <w:spacing w:after="0"/>
              <w:rPr>
                <w:sz w:val="20"/>
                <w:szCs w:val="20"/>
                <w:color w:val="auto"/>
              </w:rPr>
            </w:pPr>
            <w:r>
              <w:rPr>
                <w:rFonts w:ascii="Arial" w:cs="Arial" w:eastAsia="Arial" w:hAnsi="Arial"/>
                <w:sz w:val="22"/>
                <w:szCs w:val="22"/>
                <w:color w:val="auto"/>
              </w:rPr>
              <w:t>Powers.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3.3</w:t>
            </w:r>
          </w:p>
        </w:tc>
        <w:tc>
          <w:tcPr>
            <w:tcW w:w="7560" w:type="dxa"/>
            <w:vAlign w:val="bottom"/>
          </w:tcPr>
          <w:p>
            <w:pPr>
              <w:ind w:left="660"/>
              <w:spacing w:after="0"/>
              <w:rPr>
                <w:sz w:val="20"/>
                <w:szCs w:val="20"/>
                <w:color w:val="auto"/>
              </w:rPr>
            </w:pPr>
            <w:r>
              <w:rPr>
                <w:rFonts w:ascii="Arial" w:cs="Arial" w:eastAsia="Arial" w:hAnsi="Arial"/>
                <w:sz w:val="22"/>
                <w:szCs w:val="22"/>
                <w:color w:val="auto"/>
              </w:rPr>
              <w:t>Vacancies.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3.4</w:t>
            </w:r>
          </w:p>
        </w:tc>
        <w:tc>
          <w:tcPr>
            <w:tcW w:w="7560" w:type="dxa"/>
            <w:vAlign w:val="bottom"/>
          </w:tcPr>
          <w:p>
            <w:pPr>
              <w:ind w:left="660"/>
              <w:spacing w:after="0"/>
              <w:rPr>
                <w:sz w:val="20"/>
                <w:szCs w:val="20"/>
                <w:color w:val="auto"/>
              </w:rPr>
            </w:pPr>
            <w:r>
              <w:rPr>
                <w:rFonts w:ascii="Arial" w:cs="Arial" w:eastAsia="Arial" w:hAnsi="Arial"/>
                <w:sz w:val="22"/>
                <w:szCs w:val="22"/>
                <w:color w:val="auto"/>
              </w:rPr>
              <w:t>Resignations and Removals.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3.5</w:t>
            </w:r>
          </w:p>
        </w:tc>
        <w:tc>
          <w:tcPr>
            <w:tcW w:w="7560" w:type="dxa"/>
            <w:vAlign w:val="bottom"/>
          </w:tcPr>
          <w:p>
            <w:pPr>
              <w:ind w:left="660"/>
              <w:spacing w:after="0"/>
              <w:rPr>
                <w:sz w:val="20"/>
                <w:szCs w:val="20"/>
                <w:color w:val="auto"/>
              </w:rPr>
            </w:pPr>
            <w:r>
              <w:rPr>
                <w:rFonts w:ascii="Arial" w:cs="Arial" w:eastAsia="Arial" w:hAnsi="Arial"/>
                <w:sz w:val="22"/>
                <w:szCs w:val="22"/>
                <w:color w:val="auto"/>
              </w:rPr>
              <w:t>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3.6</w:t>
            </w:r>
          </w:p>
        </w:tc>
        <w:tc>
          <w:tcPr>
            <w:tcW w:w="7560" w:type="dxa"/>
            <w:vAlign w:val="bottom"/>
          </w:tcPr>
          <w:p>
            <w:pPr>
              <w:ind w:left="660"/>
              <w:spacing w:after="0"/>
              <w:rPr>
                <w:sz w:val="20"/>
                <w:szCs w:val="20"/>
                <w:color w:val="auto"/>
              </w:rPr>
            </w:pPr>
            <w:r>
              <w:rPr>
                <w:rFonts w:ascii="Arial" w:cs="Arial" w:eastAsia="Arial" w:hAnsi="Arial"/>
                <w:sz w:val="22"/>
                <w:szCs w:val="22"/>
                <w:color w:val="auto"/>
              </w:rPr>
              <w:t>Quorum and Voting.</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3.7</w:t>
            </w:r>
          </w:p>
        </w:tc>
        <w:tc>
          <w:tcPr>
            <w:tcW w:w="7560" w:type="dxa"/>
            <w:vAlign w:val="bottom"/>
          </w:tcPr>
          <w:p>
            <w:pPr>
              <w:ind w:left="660"/>
              <w:spacing w:after="0"/>
              <w:rPr>
                <w:sz w:val="20"/>
                <w:szCs w:val="20"/>
                <w:color w:val="auto"/>
              </w:rPr>
            </w:pPr>
            <w:r>
              <w:rPr>
                <w:rFonts w:ascii="Arial" w:cs="Arial" w:eastAsia="Arial" w:hAnsi="Arial"/>
                <w:sz w:val="22"/>
                <w:szCs w:val="22"/>
                <w:color w:val="auto"/>
              </w:rPr>
              <w:t>Action Without Meeting.</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3.8</w:t>
            </w:r>
          </w:p>
        </w:tc>
        <w:tc>
          <w:tcPr>
            <w:tcW w:w="7560" w:type="dxa"/>
            <w:vAlign w:val="bottom"/>
          </w:tcPr>
          <w:p>
            <w:pPr>
              <w:ind w:left="660"/>
              <w:spacing w:after="0"/>
              <w:rPr>
                <w:sz w:val="20"/>
                <w:szCs w:val="20"/>
                <w:color w:val="auto"/>
              </w:rPr>
            </w:pPr>
            <w:r>
              <w:rPr>
                <w:rFonts w:ascii="Arial" w:cs="Arial" w:eastAsia="Arial" w:hAnsi="Arial"/>
                <w:sz w:val="22"/>
                <w:szCs w:val="22"/>
                <w:color w:val="auto"/>
              </w:rPr>
              <w:t>Fees and Compensation.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3.9</w:t>
            </w:r>
          </w:p>
        </w:tc>
        <w:tc>
          <w:tcPr>
            <w:tcW w:w="7560" w:type="dxa"/>
            <w:vAlign w:val="bottom"/>
          </w:tcPr>
          <w:p>
            <w:pPr>
              <w:ind w:left="660"/>
              <w:spacing w:after="0"/>
              <w:rPr>
                <w:sz w:val="20"/>
                <w:szCs w:val="20"/>
                <w:color w:val="auto"/>
              </w:rPr>
            </w:pPr>
            <w:r>
              <w:rPr>
                <w:rFonts w:ascii="Arial" w:cs="Arial" w:eastAsia="Arial" w:hAnsi="Arial"/>
                <w:sz w:val="22"/>
                <w:szCs w:val="22"/>
                <w:color w:val="auto"/>
              </w:rPr>
              <w:t>Committees.</w:t>
            </w:r>
          </w:p>
        </w:tc>
        <w:tc>
          <w:tcPr>
            <w:tcW w:w="19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4"/>
        </w:trPr>
        <w:tc>
          <w:tcPr>
            <w:tcW w:w="1740" w:type="dxa"/>
            <w:vAlign w:val="bottom"/>
          </w:tcPr>
          <w:p>
            <w:pPr>
              <w:ind w:left="660"/>
              <w:spacing w:after="0"/>
              <w:rPr>
                <w:sz w:val="20"/>
                <w:szCs w:val="20"/>
                <w:color w:val="auto"/>
              </w:rPr>
            </w:pPr>
            <w:r>
              <w:rPr>
                <w:rFonts w:ascii="Arial" w:cs="Arial" w:eastAsia="Arial" w:hAnsi="Arial"/>
                <w:sz w:val="22"/>
                <w:szCs w:val="22"/>
                <w:color w:val="auto"/>
                <w:w w:val="86"/>
              </w:rPr>
              <w:t>Section 3.10</w:t>
            </w:r>
          </w:p>
        </w:tc>
        <w:tc>
          <w:tcPr>
            <w:tcW w:w="7560" w:type="dxa"/>
            <w:vAlign w:val="bottom"/>
          </w:tcPr>
          <w:p>
            <w:pPr>
              <w:ind w:left="660"/>
              <w:spacing w:after="0"/>
              <w:rPr>
                <w:sz w:val="20"/>
                <w:szCs w:val="20"/>
                <w:color w:val="auto"/>
              </w:rPr>
            </w:pPr>
            <w:r>
              <w:rPr>
                <w:rFonts w:ascii="Arial" w:cs="Arial" w:eastAsia="Arial" w:hAnsi="Arial"/>
                <w:sz w:val="22"/>
                <w:szCs w:val="22"/>
                <w:color w:val="auto"/>
              </w:rPr>
              <w:t>Emergency Provisions.</w:t>
            </w:r>
          </w:p>
        </w:tc>
        <w:tc>
          <w:tcPr>
            <w:tcW w:w="19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78"/>
        </w:trPr>
        <w:tc>
          <w:tcPr>
            <w:tcW w:w="1740" w:type="dxa"/>
            <w:vAlign w:val="bottom"/>
          </w:tcPr>
          <w:p>
            <w:pPr>
              <w:ind w:left="20"/>
              <w:spacing w:after="0"/>
              <w:rPr>
                <w:sz w:val="20"/>
                <w:szCs w:val="20"/>
                <w:color w:val="auto"/>
              </w:rPr>
            </w:pPr>
            <w:r>
              <w:rPr>
                <w:rFonts w:ascii="Arial" w:cs="Arial" w:eastAsia="Arial" w:hAnsi="Arial"/>
                <w:sz w:val="22"/>
                <w:szCs w:val="22"/>
                <w:color w:val="auto"/>
              </w:rPr>
              <w:t>ARTICLE 4</w:t>
            </w:r>
          </w:p>
        </w:tc>
        <w:tc>
          <w:tcPr>
            <w:tcW w:w="7560" w:type="dxa"/>
            <w:vAlign w:val="bottom"/>
          </w:tcPr>
          <w:p>
            <w:pPr>
              <w:spacing w:after="0"/>
              <w:rPr>
                <w:sz w:val="20"/>
                <w:szCs w:val="20"/>
                <w:color w:val="auto"/>
              </w:rPr>
            </w:pPr>
            <w:r>
              <w:rPr>
                <w:rFonts w:ascii="Arial" w:cs="Arial" w:eastAsia="Arial" w:hAnsi="Arial"/>
                <w:sz w:val="22"/>
                <w:szCs w:val="22"/>
                <w:color w:val="auto"/>
              </w:rPr>
              <w:t>OFFICERS</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4.1</w:t>
            </w:r>
          </w:p>
        </w:tc>
        <w:tc>
          <w:tcPr>
            <w:tcW w:w="7560" w:type="dxa"/>
            <w:vAlign w:val="bottom"/>
          </w:tcPr>
          <w:p>
            <w:pPr>
              <w:ind w:left="660"/>
              <w:spacing w:after="0"/>
              <w:rPr>
                <w:sz w:val="20"/>
                <w:szCs w:val="20"/>
                <w:color w:val="auto"/>
              </w:rPr>
            </w:pPr>
            <w:r>
              <w:rPr>
                <w:rFonts w:ascii="Arial" w:cs="Arial" w:eastAsia="Arial" w:hAnsi="Arial"/>
                <w:sz w:val="22"/>
                <w:szCs w:val="22"/>
                <w:color w:val="auto"/>
              </w:rPr>
              <w:t>Officers Designated.</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4.2</w:t>
            </w:r>
          </w:p>
        </w:tc>
        <w:tc>
          <w:tcPr>
            <w:tcW w:w="7560" w:type="dxa"/>
            <w:vAlign w:val="bottom"/>
          </w:tcPr>
          <w:p>
            <w:pPr>
              <w:ind w:left="660"/>
              <w:spacing w:after="0"/>
              <w:rPr>
                <w:sz w:val="20"/>
                <w:szCs w:val="20"/>
                <w:color w:val="auto"/>
              </w:rPr>
            </w:pPr>
            <w:r>
              <w:rPr>
                <w:rFonts w:ascii="Arial" w:cs="Arial" w:eastAsia="Arial" w:hAnsi="Arial"/>
                <w:sz w:val="22"/>
                <w:szCs w:val="22"/>
                <w:color w:val="auto"/>
              </w:rPr>
              <w:t>Tenure and Duties of Officers.</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47"/>
        </w:trPr>
        <w:tc>
          <w:tcPr>
            <w:tcW w:w="1740" w:type="dxa"/>
            <w:vAlign w:val="bottom"/>
          </w:tcPr>
          <w:p>
            <w:pPr>
              <w:ind w:left="20"/>
              <w:spacing w:after="0"/>
              <w:rPr>
                <w:sz w:val="20"/>
                <w:szCs w:val="20"/>
                <w:color w:val="auto"/>
              </w:rPr>
            </w:pPr>
            <w:r>
              <w:rPr>
                <w:rFonts w:ascii="Arial" w:cs="Arial" w:eastAsia="Arial" w:hAnsi="Arial"/>
                <w:sz w:val="22"/>
                <w:szCs w:val="22"/>
                <w:color w:val="auto"/>
              </w:rPr>
              <w:t>ARTICLE 5</w:t>
            </w:r>
          </w:p>
        </w:tc>
        <w:tc>
          <w:tcPr>
            <w:tcW w:w="7560" w:type="dxa"/>
            <w:vAlign w:val="bottom"/>
          </w:tcPr>
          <w:p>
            <w:pPr>
              <w:spacing w:after="0"/>
              <w:rPr>
                <w:sz w:val="20"/>
                <w:szCs w:val="20"/>
                <w:color w:val="auto"/>
              </w:rPr>
            </w:pPr>
            <w:r>
              <w:rPr>
                <w:rFonts w:ascii="Arial" w:cs="Arial" w:eastAsia="Arial" w:hAnsi="Arial"/>
                <w:sz w:val="22"/>
                <w:szCs w:val="22"/>
                <w:color w:val="auto"/>
              </w:rPr>
              <w:t>EXECUTION OF CORPORATE INSTRUMENTS, AND</w:t>
            </w:r>
          </w:p>
        </w:tc>
        <w:tc>
          <w:tcPr>
            <w:tcW w:w="1940" w:type="dxa"/>
            <w:vAlign w:val="bottom"/>
          </w:tcPr>
          <w:p>
            <w:pPr>
              <w:spacing w:after="0"/>
              <w:rPr>
                <w:sz w:val="24"/>
                <w:szCs w:val="24"/>
                <w:color w:val="auto"/>
              </w:rPr>
            </w:pPr>
          </w:p>
        </w:tc>
      </w:tr>
      <w:tr>
        <w:trPr>
          <w:trHeight w:val="274"/>
        </w:trPr>
        <w:tc>
          <w:tcPr>
            <w:tcW w:w="9300" w:type="dxa"/>
            <w:vAlign w:val="bottom"/>
            <w:gridSpan w:val="2"/>
          </w:tcPr>
          <w:p>
            <w:pPr>
              <w:ind w:left="1320"/>
              <w:spacing w:after="0"/>
              <w:rPr>
                <w:sz w:val="20"/>
                <w:szCs w:val="20"/>
                <w:color w:val="auto"/>
              </w:rPr>
            </w:pPr>
            <w:r>
              <w:rPr>
                <w:rFonts w:ascii="Arial" w:cs="Arial" w:eastAsia="Arial" w:hAnsi="Arial"/>
                <w:sz w:val="22"/>
                <w:szCs w:val="22"/>
                <w:color w:val="auto"/>
              </w:rPr>
              <w:t>VOTING OF SECURITIES OWNED BY THE CORPORATION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5.1</w:t>
            </w:r>
          </w:p>
        </w:tc>
        <w:tc>
          <w:tcPr>
            <w:tcW w:w="7560" w:type="dxa"/>
            <w:vAlign w:val="bottom"/>
          </w:tcPr>
          <w:p>
            <w:pPr>
              <w:ind w:left="660"/>
              <w:spacing w:after="0"/>
              <w:rPr>
                <w:sz w:val="20"/>
                <w:szCs w:val="20"/>
                <w:color w:val="auto"/>
              </w:rPr>
            </w:pPr>
            <w:r>
              <w:rPr>
                <w:rFonts w:ascii="Arial" w:cs="Arial" w:eastAsia="Arial" w:hAnsi="Arial"/>
                <w:sz w:val="22"/>
                <w:szCs w:val="22"/>
                <w:color w:val="auto"/>
              </w:rPr>
              <w:t>Execution of Corporate Instruments.</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5.2</w:t>
            </w:r>
          </w:p>
        </w:tc>
        <w:tc>
          <w:tcPr>
            <w:tcW w:w="7560" w:type="dxa"/>
            <w:vAlign w:val="bottom"/>
          </w:tcPr>
          <w:p>
            <w:pPr>
              <w:ind w:left="660"/>
              <w:spacing w:after="0"/>
              <w:rPr>
                <w:sz w:val="20"/>
                <w:szCs w:val="20"/>
                <w:color w:val="auto"/>
              </w:rPr>
            </w:pPr>
            <w:r>
              <w:rPr>
                <w:rFonts w:ascii="Arial" w:cs="Arial" w:eastAsia="Arial" w:hAnsi="Arial"/>
                <w:sz w:val="22"/>
                <w:szCs w:val="22"/>
                <w:color w:val="auto"/>
              </w:rPr>
              <w:t>Voting of Securities Owned by Corporation.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78"/>
        </w:trPr>
        <w:tc>
          <w:tcPr>
            <w:tcW w:w="1740" w:type="dxa"/>
            <w:vAlign w:val="bottom"/>
          </w:tcPr>
          <w:p>
            <w:pPr>
              <w:ind w:left="20"/>
              <w:spacing w:after="0"/>
              <w:rPr>
                <w:sz w:val="20"/>
                <w:szCs w:val="20"/>
                <w:color w:val="auto"/>
              </w:rPr>
            </w:pPr>
            <w:r>
              <w:rPr>
                <w:rFonts w:ascii="Arial" w:cs="Arial" w:eastAsia="Arial" w:hAnsi="Arial"/>
                <w:sz w:val="22"/>
                <w:szCs w:val="22"/>
                <w:color w:val="auto"/>
              </w:rPr>
              <w:t>ARTICLE 6</w:t>
            </w:r>
          </w:p>
        </w:tc>
        <w:tc>
          <w:tcPr>
            <w:tcW w:w="7560" w:type="dxa"/>
            <w:vAlign w:val="bottom"/>
          </w:tcPr>
          <w:p>
            <w:pPr>
              <w:spacing w:after="0"/>
              <w:rPr>
                <w:sz w:val="20"/>
                <w:szCs w:val="20"/>
                <w:color w:val="auto"/>
              </w:rPr>
            </w:pPr>
            <w:r>
              <w:rPr>
                <w:rFonts w:ascii="Arial" w:cs="Arial" w:eastAsia="Arial" w:hAnsi="Arial"/>
                <w:sz w:val="22"/>
                <w:szCs w:val="22"/>
                <w:color w:val="auto"/>
              </w:rPr>
              <w:t>SHARES OF STOCK</w:t>
            </w:r>
          </w:p>
        </w:tc>
        <w:tc>
          <w:tcPr>
            <w:tcW w:w="19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74"/>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6.1</w:t>
            </w:r>
          </w:p>
        </w:tc>
        <w:tc>
          <w:tcPr>
            <w:tcW w:w="7560" w:type="dxa"/>
            <w:vAlign w:val="bottom"/>
          </w:tcPr>
          <w:p>
            <w:pPr>
              <w:ind w:left="660"/>
              <w:spacing w:after="0"/>
              <w:rPr>
                <w:sz w:val="20"/>
                <w:szCs w:val="20"/>
                <w:color w:val="auto"/>
              </w:rPr>
            </w:pPr>
            <w:r>
              <w:rPr>
                <w:rFonts w:ascii="Arial" w:cs="Arial" w:eastAsia="Arial" w:hAnsi="Arial"/>
                <w:sz w:val="22"/>
                <w:szCs w:val="22"/>
                <w:color w:val="auto"/>
              </w:rPr>
              <w:t>Form and Execution of Certificates.</w:t>
            </w:r>
          </w:p>
        </w:tc>
        <w:tc>
          <w:tcPr>
            <w:tcW w:w="19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6.2</w:t>
            </w:r>
          </w:p>
        </w:tc>
        <w:tc>
          <w:tcPr>
            <w:tcW w:w="7560" w:type="dxa"/>
            <w:vAlign w:val="bottom"/>
          </w:tcPr>
          <w:p>
            <w:pPr>
              <w:ind w:left="660"/>
              <w:spacing w:after="0"/>
              <w:rPr>
                <w:sz w:val="20"/>
                <w:szCs w:val="20"/>
                <w:color w:val="auto"/>
              </w:rPr>
            </w:pPr>
            <w:r>
              <w:rPr>
                <w:rFonts w:ascii="Arial" w:cs="Arial" w:eastAsia="Arial" w:hAnsi="Arial"/>
                <w:sz w:val="22"/>
                <w:szCs w:val="22"/>
                <w:color w:val="auto"/>
              </w:rPr>
              <w:t>Lost Certificates.</w:t>
            </w:r>
          </w:p>
        </w:tc>
        <w:tc>
          <w:tcPr>
            <w:tcW w:w="19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6.3</w:t>
            </w:r>
          </w:p>
        </w:tc>
        <w:tc>
          <w:tcPr>
            <w:tcW w:w="7560" w:type="dxa"/>
            <w:vAlign w:val="bottom"/>
          </w:tcPr>
          <w:p>
            <w:pPr>
              <w:ind w:left="660"/>
              <w:spacing w:after="0"/>
              <w:rPr>
                <w:sz w:val="20"/>
                <w:szCs w:val="20"/>
                <w:color w:val="auto"/>
              </w:rPr>
            </w:pPr>
            <w:r>
              <w:rPr>
                <w:rFonts w:ascii="Arial" w:cs="Arial" w:eastAsia="Arial" w:hAnsi="Arial"/>
                <w:sz w:val="22"/>
                <w:szCs w:val="22"/>
                <w:color w:val="auto"/>
              </w:rPr>
              <w:t>Transfers.</w:t>
            </w:r>
          </w:p>
        </w:tc>
        <w:tc>
          <w:tcPr>
            <w:tcW w:w="19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6"/>
        </w:trPr>
        <w:tc>
          <w:tcPr>
            <w:tcW w:w="1740" w:type="dxa"/>
            <w:vAlign w:val="bottom"/>
          </w:tcPr>
          <w:p>
            <w:pPr>
              <w:ind w:left="660"/>
              <w:spacing w:after="0"/>
              <w:rPr>
                <w:sz w:val="20"/>
                <w:szCs w:val="20"/>
                <w:color w:val="auto"/>
              </w:rPr>
            </w:pPr>
            <w:r>
              <w:rPr>
                <w:rFonts w:ascii="Arial" w:cs="Arial" w:eastAsia="Arial" w:hAnsi="Arial"/>
                <w:sz w:val="22"/>
                <w:szCs w:val="22"/>
                <w:color w:val="auto"/>
                <w:w w:val="96"/>
              </w:rPr>
              <w:t>Section 6.4</w:t>
            </w:r>
          </w:p>
        </w:tc>
        <w:tc>
          <w:tcPr>
            <w:tcW w:w="7560" w:type="dxa"/>
            <w:vAlign w:val="bottom"/>
          </w:tcPr>
          <w:p>
            <w:pPr>
              <w:ind w:left="660"/>
              <w:spacing w:after="0"/>
              <w:rPr>
                <w:sz w:val="20"/>
                <w:szCs w:val="20"/>
                <w:color w:val="auto"/>
              </w:rPr>
            </w:pPr>
            <w:r>
              <w:rPr>
                <w:rFonts w:ascii="Arial" w:cs="Arial" w:eastAsia="Arial" w:hAnsi="Arial"/>
                <w:sz w:val="22"/>
                <w:szCs w:val="22"/>
                <w:color w:val="auto"/>
              </w:rPr>
              <w:t>Fixing Record Dates.</w:t>
            </w:r>
          </w:p>
        </w:tc>
        <w:tc>
          <w:tcPr>
            <w:tcW w:w="19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4"/>
        </w:trPr>
        <w:tc>
          <w:tcPr>
            <w:tcW w:w="1740" w:type="dxa"/>
            <w:vAlign w:val="bottom"/>
          </w:tcPr>
          <w:p>
            <w:pPr>
              <w:spacing w:after="0"/>
              <w:rPr>
                <w:sz w:val="23"/>
                <w:szCs w:val="23"/>
                <w:color w:val="auto"/>
              </w:rPr>
            </w:pPr>
          </w:p>
        </w:tc>
        <w:tc>
          <w:tcPr>
            <w:tcW w:w="7560" w:type="dxa"/>
            <w:vAlign w:val="bottom"/>
          </w:tcPr>
          <w:p>
            <w:pPr>
              <w:ind w:left="3860"/>
              <w:spacing w:after="0"/>
              <w:rPr>
                <w:sz w:val="20"/>
                <w:szCs w:val="20"/>
                <w:color w:val="auto"/>
              </w:rPr>
            </w:pPr>
            <w:r>
              <w:rPr>
                <w:rFonts w:ascii="Arial" w:cs="Arial" w:eastAsia="Arial" w:hAnsi="Arial"/>
                <w:sz w:val="22"/>
                <w:szCs w:val="22"/>
                <w:color w:val="auto"/>
              </w:rPr>
              <w:t>i</w:t>
            </w:r>
          </w:p>
        </w:tc>
        <w:tc>
          <w:tcPr>
            <w:tcW w:w="1940" w:type="dxa"/>
            <w:vAlign w:val="bottom"/>
          </w:tcPr>
          <w:p>
            <w:pPr>
              <w:spacing w:after="0"/>
              <w:rPr>
                <w:sz w:val="23"/>
                <w:szCs w:val="23"/>
                <w:color w:val="auto"/>
              </w:rPr>
            </w:pPr>
          </w:p>
        </w:tc>
      </w:tr>
      <w:tr>
        <w:trPr>
          <w:trHeight w:val="105"/>
        </w:trPr>
        <w:tc>
          <w:tcPr>
            <w:tcW w:w="1740" w:type="dxa"/>
            <w:vAlign w:val="bottom"/>
            <w:tcBorders>
              <w:bottom w:val="single" w:sz="8" w:color="9A9A9A"/>
            </w:tcBorders>
          </w:tcPr>
          <w:p>
            <w:pPr>
              <w:spacing w:after="0"/>
              <w:rPr>
                <w:sz w:val="9"/>
                <w:szCs w:val="9"/>
                <w:color w:val="auto"/>
              </w:rPr>
            </w:pPr>
          </w:p>
        </w:tc>
        <w:tc>
          <w:tcPr>
            <w:tcW w:w="75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4"/>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6.5</w:t>
            </w:r>
          </w:p>
        </w:tc>
        <w:tc>
          <w:tcPr>
            <w:tcW w:w="8340" w:type="dxa"/>
            <w:vAlign w:val="bottom"/>
          </w:tcPr>
          <w:p>
            <w:pPr>
              <w:ind w:left="660"/>
              <w:spacing w:after="0"/>
              <w:rPr>
                <w:sz w:val="20"/>
                <w:szCs w:val="20"/>
                <w:color w:val="auto"/>
              </w:rPr>
            </w:pPr>
            <w:r>
              <w:rPr>
                <w:rFonts w:ascii="Arial" w:cs="Arial" w:eastAsia="Arial" w:hAnsi="Arial"/>
                <w:sz w:val="22"/>
                <w:szCs w:val="22"/>
                <w:color w:val="auto"/>
              </w:rPr>
              <w:t>Registered Stockholders.</w:t>
            </w:r>
          </w:p>
        </w:tc>
        <w:tc>
          <w:tcPr>
            <w:tcW w:w="11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78"/>
        </w:trPr>
        <w:tc>
          <w:tcPr>
            <w:tcW w:w="1720" w:type="dxa"/>
            <w:vAlign w:val="bottom"/>
          </w:tcPr>
          <w:p>
            <w:pPr>
              <w:spacing w:after="0"/>
              <w:rPr>
                <w:sz w:val="20"/>
                <w:szCs w:val="20"/>
                <w:color w:val="auto"/>
              </w:rPr>
            </w:pPr>
            <w:r>
              <w:rPr>
                <w:rFonts w:ascii="Arial" w:cs="Arial" w:eastAsia="Arial" w:hAnsi="Arial"/>
                <w:sz w:val="22"/>
                <w:szCs w:val="22"/>
                <w:color w:val="auto"/>
              </w:rPr>
              <w:t>ARTICLE 7</w:t>
            </w:r>
          </w:p>
        </w:tc>
        <w:tc>
          <w:tcPr>
            <w:tcW w:w="8340" w:type="dxa"/>
            <w:vAlign w:val="bottom"/>
          </w:tcPr>
          <w:p>
            <w:pPr>
              <w:spacing w:after="0"/>
              <w:rPr>
                <w:sz w:val="20"/>
                <w:szCs w:val="20"/>
                <w:color w:val="auto"/>
              </w:rPr>
            </w:pPr>
            <w:r>
              <w:rPr>
                <w:rFonts w:ascii="Arial" w:cs="Arial" w:eastAsia="Arial" w:hAnsi="Arial"/>
                <w:sz w:val="22"/>
                <w:szCs w:val="22"/>
                <w:color w:val="auto"/>
              </w:rPr>
              <w:t>OTHER SECURITIES OF THE CORPORATION</w:t>
            </w:r>
          </w:p>
        </w:tc>
        <w:tc>
          <w:tcPr>
            <w:tcW w:w="11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1720" w:type="dxa"/>
            <w:vAlign w:val="bottom"/>
          </w:tcPr>
          <w:p>
            <w:pPr>
              <w:spacing w:after="0"/>
              <w:rPr>
                <w:sz w:val="20"/>
                <w:szCs w:val="20"/>
                <w:color w:val="auto"/>
              </w:rPr>
            </w:pPr>
            <w:r>
              <w:rPr>
                <w:rFonts w:ascii="Arial" w:cs="Arial" w:eastAsia="Arial" w:hAnsi="Arial"/>
                <w:sz w:val="22"/>
                <w:szCs w:val="22"/>
                <w:color w:val="auto"/>
              </w:rPr>
              <w:t>ARTICLE 8</w:t>
            </w:r>
          </w:p>
        </w:tc>
        <w:tc>
          <w:tcPr>
            <w:tcW w:w="8340" w:type="dxa"/>
            <w:vAlign w:val="bottom"/>
          </w:tcPr>
          <w:p>
            <w:pPr>
              <w:spacing w:after="0"/>
              <w:rPr>
                <w:sz w:val="20"/>
                <w:szCs w:val="20"/>
                <w:color w:val="auto"/>
              </w:rPr>
            </w:pPr>
            <w:r>
              <w:rPr>
                <w:rFonts w:ascii="Arial" w:cs="Arial" w:eastAsia="Arial" w:hAnsi="Arial"/>
                <w:sz w:val="22"/>
                <w:szCs w:val="22"/>
                <w:color w:val="auto"/>
              </w:rPr>
              <w:t>INDEMNIFICATION OF OFFICERS, DIRECTORS, EMPLOYEES AND AGENTS</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74"/>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8.1</w:t>
            </w:r>
          </w:p>
        </w:tc>
        <w:tc>
          <w:tcPr>
            <w:tcW w:w="8340" w:type="dxa"/>
            <w:vAlign w:val="bottom"/>
          </w:tcPr>
          <w:p>
            <w:pPr>
              <w:ind w:left="660"/>
              <w:spacing w:after="0"/>
              <w:rPr>
                <w:sz w:val="20"/>
                <w:szCs w:val="20"/>
                <w:color w:val="auto"/>
              </w:rPr>
            </w:pPr>
            <w:r>
              <w:rPr>
                <w:rFonts w:ascii="Arial" w:cs="Arial" w:eastAsia="Arial" w:hAnsi="Arial"/>
                <w:sz w:val="22"/>
                <w:szCs w:val="22"/>
                <w:color w:val="auto"/>
              </w:rPr>
              <w:t>Right to Indemnification.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8.2</w:t>
            </w:r>
          </w:p>
        </w:tc>
        <w:tc>
          <w:tcPr>
            <w:tcW w:w="8340" w:type="dxa"/>
            <w:vAlign w:val="bottom"/>
          </w:tcPr>
          <w:p>
            <w:pPr>
              <w:ind w:left="660"/>
              <w:spacing w:after="0"/>
              <w:rPr>
                <w:sz w:val="20"/>
                <w:szCs w:val="20"/>
                <w:color w:val="auto"/>
              </w:rPr>
            </w:pPr>
            <w:r>
              <w:rPr>
                <w:rFonts w:ascii="Arial" w:cs="Arial" w:eastAsia="Arial" w:hAnsi="Arial"/>
                <w:sz w:val="22"/>
                <w:szCs w:val="22"/>
                <w:color w:val="auto"/>
              </w:rPr>
              <w:t>Authority to Advance Expenses.</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8.3</w:t>
            </w:r>
          </w:p>
        </w:tc>
        <w:tc>
          <w:tcPr>
            <w:tcW w:w="8340" w:type="dxa"/>
            <w:vAlign w:val="bottom"/>
          </w:tcPr>
          <w:p>
            <w:pPr>
              <w:ind w:left="660"/>
              <w:spacing w:after="0"/>
              <w:rPr>
                <w:sz w:val="20"/>
                <w:szCs w:val="20"/>
                <w:color w:val="auto"/>
              </w:rPr>
            </w:pPr>
            <w:r>
              <w:rPr>
                <w:rFonts w:ascii="Arial" w:cs="Arial" w:eastAsia="Arial" w:hAnsi="Arial"/>
                <w:sz w:val="22"/>
                <w:szCs w:val="22"/>
                <w:color w:val="auto"/>
              </w:rPr>
              <w:t>Right of Claimant to Bring Suit.</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8.4</w:t>
            </w:r>
          </w:p>
        </w:tc>
        <w:tc>
          <w:tcPr>
            <w:tcW w:w="8340" w:type="dxa"/>
            <w:vAlign w:val="bottom"/>
          </w:tcPr>
          <w:p>
            <w:pPr>
              <w:ind w:left="660"/>
              <w:spacing w:after="0"/>
              <w:rPr>
                <w:sz w:val="20"/>
                <w:szCs w:val="20"/>
                <w:color w:val="auto"/>
              </w:rPr>
            </w:pPr>
            <w:r>
              <w:rPr>
                <w:rFonts w:ascii="Arial" w:cs="Arial" w:eastAsia="Arial" w:hAnsi="Arial"/>
                <w:sz w:val="22"/>
                <w:szCs w:val="22"/>
                <w:color w:val="auto"/>
              </w:rPr>
              <w:t>Provisions Nonexclusive.</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8.5</w:t>
            </w:r>
          </w:p>
        </w:tc>
        <w:tc>
          <w:tcPr>
            <w:tcW w:w="8340" w:type="dxa"/>
            <w:vAlign w:val="bottom"/>
          </w:tcPr>
          <w:p>
            <w:pPr>
              <w:ind w:left="660"/>
              <w:spacing w:after="0"/>
              <w:rPr>
                <w:sz w:val="20"/>
                <w:szCs w:val="20"/>
                <w:color w:val="auto"/>
              </w:rPr>
            </w:pPr>
            <w:r>
              <w:rPr>
                <w:rFonts w:ascii="Arial" w:cs="Arial" w:eastAsia="Arial" w:hAnsi="Arial"/>
                <w:sz w:val="22"/>
                <w:szCs w:val="22"/>
                <w:color w:val="auto"/>
              </w:rPr>
              <w:t>Authority to Insure.</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8.6</w:t>
            </w:r>
          </w:p>
        </w:tc>
        <w:tc>
          <w:tcPr>
            <w:tcW w:w="8340" w:type="dxa"/>
            <w:vAlign w:val="bottom"/>
          </w:tcPr>
          <w:p>
            <w:pPr>
              <w:ind w:left="660"/>
              <w:spacing w:after="0"/>
              <w:rPr>
                <w:sz w:val="20"/>
                <w:szCs w:val="20"/>
                <w:color w:val="auto"/>
              </w:rPr>
            </w:pPr>
            <w:r>
              <w:rPr>
                <w:rFonts w:ascii="Arial" w:cs="Arial" w:eastAsia="Arial" w:hAnsi="Arial"/>
                <w:sz w:val="22"/>
                <w:szCs w:val="22"/>
                <w:color w:val="auto"/>
              </w:rPr>
              <w:t>Enforcement of Rights</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8.7</w:t>
            </w:r>
          </w:p>
        </w:tc>
        <w:tc>
          <w:tcPr>
            <w:tcW w:w="8340" w:type="dxa"/>
            <w:vAlign w:val="bottom"/>
          </w:tcPr>
          <w:p>
            <w:pPr>
              <w:ind w:left="660"/>
              <w:spacing w:after="0"/>
              <w:rPr>
                <w:sz w:val="20"/>
                <w:szCs w:val="20"/>
                <w:color w:val="auto"/>
              </w:rPr>
            </w:pPr>
            <w:r>
              <w:rPr>
                <w:rFonts w:ascii="Arial" w:cs="Arial" w:eastAsia="Arial" w:hAnsi="Arial"/>
                <w:sz w:val="22"/>
                <w:szCs w:val="22"/>
                <w:color w:val="auto"/>
              </w:rPr>
              <w:t>Survival of Rights.</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8.8</w:t>
            </w:r>
          </w:p>
        </w:tc>
        <w:tc>
          <w:tcPr>
            <w:tcW w:w="8340" w:type="dxa"/>
            <w:vAlign w:val="bottom"/>
          </w:tcPr>
          <w:p>
            <w:pPr>
              <w:ind w:left="660"/>
              <w:spacing w:after="0"/>
              <w:rPr>
                <w:sz w:val="20"/>
                <w:szCs w:val="20"/>
                <w:color w:val="auto"/>
              </w:rPr>
            </w:pPr>
            <w:r>
              <w:rPr>
                <w:rFonts w:ascii="Arial" w:cs="Arial" w:eastAsia="Arial" w:hAnsi="Arial"/>
                <w:sz w:val="22"/>
                <w:szCs w:val="22"/>
                <w:color w:val="auto"/>
              </w:rPr>
              <w:t>Settlement of Claims.</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96"/>
              </w:rPr>
              <w:t>Section 8.9</w:t>
            </w:r>
          </w:p>
        </w:tc>
        <w:tc>
          <w:tcPr>
            <w:tcW w:w="8340" w:type="dxa"/>
            <w:vAlign w:val="bottom"/>
          </w:tcPr>
          <w:p>
            <w:pPr>
              <w:ind w:left="660"/>
              <w:spacing w:after="0"/>
              <w:rPr>
                <w:sz w:val="20"/>
                <w:szCs w:val="20"/>
                <w:color w:val="auto"/>
              </w:rPr>
            </w:pPr>
            <w:r>
              <w:rPr>
                <w:rFonts w:ascii="Arial" w:cs="Arial" w:eastAsia="Arial" w:hAnsi="Arial"/>
                <w:sz w:val="22"/>
                <w:szCs w:val="22"/>
                <w:color w:val="auto"/>
              </w:rPr>
              <w:t>Effect of Amendment.</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86"/>
              </w:rPr>
              <w:t>Section 8.10</w:t>
            </w:r>
          </w:p>
        </w:tc>
        <w:tc>
          <w:tcPr>
            <w:tcW w:w="8340" w:type="dxa"/>
            <w:vAlign w:val="bottom"/>
          </w:tcPr>
          <w:p>
            <w:pPr>
              <w:ind w:left="660"/>
              <w:spacing w:after="0"/>
              <w:rPr>
                <w:sz w:val="20"/>
                <w:szCs w:val="20"/>
                <w:color w:val="auto"/>
              </w:rPr>
            </w:pPr>
            <w:r>
              <w:rPr>
                <w:rFonts w:ascii="Arial" w:cs="Arial" w:eastAsia="Arial" w:hAnsi="Arial"/>
                <w:sz w:val="22"/>
                <w:szCs w:val="22"/>
                <w:color w:val="auto"/>
              </w:rPr>
              <w:t>Primacy of Indemnification.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86"/>
              </w:rPr>
              <w:t>Section 8.11</w:t>
            </w:r>
          </w:p>
        </w:tc>
        <w:tc>
          <w:tcPr>
            <w:tcW w:w="8340" w:type="dxa"/>
            <w:vAlign w:val="bottom"/>
          </w:tcPr>
          <w:p>
            <w:pPr>
              <w:ind w:left="660"/>
              <w:spacing w:after="0"/>
              <w:rPr>
                <w:sz w:val="20"/>
                <w:szCs w:val="20"/>
                <w:color w:val="auto"/>
              </w:rPr>
            </w:pPr>
            <w:r>
              <w:rPr>
                <w:rFonts w:ascii="Arial" w:cs="Arial" w:eastAsia="Arial" w:hAnsi="Arial"/>
                <w:sz w:val="22"/>
                <w:szCs w:val="22"/>
                <w:color w:val="auto"/>
              </w:rPr>
              <w:t>Subrogation.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720" w:type="dxa"/>
            <w:vAlign w:val="bottom"/>
          </w:tcPr>
          <w:p>
            <w:pPr>
              <w:ind w:left="640"/>
              <w:spacing w:after="0"/>
              <w:rPr>
                <w:sz w:val="20"/>
                <w:szCs w:val="20"/>
                <w:color w:val="auto"/>
              </w:rPr>
            </w:pPr>
            <w:r>
              <w:rPr>
                <w:rFonts w:ascii="Arial" w:cs="Arial" w:eastAsia="Arial" w:hAnsi="Arial"/>
                <w:sz w:val="22"/>
                <w:szCs w:val="22"/>
                <w:color w:val="auto"/>
                <w:w w:val="86"/>
              </w:rPr>
              <w:t>Section 8.12</w:t>
            </w:r>
          </w:p>
        </w:tc>
        <w:tc>
          <w:tcPr>
            <w:tcW w:w="8340" w:type="dxa"/>
            <w:vAlign w:val="bottom"/>
          </w:tcPr>
          <w:p>
            <w:pPr>
              <w:ind w:left="660"/>
              <w:spacing w:after="0"/>
              <w:rPr>
                <w:sz w:val="20"/>
                <w:szCs w:val="20"/>
                <w:color w:val="auto"/>
              </w:rPr>
            </w:pPr>
            <w:r>
              <w:rPr>
                <w:rFonts w:ascii="Arial" w:cs="Arial" w:eastAsia="Arial" w:hAnsi="Arial"/>
                <w:sz w:val="22"/>
                <w:szCs w:val="22"/>
                <w:color w:val="auto"/>
              </w:rPr>
              <w:t>No Duplication of Payments.</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4"/>
        </w:trPr>
        <w:tc>
          <w:tcPr>
            <w:tcW w:w="1720" w:type="dxa"/>
            <w:vAlign w:val="bottom"/>
          </w:tcPr>
          <w:p>
            <w:pPr>
              <w:ind w:left="640"/>
              <w:spacing w:after="0"/>
              <w:rPr>
                <w:sz w:val="20"/>
                <w:szCs w:val="20"/>
                <w:color w:val="auto"/>
              </w:rPr>
            </w:pPr>
            <w:r>
              <w:rPr>
                <w:rFonts w:ascii="Arial" w:cs="Arial" w:eastAsia="Arial" w:hAnsi="Arial"/>
                <w:sz w:val="22"/>
                <w:szCs w:val="22"/>
                <w:color w:val="auto"/>
                <w:w w:val="86"/>
              </w:rPr>
              <w:t>Section 8.13</w:t>
            </w:r>
          </w:p>
        </w:tc>
        <w:tc>
          <w:tcPr>
            <w:tcW w:w="8340" w:type="dxa"/>
            <w:vAlign w:val="bottom"/>
          </w:tcPr>
          <w:p>
            <w:pPr>
              <w:ind w:left="660"/>
              <w:spacing w:after="0"/>
              <w:rPr>
                <w:sz w:val="20"/>
                <w:szCs w:val="20"/>
                <w:color w:val="auto"/>
              </w:rPr>
            </w:pPr>
            <w:r>
              <w:rPr>
                <w:rFonts w:ascii="Arial" w:cs="Arial" w:eastAsia="Arial" w:hAnsi="Arial"/>
                <w:sz w:val="22"/>
                <w:szCs w:val="22"/>
                <w:color w:val="auto"/>
              </w:rPr>
              <w:t>Saving Clause.</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78"/>
        </w:trPr>
        <w:tc>
          <w:tcPr>
            <w:tcW w:w="1720" w:type="dxa"/>
            <w:vAlign w:val="bottom"/>
          </w:tcPr>
          <w:p>
            <w:pPr>
              <w:spacing w:after="0"/>
              <w:rPr>
                <w:sz w:val="20"/>
                <w:szCs w:val="20"/>
                <w:color w:val="auto"/>
              </w:rPr>
            </w:pPr>
            <w:r>
              <w:rPr>
                <w:rFonts w:ascii="Arial" w:cs="Arial" w:eastAsia="Arial" w:hAnsi="Arial"/>
                <w:sz w:val="22"/>
                <w:szCs w:val="22"/>
                <w:color w:val="auto"/>
              </w:rPr>
              <w:t>ARTICLE 9</w:t>
            </w:r>
          </w:p>
        </w:tc>
        <w:tc>
          <w:tcPr>
            <w:tcW w:w="8340" w:type="dxa"/>
            <w:vAlign w:val="bottom"/>
          </w:tcPr>
          <w:p>
            <w:pPr>
              <w:spacing w:after="0"/>
              <w:rPr>
                <w:sz w:val="20"/>
                <w:szCs w:val="20"/>
                <w:color w:val="auto"/>
              </w:rPr>
            </w:pPr>
            <w:r>
              <w:rPr>
                <w:rFonts w:ascii="Arial" w:cs="Arial" w:eastAsia="Arial" w:hAnsi="Arial"/>
                <w:sz w:val="22"/>
                <w:szCs w:val="22"/>
                <w:color w:val="auto"/>
              </w:rPr>
              <w:t>NOTICES</w:t>
            </w:r>
          </w:p>
        </w:tc>
        <w:tc>
          <w:tcPr>
            <w:tcW w:w="11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1720" w:type="dxa"/>
            <w:vAlign w:val="bottom"/>
          </w:tcPr>
          <w:p>
            <w:pPr>
              <w:spacing w:after="0"/>
              <w:rPr>
                <w:sz w:val="20"/>
                <w:szCs w:val="20"/>
                <w:color w:val="auto"/>
              </w:rPr>
            </w:pPr>
            <w:r>
              <w:rPr>
                <w:rFonts w:ascii="Arial" w:cs="Arial" w:eastAsia="Arial" w:hAnsi="Arial"/>
                <w:sz w:val="22"/>
                <w:szCs w:val="22"/>
                <w:color w:val="auto"/>
              </w:rPr>
              <w:t>ARTICLE 10</w:t>
            </w:r>
          </w:p>
        </w:tc>
        <w:tc>
          <w:tcPr>
            <w:tcW w:w="8340" w:type="dxa"/>
            <w:vAlign w:val="bottom"/>
          </w:tcPr>
          <w:p>
            <w:pPr>
              <w:spacing w:after="0"/>
              <w:rPr>
                <w:sz w:val="20"/>
                <w:szCs w:val="20"/>
                <w:color w:val="auto"/>
              </w:rPr>
            </w:pPr>
            <w:r>
              <w:rPr>
                <w:rFonts w:ascii="Arial" w:cs="Arial" w:eastAsia="Arial" w:hAnsi="Arial"/>
                <w:sz w:val="22"/>
                <w:szCs w:val="22"/>
                <w:color w:val="auto"/>
              </w:rPr>
              <w:t>AMENDMENTS</w:t>
            </w:r>
          </w:p>
        </w:tc>
        <w:tc>
          <w:tcPr>
            <w:tcW w:w="11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1720" w:type="dxa"/>
            <w:vAlign w:val="bottom"/>
          </w:tcPr>
          <w:p>
            <w:pPr>
              <w:spacing w:after="0"/>
              <w:rPr>
                <w:sz w:val="20"/>
                <w:szCs w:val="20"/>
                <w:color w:val="auto"/>
              </w:rPr>
            </w:pPr>
            <w:r>
              <w:rPr>
                <w:rFonts w:ascii="Arial" w:cs="Arial" w:eastAsia="Arial" w:hAnsi="Arial"/>
                <w:sz w:val="22"/>
                <w:szCs w:val="22"/>
                <w:color w:val="auto"/>
              </w:rPr>
              <w:t>ARTICLE 11</w:t>
            </w:r>
          </w:p>
        </w:tc>
        <w:tc>
          <w:tcPr>
            <w:tcW w:w="8340" w:type="dxa"/>
            <w:vAlign w:val="bottom"/>
          </w:tcPr>
          <w:p>
            <w:pPr>
              <w:spacing w:after="0"/>
              <w:rPr>
                <w:sz w:val="20"/>
                <w:szCs w:val="20"/>
                <w:color w:val="auto"/>
              </w:rPr>
            </w:pPr>
            <w:r>
              <w:rPr>
                <w:rFonts w:ascii="Arial" w:cs="Arial" w:eastAsia="Arial" w:hAnsi="Arial"/>
                <w:sz w:val="22"/>
                <w:szCs w:val="22"/>
                <w:color w:val="auto"/>
              </w:rPr>
              <w:t>FORUM FOR CERTAIN ACTIONS</w:t>
            </w:r>
          </w:p>
        </w:tc>
        <w:tc>
          <w:tcPr>
            <w:tcW w:w="114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2" w:right="359" w:bottom="1440" w:gutter="0" w:footer="0" w:header="0"/>
        </w:sectPr>
      </w:pPr>
    </w:p>
    <w:bookmarkStart w:id="35" w:name="page36"/>
    <w:bookmarkEnd w:id="35"/>
    <w:p>
      <w:pPr>
        <w:ind w:left="10240"/>
        <w:spacing w:after="0"/>
        <w:rPr>
          <w:sz w:val="20"/>
          <w:szCs w:val="20"/>
          <w:color w:val="auto"/>
        </w:rPr>
      </w:pPr>
      <w:r>
        <w:rPr>
          <w:rFonts w:ascii="Arial" w:cs="Arial" w:eastAsia="Arial" w:hAnsi="Arial"/>
          <w:sz w:val="19"/>
          <w:szCs w:val="19"/>
          <w:b w:val="1"/>
          <w:bCs w:val="1"/>
          <w:color w:val="auto"/>
        </w:rPr>
        <w:t>Exhibit 3.2</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FULGENT GENETICS,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Registered Office.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registered office of the Corporation in the State of Delaware shall be set forth in the Certificate of Incorporation of the Corporation (as amended, modified or restated from time to time, the “</w:t>
      </w:r>
      <w:r>
        <w:rPr>
          <w:rFonts w:ascii="Arial" w:cs="Arial" w:eastAsia="Arial" w:hAnsi="Arial"/>
          <w:sz w:val="22"/>
          <w:szCs w:val="22"/>
          <w:b w:val="1"/>
          <w:bCs w:val="1"/>
          <w:color w:val="auto"/>
        </w:rPr>
        <w:t>Certificate of Incorporation</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Other Offices.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may also have offices at such other places, either within or without the State of Delaware, as the board of directors of the Corporation (the “</w:t>
      </w:r>
      <w:r>
        <w:rPr>
          <w:rFonts w:ascii="Arial" w:cs="Arial" w:eastAsia="Arial" w:hAnsi="Arial"/>
          <w:sz w:val="22"/>
          <w:szCs w:val="22"/>
          <w:b w:val="1"/>
          <w:bCs w:val="1"/>
          <w:color w:val="auto"/>
        </w:rPr>
        <w:t>Board of Directors</w:t>
      </w:r>
      <w:r>
        <w:rPr>
          <w:rFonts w:ascii="Arial" w:cs="Arial" w:eastAsia="Arial" w:hAnsi="Arial"/>
          <w:sz w:val="22"/>
          <w:szCs w:val="22"/>
          <w:color w:val="auto"/>
        </w:rPr>
        <w:t>” or “</w:t>
      </w:r>
      <w:r>
        <w:rPr>
          <w:rFonts w:ascii="Arial" w:cs="Arial" w:eastAsia="Arial" w:hAnsi="Arial"/>
          <w:sz w:val="22"/>
          <w:szCs w:val="22"/>
          <w:b w:val="1"/>
          <w:bCs w:val="1"/>
          <w:color w:val="auto"/>
        </w:rPr>
        <w:t>Board</w:t>
      </w:r>
      <w:r>
        <w:rPr>
          <w:rFonts w:ascii="Arial" w:cs="Arial" w:eastAsia="Arial" w:hAnsi="Arial"/>
          <w:sz w:val="22"/>
          <w:szCs w:val="22"/>
          <w:color w:val="auto"/>
        </w:rPr>
        <w:t>”)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MEETINGS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Place of Meetings.</w:t>
      </w:r>
    </w:p>
    <w:p>
      <w:pPr>
        <w:spacing w:after="0" w:line="212" w:lineRule="exact"/>
        <w:rPr>
          <w:sz w:val="20"/>
          <w:szCs w:val="20"/>
          <w:color w:val="auto"/>
        </w:rPr>
      </w:pPr>
    </w:p>
    <w:p>
      <w:pPr>
        <w:jc w:val="both"/>
        <w:ind w:firstLine="757"/>
        <w:spacing w:after="0" w:line="252" w:lineRule="auto"/>
        <w:tabs>
          <w:tab w:leader="none" w:pos="1318" w:val="left"/>
        </w:tabs>
        <w:numPr>
          <w:ilvl w:val="0"/>
          <w:numId w:val="7"/>
        </w:numPr>
        <w:rPr>
          <w:rFonts w:ascii="Arial" w:cs="Arial" w:eastAsia="Arial" w:hAnsi="Arial"/>
          <w:sz w:val="21"/>
          <w:szCs w:val="21"/>
          <w:color w:val="auto"/>
        </w:rPr>
      </w:pPr>
      <w:r>
        <w:rPr>
          <w:rFonts w:ascii="Arial" w:cs="Arial" w:eastAsia="Arial" w:hAnsi="Arial"/>
          <w:sz w:val="21"/>
          <w:szCs w:val="21"/>
          <w:color w:val="auto"/>
        </w:rPr>
        <w:t>Meetings of stockholders may be held at such place, either within or without the State of Delaware, as may be designated by or in the manner provided in these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Section 2.1.</w:t>
      </w:r>
    </w:p>
    <w:p>
      <w:pPr>
        <w:spacing w:after="0" w:line="173" w:lineRule="exact"/>
        <w:rPr>
          <w:rFonts w:ascii="Arial" w:cs="Arial" w:eastAsia="Arial" w:hAnsi="Arial"/>
          <w:sz w:val="21"/>
          <w:szCs w:val="21"/>
          <w:color w:val="auto"/>
        </w:rPr>
      </w:pPr>
    </w:p>
    <w:p>
      <w:pPr>
        <w:jc w:val="both"/>
        <w:ind w:firstLine="757"/>
        <w:spacing w:after="0"/>
        <w:tabs>
          <w:tab w:leader="none" w:pos="1304"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Participate in a meeting of stockholders; and</w:t>
      </w:r>
    </w:p>
    <w:p>
      <w:pPr>
        <w:spacing w:after="0" w:line="206" w:lineRule="exact"/>
        <w:rPr>
          <w:rFonts w:ascii="Arial" w:cs="Arial" w:eastAsia="Arial" w:hAnsi="Arial"/>
          <w:sz w:val="22"/>
          <w:szCs w:val="22"/>
          <w:color w:val="auto"/>
        </w:rPr>
      </w:pPr>
    </w:p>
    <w:p>
      <w:pPr>
        <w:jc w:val="both"/>
        <w:ind w:firstLine="1505"/>
        <w:spacing w:after="0" w:line="235" w:lineRule="auto"/>
        <w:tabs>
          <w:tab w:leader="none" w:pos="2162" w:val="left"/>
        </w:tabs>
        <w:numPr>
          <w:ilvl w:val="1"/>
          <w:numId w:val="7"/>
        </w:numPr>
        <w:rPr>
          <w:rFonts w:ascii="Arial" w:cs="Arial" w:eastAsia="Arial" w:hAnsi="Arial"/>
          <w:sz w:val="22"/>
          <w:szCs w:val="22"/>
          <w:color w:val="auto"/>
        </w:rPr>
      </w:pPr>
      <w:r>
        <w:rPr>
          <w:rFonts w:ascii="Arial" w:cs="Arial" w:eastAsia="Arial" w:hAnsi="Arial"/>
          <w:sz w:val="22"/>
          <w:szCs w:val="22"/>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rPr>
          <w:sz w:val="20"/>
          <w:szCs w:val="20"/>
          <w:color w:val="auto"/>
        </w:rPr>
      </w:pPr>
      <w:r>
        <w:rPr>
          <w:rFonts w:ascii="Arial" w:cs="Arial" w:eastAsia="Arial" w:hAnsi="Arial"/>
          <w:sz w:val="22"/>
          <w:szCs w:val="22"/>
          <w:color w:val="auto"/>
        </w:rPr>
        <w:t>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86" w:lineRule="exact"/>
        <w:rPr>
          <w:sz w:val="20"/>
          <w:szCs w:val="20"/>
          <w:color w:val="auto"/>
        </w:rPr>
      </w:pPr>
    </w:p>
    <w:p>
      <w:pPr>
        <w:jc w:val="both"/>
        <w:ind w:firstLine="757"/>
        <w:spacing w:after="0"/>
        <w:tabs>
          <w:tab w:leader="none" w:pos="1402" w:val="left"/>
        </w:tabs>
        <w:numPr>
          <w:ilvl w:val="0"/>
          <w:numId w:val="8"/>
        </w:numPr>
        <w:rPr>
          <w:rFonts w:ascii="Arial" w:cs="Arial" w:eastAsia="Arial" w:hAnsi="Arial"/>
          <w:sz w:val="22"/>
          <w:szCs w:val="22"/>
          <w:color w:val="auto"/>
        </w:rPr>
      </w:pPr>
      <w:r>
        <w:rPr>
          <w:rFonts w:ascii="Arial" w:cs="Arial" w:eastAsia="Arial" w:hAnsi="Arial"/>
          <w:sz w:val="22"/>
          <w:szCs w:val="22"/>
          <w:color w:val="auto"/>
        </w:rPr>
        <w:t>For purposes of these Bylaws, “remote communication” shall include (1) telephone or other voice communications and (2) electronic mail or other form of written or visual electronic communications satisfying the requirements of Section 2.11(b).</w:t>
      </w:r>
    </w:p>
    <w:p>
      <w:pPr>
        <w:spacing w:after="0" w:line="18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Annual Meetings.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 To the fullest extent permitted by applicable law, the Board of Directors may postpone or reschedule any previously scheduled annual meeting.</w:t>
      </w:r>
    </w:p>
    <w:p>
      <w:pPr>
        <w:spacing w:after="0" w:line="17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Special Meetings.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Special meetings of the stockholders of the Corporation may be called, for any purpose or purposes, by the Chairperson of the Board or the Chief Executive Officer or the President or the Board of Directors at any time. Only such business shall be brought before a special meeting of stockholders as shall have been specified in the notice of such meeting. To the fullest extent permitted by applicable law, the Board of Directors may postpone or reschedule any previously scheduled special meeting.</w:t>
      </w:r>
    </w:p>
    <w:p>
      <w:pPr>
        <w:spacing w:after="0" w:line="13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Notice of Meetings.</w:t>
      </w:r>
    </w:p>
    <w:p>
      <w:pPr>
        <w:spacing w:after="0" w:line="212" w:lineRule="exact"/>
        <w:rPr>
          <w:sz w:val="20"/>
          <w:szCs w:val="20"/>
          <w:color w:val="auto"/>
        </w:rPr>
      </w:pPr>
    </w:p>
    <w:p>
      <w:pPr>
        <w:jc w:val="both"/>
        <w:ind w:firstLine="757"/>
        <w:spacing w:after="0" w:line="273" w:lineRule="auto"/>
        <w:tabs>
          <w:tab w:leader="none" w:pos="1343" w:val="left"/>
        </w:tabs>
        <w:numPr>
          <w:ilvl w:val="0"/>
          <w:numId w:val="9"/>
        </w:numPr>
        <w:rPr>
          <w:rFonts w:ascii="Arial" w:cs="Arial" w:eastAsia="Arial" w:hAnsi="Arial"/>
          <w:sz w:val="19"/>
          <w:szCs w:val="19"/>
          <w:color w:val="auto"/>
        </w:rPr>
      </w:pPr>
      <w:r>
        <w:rPr>
          <w:rFonts w:ascii="Arial" w:cs="Arial" w:eastAsia="Arial" w:hAnsi="Arial"/>
          <w:sz w:val="19"/>
          <w:szCs w:val="19"/>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of the meeting to each stockholder entitled to vote thereat, directed to such stockholder’s address as it appears upon the books of the Corporation.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60" w:lineRule="exact"/>
        <w:rPr>
          <w:rFonts w:ascii="Arial" w:cs="Arial" w:eastAsia="Arial" w:hAnsi="Arial"/>
          <w:sz w:val="19"/>
          <w:szCs w:val="19"/>
          <w:color w:val="auto"/>
        </w:rPr>
      </w:pPr>
    </w:p>
    <w:p>
      <w:pPr>
        <w:jc w:val="both"/>
        <w:ind w:firstLine="757"/>
        <w:spacing w:after="0" w:line="297" w:lineRule="auto"/>
        <w:tabs>
          <w:tab w:leader="none" w:pos="135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to that effect and shall be accompanied by a copy of that statutory section.</w:t>
      </w:r>
    </w:p>
    <w:p>
      <w:pPr>
        <w:spacing w:after="0" w:line="133" w:lineRule="exact"/>
        <w:rPr>
          <w:rFonts w:ascii="Arial" w:cs="Arial" w:eastAsia="Arial" w:hAnsi="Arial"/>
          <w:sz w:val="19"/>
          <w:szCs w:val="19"/>
          <w:color w:val="auto"/>
        </w:rPr>
      </w:pPr>
    </w:p>
    <w:p>
      <w:pPr>
        <w:ind w:firstLine="757"/>
        <w:spacing w:after="0" w:line="250" w:lineRule="auto"/>
        <w:tabs>
          <w:tab w:leader="none" w:pos="1313" w:val="left"/>
        </w:tabs>
        <w:numPr>
          <w:ilvl w:val="0"/>
          <w:numId w:val="9"/>
        </w:numPr>
        <w:rPr>
          <w:rFonts w:ascii="Arial" w:cs="Arial" w:eastAsia="Arial" w:hAnsi="Arial"/>
          <w:sz w:val="22"/>
          <w:szCs w:val="22"/>
          <w:color w:val="auto"/>
        </w:rPr>
      </w:pPr>
      <w:r>
        <w:rPr>
          <w:rFonts w:ascii="Arial" w:cs="Arial" w:eastAsia="Arial" w:hAnsi="Arial"/>
          <w:sz w:val="22"/>
          <w:szCs w:val="22"/>
          <w:color w:val="auto"/>
        </w:rPr>
        <w:t>When a meeting is adjourned to another time or place, notice need not be given of the adjourned meeting if the time, place, if any, thereof, and the means of remote communication,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21"/>
          <w:szCs w:val="21"/>
          <w:color w:val="auto"/>
        </w:rPr>
        <w:t>if any, by which stockholders and proxyholders may be deemed to be present in person and vote at such adjourned meeting, are announced at the meeting at which the adjournment is taken unless the adjournment is for more than thirty days, or unless after the adjournment a new record date is fixed for the adjourned meeting, in which event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184" w:lineRule="exact"/>
        <w:rPr>
          <w:sz w:val="20"/>
          <w:szCs w:val="20"/>
          <w:color w:val="auto"/>
        </w:rPr>
      </w:pPr>
    </w:p>
    <w:p>
      <w:pPr>
        <w:jc w:val="both"/>
        <w:ind w:firstLine="757"/>
        <w:spacing w:after="0"/>
        <w:tabs>
          <w:tab w:leader="none" w:pos="1311"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Notice of the time, place and purpose of any meeting of stockholders may be waived in writing or by electronic transmission, either before or after such meeting, and, to the extent permitted by law, will be waived by any stockholder or proxyholder by their attendance thereat, in person or by proxy.</w:t>
      </w:r>
    </w:p>
    <w:p>
      <w:pPr>
        <w:spacing w:after="0" w:line="186" w:lineRule="exact"/>
        <w:rPr>
          <w:rFonts w:ascii="Arial" w:cs="Arial" w:eastAsia="Arial" w:hAnsi="Arial"/>
          <w:sz w:val="22"/>
          <w:szCs w:val="22"/>
          <w:color w:val="auto"/>
        </w:rPr>
      </w:pPr>
    </w:p>
    <w:p>
      <w:pPr>
        <w:jc w:val="both"/>
        <w:ind w:firstLine="757"/>
        <w:spacing w:after="0" w:line="270" w:lineRule="auto"/>
        <w:tabs>
          <w:tab w:leader="none" w:pos="1318" w:val="left"/>
        </w:tabs>
        <w:numPr>
          <w:ilvl w:val="0"/>
          <w:numId w:val="10"/>
        </w:numPr>
        <w:rPr>
          <w:rFonts w:ascii="Arial" w:cs="Arial" w:eastAsia="Arial" w:hAnsi="Arial"/>
          <w:sz w:val="19"/>
          <w:szCs w:val="19"/>
          <w:color w:val="auto"/>
        </w:rPr>
      </w:pPr>
      <w:r>
        <w:rPr>
          <w:rFonts w:ascii="Arial" w:cs="Arial" w:eastAsia="Arial" w:hAnsi="Arial"/>
          <w:sz w:val="19"/>
          <w:szCs w:val="19"/>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5"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Quorum and Voting.</w:t>
      </w:r>
    </w:p>
    <w:p>
      <w:pPr>
        <w:spacing w:after="0" w:line="212" w:lineRule="exact"/>
        <w:rPr>
          <w:sz w:val="20"/>
          <w:szCs w:val="20"/>
          <w:color w:val="auto"/>
        </w:rPr>
      </w:pPr>
    </w:p>
    <w:p>
      <w:pPr>
        <w:jc w:val="both"/>
        <w:ind w:firstLine="757"/>
        <w:spacing w:after="0" w:line="249" w:lineRule="auto"/>
        <w:tabs>
          <w:tab w:leader="none" w:pos="1306" w:val="left"/>
        </w:tabs>
        <w:numPr>
          <w:ilvl w:val="0"/>
          <w:numId w:val="11"/>
        </w:numPr>
        <w:rPr>
          <w:rFonts w:ascii="Arial" w:cs="Arial" w:eastAsia="Arial" w:hAnsi="Arial"/>
          <w:sz w:val="21"/>
          <w:szCs w:val="21"/>
          <w:color w:val="auto"/>
        </w:rPr>
      </w:pPr>
      <w:r>
        <w:rPr>
          <w:rFonts w:ascii="Arial" w:cs="Arial" w:eastAsia="Arial" w:hAnsi="Arial"/>
          <w:sz w:val="21"/>
          <w:szCs w:val="21"/>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jc w:val="both"/>
        <w:spacing w:after="0" w:line="236" w:lineRule="auto"/>
        <w:rPr>
          <w:sz w:val="20"/>
          <w:szCs w:val="20"/>
          <w:color w:val="auto"/>
        </w:rPr>
      </w:pPr>
      <w:r>
        <w:rPr>
          <w:rFonts w:ascii="Arial" w:cs="Arial" w:eastAsia="Arial" w:hAnsi="Arial"/>
          <w:sz w:val="22"/>
          <w:szCs w:val="22"/>
          <w:color w:val="auto"/>
        </w:rPr>
        <w:t>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187" w:lineRule="exact"/>
        <w:rPr>
          <w:sz w:val="20"/>
          <w:szCs w:val="20"/>
          <w:color w:val="auto"/>
        </w:rPr>
      </w:pPr>
    </w:p>
    <w:p>
      <w:pPr>
        <w:jc w:val="both"/>
        <w:ind w:firstLine="757"/>
        <w:spacing w:after="0" w:line="236" w:lineRule="auto"/>
        <w:tabs>
          <w:tab w:leader="none" w:pos="1325" w:val="left"/>
        </w:tabs>
        <w:numPr>
          <w:ilvl w:val="0"/>
          <w:numId w:val="12"/>
        </w:numPr>
        <w:rPr>
          <w:rFonts w:ascii="Arial" w:cs="Arial" w:eastAsia="Arial" w:hAnsi="Arial"/>
          <w:sz w:val="22"/>
          <w:szCs w:val="22"/>
          <w:color w:val="auto"/>
        </w:rPr>
      </w:pPr>
      <w:r>
        <w:rPr>
          <w:rFonts w:ascii="Arial" w:cs="Arial" w:eastAsia="Arial" w:hAnsi="Arial"/>
          <w:sz w:val="22"/>
          <w:szCs w:val="22"/>
          <w:color w:val="auto"/>
        </w:rPr>
        <w:t>Except as otherwise provided by law, the Certificate of Incorporation or these Bylaws, all action taken by the holders of a majority of the votes cast on a matter affirmatively or negatively shall be valid and binding upon the Corporation. For purposes of these Bylaws, a share present at a meeting, but for which there is an abstention or as to which a stockholder gives no authority or direction as to a particular proposal or director nominee, shall be counted as present for the purpose of establishing a quorum but shall not be counted as a vote cast.</w:t>
      </w:r>
    </w:p>
    <w:p>
      <w:pPr>
        <w:spacing w:after="0" w:line="187" w:lineRule="exact"/>
        <w:rPr>
          <w:rFonts w:ascii="Arial" w:cs="Arial" w:eastAsia="Arial" w:hAnsi="Arial"/>
          <w:sz w:val="22"/>
          <w:szCs w:val="22"/>
          <w:color w:val="auto"/>
        </w:rPr>
      </w:pPr>
    </w:p>
    <w:p>
      <w:pPr>
        <w:jc w:val="both"/>
        <w:ind w:firstLine="757"/>
        <w:spacing w:after="0" w:line="238" w:lineRule="auto"/>
        <w:tabs>
          <w:tab w:leader="none" w:pos="1297" w:val="left"/>
        </w:tabs>
        <w:numPr>
          <w:ilvl w:val="0"/>
          <w:numId w:val="12"/>
        </w:numPr>
        <w:rPr>
          <w:rFonts w:ascii="Arial" w:cs="Arial" w:eastAsia="Arial" w:hAnsi="Arial"/>
          <w:sz w:val="22"/>
          <w:szCs w:val="22"/>
          <w:color w:val="auto"/>
        </w:rPr>
      </w:pPr>
      <w:r>
        <w:rPr>
          <w:rFonts w:ascii="Arial" w:cs="Arial" w:eastAsia="Arial" w:hAnsi="Arial"/>
          <w:sz w:val="22"/>
          <w:szCs w:val="22"/>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votes cast of such class or classes present in person or represented by proxy at the meeting shall be the act of such class.</w:t>
      </w:r>
    </w:p>
    <w:p>
      <w:pPr>
        <w:spacing w:after="0" w:line="17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color w:val="auto"/>
        </w:rPr>
        <w:t>Voting Rights.</w:t>
      </w:r>
    </w:p>
    <w:p>
      <w:pPr>
        <w:spacing w:after="0" w:line="212" w:lineRule="exact"/>
        <w:rPr>
          <w:sz w:val="20"/>
          <w:szCs w:val="20"/>
          <w:color w:val="auto"/>
        </w:rPr>
      </w:pPr>
    </w:p>
    <w:p>
      <w:pPr>
        <w:jc w:val="both"/>
        <w:ind w:firstLine="757"/>
        <w:spacing w:after="0" w:line="235" w:lineRule="auto"/>
        <w:tabs>
          <w:tab w:leader="none" w:pos="1326"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7" w:lineRule="exact"/>
        <w:rPr>
          <w:rFonts w:ascii="Arial" w:cs="Arial" w:eastAsia="Arial" w:hAnsi="Arial"/>
          <w:sz w:val="22"/>
          <w:szCs w:val="22"/>
          <w:color w:val="auto"/>
        </w:rPr>
      </w:pPr>
    </w:p>
    <w:p>
      <w:pPr>
        <w:jc w:val="both"/>
        <w:ind w:firstLine="757"/>
        <w:spacing w:after="0" w:line="279" w:lineRule="auto"/>
        <w:tabs>
          <w:tab w:leader="none" w:pos="1301" w:val="left"/>
        </w:tabs>
        <w:numPr>
          <w:ilvl w:val="0"/>
          <w:numId w:val="13"/>
        </w:numPr>
        <w:rPr>
          <w:rFonts w:ascii="Arial" w:cs="Arial" w:eastAsia="Arial" w:hAnsi="Arial"/>
          <w:sz w:val="19"/>
          <w:szCs w:val="19"/>
          <w:color w:val="auto"/>
        </w:rPr>
      </w:pPr>
      <w:r>
        <w:rPr>
          <w:rFonts w:ascii="Arial" w:cs="Arial" w:eastAsia="Arial" w:hAnsi="Arial"/>
          <w:sz w:val="19"/>
          <w:szCs w:val="19"/>
          <w:color w:val="auto"/>
        </w:rPr>
        <w:t>Every person entitled to vote or to execute consents shall have the right to do so either in person or by an agent or agents authorized by a written proxy executed by such person or such person’s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their legal representatives or assigns, except in those cases where an irrevocable proxy permitted by statute has been given.</w:t>
      </w:r>
    </w:p>
    <w:p>
      <w:pPr>
        <w:spacing w:after="0" w:line="150" w:lineRule="exact"/>
        <w:rPr>
          <w:rFonts w:ascii="Arial" w:cs="Arial" w:eastAsia="Arial" w:hAnsi="Arial"/>
          <w:sz w:val="19"/>
          <w:szCs w:val="19"/>
          <w:color w:val="auto"/>
        </w:rPr>
      </w:pPr>
    </w:p>
    <w:p>
      <w:pPr>
        <w:jc w:val="both"/>
        <w:ind w:firstLine="757"/>
        <w:spacing w:after="0"/>
        <w:tabs>
          <w:tab w:leader="none" w:pos="133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Without limiting the manner in which a stockholder may authorize another person or persons to act for such stockholder as proxy pursuant to subsection (b) of this section, the following shall constitute a valid means by which a stockholder may grant such authority:</w:t>
      </w:r>
    </w:p>
    <w:p>
      <w:pPr>
        <w:spacing w:after="0" w:line="186" w:lineRule="exact"/>
        <w:rPr>
          <w:sz w:val="20"/>
          <w:szCs w:val="20"/>
          <w:color w:val="auto"/>
        </w:rPr>
      </w:pPr>
    </w:p>
    <w:p>
      <w:pPr>
        <w:jc w:val="both"/>
        <w:ind w:firstLine="150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stockholder may execute a writing authorizing another person or persons to act for such stockholder as proxy. Execution may be accomplished by the stockholder or their authorized officer, director, employee or agent signing such writing or causing their signature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be affixed to such writing by any reasonable means including, but not limited to, by facsimile signature.</w:t>
      </w:r>
    </w:p>
    <w:p>
      <w:pPr>
        <w:spacing w:after="0" w:line="206" w:lineRule="exact"/>
        <w:rPr>
          <w:sz w:val="20"/>
          <w:szCs w:val="20"/>
          <w:color w:val="auto"/>
        </w:rPr>
      </w:pPr>
    </w:p>
    <w:p>
      <w:pPr>
        <w:jc w:val="both"/>
        <w:ind w:firstLine="1505"/>
        <w:spacing w:after="0" w:line="245" w:lineRule="auto"/>
        <w:tabs>
          <w:tab w:leader="none" w:pos="2216" w:val="left"/>
        </w:tabs>
        <w:numPr>
          <w:ilvl w:val="1"/>
          <w:numId w:val="15"/>
        </w:numPr>
        <w:rPr>
          <w:rFonts w:ascii="Arial" w:cs="Arial" w:eastAsia="Arial" w:hAnsi="Arial"/>
          <w:sz w:val="21"/>
          <w:szCs w:val="21"/>
          <w:color w:val="auto"/>
        </w:rPr>
      </w:pPr>
      <w:r>
        <w:rPr>
          <w:rFonts w:ascii="Arial" w:cs="Arial" w:eastAsia="Arial" w:hAnsi="Arial"/>
          <w:sz w:val="21"/>
          <w:szCs w:val="21"/>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 If it is determined that such transmissions are valid, the inspectors or, if there are no inspectors, such other persons making that determination shall specify the information upon which they relied.</w:t>
      </w:r>
    </w:p>
    <w:p>
      <w:pPr>
        <w:spacing w:after="0" w:line="180" w:lineRule="exact"/>
        <w:rPr>
          <w:rFonts w:ascii="Arial" w:cs="Arial" w:eastAsia="Arial" w:hAnsi="Arial"/>
          <w:sz w:val="21"/>
          <w:szCs w:val="21"/>
          <w:color w:val="auto"/>
        </w:rPr>
      </w:pPr>
    </w:p>
    <w:p>
      <w:pPr>
        <w:jc w:val="both"/>
        <w:ind w:firstLine="757"/>
        <w:spacing w:after="0" w:line="252" w:lineRule="auto"/>
        <w:tabs>
          <w:tab w:leader="none" w:pos="1340" w:val="left"/>
        </w:tabs>
        <w:numPr>
          <w:ilvl w:val="0"/>
          <w:numId w:val="16"/>
        </w:numPr>
        <w:rPr>
          <w:rFonts w:ascii="Arial" w:cs="Arial" w:eastAsia="Arial" w:hAnsi="Arial"/>
          <w:sz w:val="21"/>
          <w:szCs w:val="21"/>
          <w:color w:val="auto"/>
        </w:rPr>
      </w:pPr>
      <w:r>
        <w:rPr>
          <w:rFonts w:ascii="Arial" w:cs="Arial" w:eastAsia="Arial" w:hAnsi="Arial"/>
          <w:sz w:val="21"/>
          <w:szCs w:val="21"/>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6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color w:val="auto"/>
        </w:rPr>
        <w:t>Voting Procedures and Inspectors of Elections.</w:t>
      </w:r>
    </w:p>
    <w:p>
      <w:pPr>
        <w:spacing w:after="0" w:line="212" w:lineRule="exact"/>
        <w:rPr>
          <w:sz w:val="20"/>
          <w:szCs w:val="20"/>
          <w:color w:val="auto"/>
        </w:rPr>
      </w:pPr>
    </w:p>
    <w:p>
      <w:pPr>
        <w:jc w:val="both"/>
        <w:ind w:firstLine="757"/>
        <w:spacing w:after="0" w:line="235" w:lineRule="auto"/>
        <w:tabs>
          <w:tab w:leader="none" w:pos="1319"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their duties, shall take and sign an oath faithfully to execute the duties of inspector with strict impartiality and according to the best of their ability.</w:t>
      </w:r>
    </w:p>
    <w:p>
      <w:pPr>
        <w:spacing w:after="0" w:line="187" w:lineRule="exact"/>
        <w:rPr>
          <w:rFonts w:ascii="Arial" w:cs="Arial" w:eastAsia="Arial" w:hAnsi="Arial"/>
          <w:sz w:val="22"/>
          <w:szCs w:val="22"/>
          <w:color w:val="auto"/>
        </w:rPr>
      </w:pPr>
    </w:p>
    <w:p>
      <w:pPr>
        <w:jc w:val="both"/>
        <w:ind w:firstLine="757"/>
        <w:spacing w:after="0" w:line="282" w:lineRule="auto"/>
        <w:tabs>
          <w:tab w:leader="none" w:pos="1298"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47" w:lineRule="exact"/>
        <w:rPr>
          <w:rFonts w:ascii="Arial" w:cs="Arial" w:eastAsia="Arial" w:hAnsi="Arial"/>
          <w:sz w:val="19"/>
          <w:szCs w:val="19"/>
          <w:color w:val="auto"/>
        </w:rPr>
      </w:pPr>
    </w:p>
    <w:p>
      <w:pPr>
        <w:jc w:val="both"/>
        <w:ind w:firstLine="757"/>
        <w:spacing w:after="0" w:line="238" w:lineRule="auto"/>
        <w:tabs>
          <w:tab w:leader="none" w:pos="13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shall determine otherwise upon application by a stockholder.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jc w:val="both"/>
        <w:ind w:firstLine="757"/>
        <w:spacing w:after="0" w:line="276" w:lineRule="auto"/>
        <w:tabs>
          <w:tab w:leader="none" w:pos="1297" w:val="left"/>
        </w:tabs>
        <w:numPr>
          <w:ilvl w:val="1"/>
          <w:numId w:val="18"/>
        </w:numPr>
        <w:rPr>
          <w:rFonts w:ascii="Arial" w:cs="Arial" w:eastAsia="Arial" w:hAnsi="Arial"/>
          <w:sz w:val="19"/>
          <w:szCs w:val="19"/>
          <w:color w:val="auto"/>
        </w:rPr>
      </w:pPr>
      <w:r>
        <w:rPr>
          <w:rFonts w:ascii="Arial" w:cs="Arial" w:eastAsia="Arial" w:hAnsi="Arial"/>
          <w:sz w:val="19"/>
          <w:szCs w:val="19"/>
          <w:color w:val="auto"/>
        </w:rPr>
        <w:t>In determining the validity and counting of proxies and ballots, the inspectors shall be limited to an examination of the proxies, any envelopes submitted with those proxies, any information provided in accordance with Sections 211(e) or 212(c)</w:t>
      </w:r>
    </w:p>
    <w:p>
      <w:pPr>
        <w:spacing w:after="0" w:line="1" w:lineRule="exact"/>
        <w:rPr>
          <w:rFonts w:ascii="Arial" w:cs="Arial" w:eastAsia="Arial" w:hAnsi="Arial"/>
          <w:sz w:val="19"/>
          <w:szCs w:val="19"/>
          <w:color w:val="auto"/>
        </w:rPr>
      </w:pPr>
    </w:p>
    <w:p>
      <w:pPr>
        <w:jc w:val="both"/>
        <w:ind w:firstLine="8"/>
        <w:spacing w:after="0" w:line="231" w:lineRule="auto"/>
        <w:tabs>
          <w:tab w:leader="none" w:pos="3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color w:val="auto"/>
        </w:rPr>
        <w:t>List of Stockholders.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officer who has charge of the stock ledger of the Corporation shall prepare and make, at least ten days before every meeting of stockholders, a complete list of the stockholders entitled to vote at said meeting, (or, if the record date for determining the stockholders entitled to vote is less than 10 days before the meeting date, the list shall reflect the stockholders entitled to vote on the tenth day before the meeting date),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color w:val="auto"/>
        </w:rPr>
        <w:t>Stockholder Proposals at Annual Meetings.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The foregoing clause (iii) shall be the exclusive means for a stockholder to propose business (other than business included in the Corporation’s proxy materials pursuant to Rule 14a-8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spacing w:after="0"/>
        <w:rPr>
          <w:sz w:val="20"/>
          <w:szCs w:val="20"/>
          <w:color w:val="auto"/>
        </w:rPr>
      </w:pPr>
      <w:r>
        <w:rPr>
          <w:rFonts w:ascii="Arial" w:cs="Arial" w:eastAsia="Arial" w:hAnsi="Arial"/>
          <w:sz w:val="21"/>
          <w:szCs w:val="21"/>
          <w:color w:val="auto"/>
        </w:rPr>
        <w:t>under the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at an annual meeting of stockholders.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to any other applicable requirements for business to be properly brought before an annual meeting by a stockholder, whether or not the stockholder is seeking to have a proposal included in the Corporation’s proxy statement or information statement under Rule 14a-8 under the Exchange Act, the stockholder must have given timely notice thereof in writing to the Secretary of the Corporation. To be timely, in the case of a stockholder seeking to have a proposal included in the Corporation’s proxy statement or information statement, a stockholder’s notice must be delivered to the Secretary at the Corporation’s principal executive offices not less than 120 days or more than 180 days prior to the first anniversary of the date on which the Corporation first mailed its proxy materials (or, in the absence of proxy materials, its notice of meeting) for the previous year’s annual meeting of stockholders. However, if the Corporation did not hold an annual meeting the previous year, or if the date of the annual meeting is advanced more than 30 days prior to or delayed by more than 30 days after the anniversary of the preceding year’s annual meeting, then to be timely, notice by the stockholder must be delivered to the Secretary at the Corporation’s principal executive offices not later than the close of business on the later of (i) the 90th day prior to such annual meeting or (ii) the 15th day following the day on which public announcement of the date of such meeting is first made. If the stockholder is not seeking inclusion of the proposal in the Corporation’s proxy statement or information statement, timely notice consists of a stockholder’s notice delivered to or mailed and received at the principal executive offices of the Corporation not less than 90 days prior to the date of the annual meeting. In no event shall any adjournment or postponement of an annual meeting or the announcement thereof commence a new time period for the giving of a stockholder’s notice as described above. Other than with respect to stockholder proposals relating to director nomination(s), which requirements are set forth in Section 2.10 below, a stockholder’s notice to the Secretary shall set forth as to each matter the stockholder proposes to bring before the annual meeting</w:t>
      </w:r>
    </w:p>
    <w:p>
      <w:pPr>
        <w:jc w:val="both"/>
        <w:ind w:firstLine="8"/>
        <w:spacing w:after="0" w:line="269" w:lineRule="auto"/>
        <w:tabs>
          <w:tab w:leader="none" w:pos="294"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(iv) any material interest of the stockholder in such business, (v) as to the stockholder giving the notice and any Stockholder Associated Person (as defined below) or any member of such stockholder’s immediate family sharing the same household,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such Stockholder Associated Person or family member with respect to any share of stock of the Corporation (each, a “</w:t>
      </w:r>
      <w:r>
        <w:rPr>
          <w:rFonts w:ascii="Arial" w:cs="Arial" w:eastAsia="Arial" w:hAnsi="Arial"/>
          <w:sz w:val="19"/>
          <w:szCs w:val="19"/>
          <w:b w:val="1"/>
          <w:bCs w:val="1"/>
          <w:color w:val="auto"/>
        </w:rPr>
        <w:t>Relevant Hedge Transaction</w:t>
      </w:r>
      <w:r>
        <w:rPr>
          <w:rFonts w:ascii="Arial" w:cs="Arial" w:eastAsia="Arial" w:hAnsi="Arial"/>
          <w:sz w:val="19"/>
          <w:szCs w:val="19"/>
          <w:color w:val="auto"/>
        </w:rPr>
        <w:t>”), and (vi) as to the stockholder giving the notice and any Stockholder Associated Person or any member of such stockholder’s immediate family sharing the same household, to the extent not set forth pursuant to the immediately preceding clause, (a) whether and the extent to which such stockholder, Stockholder Associated Person or family member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both"/>
        <w:spacing w:after="0" w:line="244" w:lineRule="auto"/>
        <w:rPr>
          <w:sz w:val="20"/>
          <w:szCs w:val="20"/>
          <w:color w:val="auto"/>
        </w:rPr>
      </w:pPr>
      <w:r>
        <w:rPr>
          <w:rFonts w:ascii="Arial" w:cs="Arial" w:eastAsia="Arial" w:hAnsi="Arial"/>
          <w:sz w:val="21"/>
          <w:szCs w:val="21"/>
          <w:color w:val="auto"/>
        </w:rPr>
        <w:t>capital stock of the Corporation or otherwise, or any other direct or indirect opportunity to profit or share in any profit derived from any increase or decrease in the value of shares of the Corporation (a “</w:t>
      </w:r>
      <w:r>
        <w:rPr>
          <w:rFonts w:ascii="Arial" w:cs="Arial" w:eastAsia="Arial" w:hAnsi="Arial"/>
          <w:sz w:val="21"/>
          <w:szCs w:val="21"/>
          <w:b w:val="1"/>
          <w:bCs w:val="1"/>
          <w:color w:val="auto"/>
        </w:rPr>
        <w:t>Derivative Instrument</w:t>
      </w:r>
      <w:r>
        <w:rPr>
          <w:rFonts w:ascii="Arial" w:cs="Arial" w:eastAsia="Arial" w:hAnsi="Arial"/>
          <w:sz w:val="21"/>
          <w:szCs w:val="21"/>
          <w:color w:val="auto"/>
        </w:rPr>
        <w:t>”), (b) any rights to dividends on the shares of the Corporation owned beneficially by such stockholder, Stockholder Associated Person or family member that are separated or separable from the underlying shares of the Corporation, (c) any proportionate interest in shares of the Corporation or Derivative Instruments held, directly or indirectly, by a general or limited partnership in which such stockholder, Stockholder Associated Person or family member is a general partner or, directly or indirectly, beneficially owns an interest in a general partner and (d) any performance-related fees (other than an asset-based fee) that such stockholder, Stockholder Associated Person or family member is entitled to based on any increase or decrease in the value of shares of the Corporation or Derivative Instruments, if any, as of the date of such notice (which information shall be supplemented by such stockholder and beneficial owner, if any, not later than 10 days after the record date for the meeting to disclose such ownership as of the record date).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purposes of this Section 2.9 and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chairperson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Nothing in this Section 2.9 shall affect the right of a stockholder to request inclusion of a proposal in the Corporation’s proxy statement or information statement pursuant to Rule 14a-8 under the Exchange Act.</w:t>
      </w:r>
    </w:p>
    <w:p>
      <w:pPr>
        <w:spacing w:after="0" w:line="169"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color w:val="auto"/>
        </w:rPr>
        <w:t>Nominations of Persons for Election to the Board of Directors.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to any other applicable requirements, only persons who are nominated in accordance with the following procedures shall be eligible for election as directors. Nominations of persons for election to the Board of Directors of the Corporation may be made at a meeting of stockholders (i) pursuant to the Corporation’s notice of meeting (or any supplement thereto) given by or at the direction of the Board of Directors, (ii) by or at the direction of the Board of Directors, or by any nominating committee or person appointed by the Board of Directors or (iii) by any stockholder of the Corporation entitled to vote for the election of directors at the meeting who complies with the notice procedures set forth in this Section 2.10. Except for a nomination made in accordance with the foregoing clause (iii), as permitted by Rule 14a-19 as promulgated under the Exchange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jc w:val="both"/>
        <w:spacing w:after="0" w:line="245" w:lineRule="auto"/>
        <w:rPr>
          <w:sz w:val="20"/>
          <w:szCs w:val="20"/>
          <w:color w:val="auto"/>
        </w:rPr>
      </w:pPr>
      <w:r>
        <w:rPr>
          <w:rFonts w:ascii="Arial" w:cs="Arial" w:eastAsia="Arial" w:hAnsi="Arial"/>
          <w:sz w:val="21"/>
          <w:szCs w:val="21"/>
          <w:color w:val="auto"/>
        </w:rPr>
        <w:t>Act or as otherwise permitted by law, the foregoing clause (iii) is the sole and exclusive manner for stockholders to nominate persons for election as directors. Upon request by the Corporation, if a stockholder provides notice pursuant to Rule 14a-19(b) promulgated under the Exchange Act or includes the information required by Rule 14a-19(b) in a preliminary or definitive proxy statement previously filed by such stockholder, such stockholder shall deliver to the Corporation, no later than five (5) business days prior to the applicable meeting of stockholders, reasonable evidence that it has met the requirements of Rule 14a-19(a)(3) promulgated under the Exchange Act. A stockholder who complies with the notice procedures set forth in this Section 2.10 is permitted to present the nomination at the meeting of stockholders but is not entitled to have a nominee included in the Corporation’s proxy statement in the absence of an applicable rule of the U.S. Securities and Exchange Commission requiring the Corporation to include a director nomination made by a stockholder in the Corporation’s proxy statement or information statement.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Such nominations, other than those made by or at the direction of the Board of Directors, shall be made pursuant to timely notice in writing to the Secretary of the Corporation. To be timely, notice by the stockholder must be delivered to the Secretary at the Corporation’s principal executive offices not later than 90 days prior to the date of the annual meeting. In no event shall any adjournment or postponement of an annual meeting or the announcement thereof commence a new time period for the giving of a stockholder’s notice as described above. The stockholder’s notice relating to director nomination(s)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(iv) a statement whether such person, if elected, intends to tender a resignation effective upon such person’s failure to receive the required vote for re-election at the next meeting at which such person would face re-election and upon acceptance of such resignation by the Board of Directors, in accordance with these Bylaws, (v) a representation as to whether or not the stockholder or beneficial owner, if any, or any of their respective affiliates, associates or others acting in concert therewith intend to solicit proxies in support of director nominees other than the Corporation’s nominees in accordance with Rule 14a-19 promulgated under the Exchange Act, (vi) each person’s consent to be named in a proxy statement relating to such meeting of stockholders, and (vii) any other information relating to the person that is required to be disclosed in solicitations for proxies for election of directors pursuant to Regulation 14A under the Exchange Act;</w:t>
      </w:r>
    </w:p>
    <w:p>
      <w:pPr>
        <w:spacing w:after="0" w:line="3" w:lineRule="exact"/>
        <w:rPr>
          <w:sz w:val="20"/>
          <w:szCs w:val="20"/>
          <w:color w:val="auto"/>
        </w:rPr>
      </w:pPr>
    </w:p>
    <w:p>
      <w:pPr>
        <w:jc w:val="both"/>
        <w:ind w:firstLine="8"/>
        <w:spacing w:after="0" w:line="271" w:lineRule="auto"/>
        <w:tabs>
          <w:tab w:leader="none" w:pos="32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 to the stockholder giving the notice, (i) the name and record address of the stockholder, and (ii) the class and number of shares of the Corporation which are beneficially owned by the stockholder; (c) as to the stockholder giving the notice and any Stockholder Associated Person (as defined in Section 2.9), to the extent not set forth pursuant to the immediately preceding clause, whether and the extent to which any Relevant Hedge Transaction (as defined in Section 2.9) has been entered into, and (d) as to the stockholder giving the notice and any Stockholder Associated Person, (i) whether and the extent to which any Derivative Instrument (as defined in Section 2.9) is directly or indirectly beneficially owned, (ii) any rights to dividends on the shares of the Corporation owned beneficially by such stockholder that are separated or separable from the underlying shares of the Corporation, (iii) any proportionate interest in shares of the Corporation or Derivative Instruments held, directly or indirectly, by a general or limited partnership in which such stockholder is a general partner or, directly or indirectly, beneficially owns an interest in a general partner and (iv) any performance-related fees (other than an asset-based fee) that such stockholder is entitled to based on any increase or decrease in the value of shares of the Corporation or Derivative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9"/>
          <w:szCs w:val="19"/>
          <w:color w:val="auto"/>
        </w:rPr>
        <w:t>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Notwithstanding the foregoing provisions of this Section 2.10, a stockholder shall also comply with all applicable requirements of state and federal law, including the Exchange Act, the Certificate of Incorporation and these Bylaws with respect to any nomination, proposal or other matter set forth in this Section 2.10. The Corporation may require any proposed nominee to furnish such other information as may reasonably be required by the Corporation to determine the eligibility of such proposed nominee to serve as a director of the Corporation. Unless otherwise required by law, if any stockholder or beneficial owner, if any, or any of their respective affiliates or associates (i) provides notice pursuant to Rule 14a-19(b) promulgated under the Exchange Act or includes the information required by Rule 14a-19(b) in a preliminary or definitive proxy statement previously filed by such person (it being understood that such notice or filing shall be in addition to all notices required pursuant to this Section 2.10) and (ii) subsequently fails to comply with any requirements of Rule 14a-19 promulgated under the Exchange Act or any other rules or regulations thereunder, then the Corporation shall disregard any proxies or votes solicited for such nominees and such nomination shall be disregarded. The stockholder giving such notice shall indemnify the Corporation in respect of any loss arising as a result of any false or misleading information or statement submitted by the nominating stockholder in connection with the nomination, as provided by Section 112(5) of the Delaware General Corporation Law.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chairperson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80"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9"/>
          <w:szCs w:val="19"/>
          <w:b w:val="1"/>
          <w:bCs w:val="1"/>
          <w:color w:val="auto"/>
        </w:rPr>
        <w:t>Action Without Meeting.</w:t>
      </w:r>
    </w:p>
    <w:p>
      <w:pPr>
        <w:spacing w:after="0" w:line="212" w:lineRule="exact"/>
        <w:rPr>
          <w:sz w:val="20"/>
          <w:szCs w:val="20"/>
          <w:color w:val="auto"/>
        </w:rPr>
      </w:pPr>
    </w:p>
    <w:p>
      <w:pPr>
        <w:jc w:val="center"/>
        <w:ind w:right="20"/>
        <w:spacing w:after="0" w:line="445" w:lineRule="auto"/>
        <w:rPr>
          <w:sz w:val="20"/>
          <w:szCs w:val="20"/>
          <w:color w:val="auto"/>
        </w:rPr>
      </w:pPr>
      <w:r>
        <w:rPr>
          <w:rFonts w:ascii="Arial" w:cs="Arial" w:eastAsia="Arial" w:hAnsi="Arial"/>
          <w:sz w:val="22"/>
          <w:szCs w:val="22"/>
          <w:color w:val="auto"/>
        </w:rPr>
        <w:t xml:space="preserve">Unless otherwise provided in the Certificate of Incorporation, the stockholders of the Corporation may not act by written consent. </w:t>
      </w:r>
      <w:r>
        <w:rPr>
          <w:rFonts w:ascii="Arial" w:cs="Arial" w:eastAsia="Arial" w:hAnsi="Arial"/>
          <w:sz w:val="22"/>
          <w:szCs w:val="22"/>
          <w:b w:val="1"/>
          <w:bCs w:val="1"/>
          <w:color w:val="auto"/>
        </w:rPr>
        <w:t>ARTICLE 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Number and Term of Office.</w:t>
      </w:r>
    </w:p>
    <w:p>
      <w:pPr>
        <w:spacing w:after="0" w:line="212" w:lineRule="exact"/>
        <w:rPr>
          <w:sz w:val="20"/>
          <w:szCs w:val="20"/>
          <w:color w:val="auto"/>
        </w:rPr>
      </w:pPr>
    </w:p>
    <w:p>
      <w:pPr>
        <w:jc w:val="both"/>
        <w:ind w:firstLine="757"/>
        <w:spacing w:after="0" w:line="235" w:lineRule="auto"/>
        <w:tabs>
          <w:tab w:leader="none" w:pos="1338"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Subject to the rights of holders of any series of preferred stock to elect additional directors under specified circumstances, the number of directors which shall constitute the whole of the Board of Directors shall be determined from time to time by resolutions of the Board of Directors, provided that the Board of Directors shall consist of at least one member.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as convenient at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5" w:name="page46"/>
    <w:bookmarkEnd w:id="45"/>
    <w:p>
      <w:pPr>
        <w:spacing w:after="0" w:line="250" w:lineRule="auto"/>
        <w:rPr>
          <w:sz w:val="20"/>
          <w:szCs w:val="20"/>
          <w:color w:val="auto"/>
        </w:rPr>
      </w:pPr>
      <w:r>
        <w:rPr>
          <w:rFonts w:ascii="Arial" w:cs="Arial" w:eastAsia="Arial" w:hAnsi="Arial"/>
          <w:sz w:val="22"/>
          <w:szCs w:val="22"/>
          <w:color w:val="auto"/>
        </w:rPr>
        <w:t>special meeting of the stockholders called for that purpose in the manner provided in these Bylaws. In no case will a decrease in the number of directors shorten the term of any incumbent director.</w:t>
      </w:r>
    </w:p>
    <w:p>
      <w:pPr>
        <w:spacing w:after="0" w:line="175" w:lineRule="exact"/>
        <w:rPr>
          <w:sz w:val="20"/>
          <w:szCs w:val="20"/>
          <w:color w:val="auto"/>
        </w:rPr>
      </w:pPr>
    </w:p>
    <w:p>
      <w:pPr>
        <w:ind w:firstLine="757"/>
        <w:spacing w:after="0" w:line="328" w:lineRule="auto"/>
        <w:tabs>
          <w:tab w:leader="none" w:pos="1308" w:val="left"/>
        </w:tabs>
        <w:numPr>
          <w:ilvl w:val="0"/>
          <w:numId w:val="23"/>
        </w:numPr>
        <w:rPr>
          <w:rFonts w:ascii="Arial" w:cs="Arial" w:eastAsia="Arial" w:hAnsi="Arial"/>
          <w:sz w:val="19"/>
          <w:szCs w:val="19"/>
          <w:color w:val="auto"/>
        </w:rPr>
      </w:pPr>
      <w:r>
        <w:rPr>
          <w:rFonts w:ascii="Arial" w:cs="Arial" w:eastAsia="Arial" w:hAnsi="Arial"/>
          <w:sz w:val="19"/>
          <w:szCs w:val="19"/>
          <w:color w:val="auto"/>
        </w:rPr>
        <w:t>Except as provided in Section 3.3 of this Article III, the directors shall be elected by a plurality vote of the votes cast and entitled to vote on the election of directors at any meeting for the election of directors at which a quorum is present.</w:t>
      </w:r>
    </w:p>
    <w:p>
      <w:pPr>
        <w:spacing w:after="0" w:line="9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color w:val="auto"/>
        </w:rPr>
        <w:t>Powers.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powers of the Corporation shall be exercised, its business conducted and its property controlled by or under the direction of the Board of Directors.</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8"/>
          <w:szCs w:val="18"/>
          <w:b w:val="1"/>
          <w:bCs w:val="1"/>
          <w:color w:val="auto"/>
        </w:rPr>
        <w:t>Vacancies.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such director’s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 of Directors.</w:t>
      </w:r>
    </w:p>
    <w:p>
      <w:pPr>
        <w:spacing w:after="0" w:line="17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color w:val="auto"/>
        </w:rPr>
        <w:t>Resignations and Removals.</w:t>
      </w:r>
    </w:p>
    <w:p>
      <w:pPr>
        <w:spacing w:after="0" w:line="212" w:lineRule="exact"/>
        <w:rPr>
          <w:sz w:val="20"/>
          <w:szCs w:val="20"/>
          <w:color w:val="auto"/>
        </w:rPr>
      </w:pPr>
    </w:p>
    <w:p>
      <w:pPr>
        <w:jc w:val="both"/>
        <w:ind w:firstLine="757"/>
        <w:spacing w:after="0" w:line="246" w:lineRule="auto"/>
        <w:tabs>
          <w:tab w:leader="none" w:pos="1319"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director may resign at any time by delivering their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such director’s successor shall have been duly elected and qualified.</w:t>
      </w:r>
    </w:p>
    <w:p>
      <w:pPr>
        <w:spacing w:after="0" w:line="179" w:lineRule="exact"/>
        <w:rPr>
          <w:rFonts w:ascii="Arial" w:cs="Arial" w:eastAsia="Arial" w:hAnsi="Arial"/>
          <w:sz w:val="21"/>
          <w:szCs w:val="21"/>
          <w:color w:val="auto"/>
        </w:rPr>
      </w:pPr>
    </w:p>
    <w:p>
      <w:pPr>
        <w:jc w:val="both"/>
        <w:ind w:firstLine="757"/>
        <w:spacing w:after="0" w:line="257" w:lineRule="auto"/>
        <w:tabs>
          <w:tab w:leader="none" w:pos="1324" w:val="left"/>
        </w:tabs>
        <w:numPr>
          <w:ilvl w:val="0"/>
          <w:numId w:val="24"/>
        </w:numPr>
        <w:rPr>
          <w:rFonts w:ascii="Arial" w:cs="Arial" w:eastAsia="Arial" w:hAnsi="Arial"/>
          <w:sz w:val="21"/>
          <w:szCs w:val="21"/>
          <w:color w:val="auto"/>
        </w:rPr>
      </w:pPr>
      <w:r>
        <w:rPr>
          <w:rFonts w:ascii="Arial" w:cs="Arial" w:eastAsia="Arial" w:hAnsi="Arial"/>
          <w:sz w:val="21"/>
          <w:szCs w:val="21"/>
          <w:color w:val="auto"/>
        </w:rPr>
        <w:t>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spacing w:after="0" w:line="16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color w:val="auto"/>
        </w:rPr>
        <w:t>Meetings.</w:t>
      </w:r>
    </w:p>
    <w:p>
      <w:pPr>
        <w:spacing w:after="0" w:line="212" w:lineRule="exact"/>
        <w:rPr>
          <w:sz w:val="20"/>
          <w:szCs w:val="20"/>
          <w:color w:val="auto"/>
        </w:rPr>
      </w:pPr>
    </w:p>
    <w:p>
      <w:pPr>
        <w:jc w:val="both"/>
        <w:ind w:firstLine="757"/>
        <w:spacing w:after="0"/>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annual meeting of the Board of Directors shall be held immediately after the annual stockholders’ meeting and at the place where such meeting is held or at the place announced by the chairperson at such meeting. No notice of an annual meeting of the Board of Directors shall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spacing w:after="0" w:line="250" w:lineRule="auto"/>
        <w:rPr>
          <w:sz w:val="20"/>
          <w:szCs w:val="20"/>
          <w:color w:val="auto"/>
        </w:rPr>
      </w:pPr>
      <w:r>
        <w:rPr>
          <w:rFonts w:ascii="Arial" w:cs="Arial" w:eastAsia="Arial" w:hAnsi="Arial"/>
          <w:sz w:val="22"/>
          <w:szCs w:val="22"/>
          <w:color w:val="auto"/>
        </w:rPr>
        <w:t>be necessary, and such meeting shall be held for the purpose of electing officers and transacting such other business as may lawfully come before it.</w:t>
      </w:r>
    </w:p>
    <w:p>
      <w:pPr>
        <w:spacing w:after="0" w:line="175" w:lineRule="exact"/>
        <w:rPr>
          <w:sz w:val="20"/>
          <w:szCs w:val="20"/>
          <w:color w:val="auto"/>
        </w:rPr>
      </w:pPr>
    </w:p>
    <w:p>
      <w:pPr>
        <w:jc w:val="both"/>
        <w:ind w:firstLine="757"/>
        <w:spacing w:after="0" w:line="297" w:lineRule="auto"/>
        <w:tabs>
          <w:tab w:leader="none" w:pos="1303"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as hereinafter otherwise provided, regular meetings of the Board of Directors shall be held at the principal executive office of the Corporation. Regular meetings of the Board of Directors may also be held at any place, within or without the State of Delaware, which has been designated by resolutions of the Board of Directors or the written consent of all directors.</w:t>
      </w:r>
    </w:p>
    <w:p>
      <w:pPr>
        <w:spacing w:after="0" w:line="133" w:lineRule="exact"/>
        <w:rPr>
          <w:rFonts w:ascii="Arial" w:cs="Arial" w:eastAsia="Arial" w:hAnsi="Arial"/>
          <w:sz w:val="19"/>
          <w:szCs w:val="19"/>
          <w:color w:val="auto"/>
        </w:rPr>
      </w:pPr>
    </w:p>
    <w:p>
      <w:pPr>
        <w:jc w:val="both"/>
        <w:ind w:firstLine="757"/>
        <w:spacing w:after="0"/>
        <w:tabs>
          <w:tab w:leader="none" w:pos="1327" w:val="left"/>
        </w:tabs>
        <w:numPr>
          <w:ilvl w:val="0"/>
          <w:numId w:val="26"/>
        </w:numPr>
        <w:rPr>
          <w:rFonts w:ascii="Arial" w:cs="Arial" w:eastAsia="Arial" w:hAnsi="Arial"/>
          <w:sz w:val="22"/>
          <w:szCs w:val="22"/>
          <w:color w:val="auto"/>
        </w:rPr>
      </w:pPr>
      <w:r>
        <w:rPr>
          <w:rFonts w:ascii="Arial" w:cs="Arial" w:eastAsia="Arial" w:hAnsi="Arial"/>
          <w:sz w:val="22"/>
          <w:szCs w:val="22"/>
          <w:color w:val="auto"/>
        </w:rPr>
        <w:t>Special meetings of the Board of Directors may be held at any time and place within or without the State of Delaware whenever called by the Chairperson of the Board or, if there is no Chairperson of the Board, by the Chief Executive Officer or the President, or by any of the directors.</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297" w:val="left"/>
        </w:tabs>
        <w:numPr>
          <w:ilvl w:val="0"/>
          <w:numId w:val="26"/>
        </w:numPr>
        <w:rPr>
          <w:rFonts w:ascii="Arial" w:cs="Arial" w:eastAsia="Arial" w:hAnsi="Arial"/>
          <w:sz w:val="21"/>
          <w:szCs w:val="21"/>
          <w:color w:val="auto"/>
        </w:rPr>
      </w:pPr>
      <w:r>
        <w:rPr>
          <w:rFonts w:ascii="Arial" w:cs="Arial" w:eastAsia="Arial" w:hAnsi="Arial"/>
          <w:sz w:val="21"/>
          <w:szCs w:val="21"/>
          <w:color w:val="auto"/>
        </w:rPr>
        <w:t>Written notice of the time and place of all regular and special meetings of the Board of Directors shall be delivered personally to each director or sent by any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16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b w:val="1"/>
          <w:bCs w:val="1"/>
          <w:color w:val="auto"/>
        </w:rPr>
        <w:t>Quorum and Voting.</w:t>
      </w:r>
    </w:p>
    <w:p>
      <w:pPr>
        <w:spacing w:after="0" w:line="212" w:lineRule="exact"/>
        <w:rPr>
          <w:sz w:val="20"/>
          <w:szCs w:val="20"/>
          <w:color w:val="auto"/>
        </w:rPr>
      </w:pPr>
    </w:p>
    <w:p>
      <w:pPr>
        <w:jc w:val="both"/>
        <w:ind w:firstLine="757"/>
        <w:spacing w:after="0" w:line="287" w:lineRule="auto"/>
        <w:tabs>
          <w:tab w:leader="none" w:pos="1301"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quorum of the Board of Directors shall consist of a majority of the exact number of directors fixed from time to time in accordance with Section 3.1 of Article III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42" w:lineRule="exact"/>
        <w:rPr>
          <w:rFonts w:ascii="Arial" w:cs="Arial" w:eastAsia="Arial" w:hAnsi="Arial"/>
          <w:sz w:val="19"/>
          <w:szCs w:val="19"/>
          <w:color w:val="auto"/>
        </w:rPr>
      </w:pPr>
    </w:p>
    <w:p>
      <w:pPr>
        <w:jc w:val="both"/>
        <w:ind w:firstLine="757"/>
        <w:spacing w:after="0"/>
        <w:tabs>
          <w:tab w:leader="none" w:pos="133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At each meeting of the Board of Directors at which a quorum is present, all questions and business shall be determined by a vote of a majority of the directors present, unless a different vote be required by law, the Certificate of Incorporation, or these Bylaws.</w:t>
      </w:r>
    </w:p>
    <w:p>
      <w:pPr>
        <w:spacing w:after="0" w:line="186" w:lineRule="exact"/>
        <w:rPr>
          <w:rFonts w:ascii="Arial" w:cs="Arial" w:eastAsia="Arial" w:hAnsi="Arial"/>
          <w:sz w:val="22"/>
          <w:szCs w:val="22"/>
          <w:color w:val="auto"/>
        </w:rPr>
      </w:pPr>
    </w:p>
    <w:p>
      <w:pPr>
        <w:jc w:val="both"/>
        <w:ind w:firstLine="757"/>
        <w:spacing w:after="0" w:line="257" w:lineRule="auto"/>
        <w:tabs>
          <w:tab w:leader="none" w:pos="1315" w:val="left"/>
        </w:tabs>
        <w:numPr>
          <w:ilvl w:val="0"/>
          <w:numId w:val="27"/>
        </w:numPr>
        <w:rPr>
          <w:rFonts w:ascii="Arial" w:cs="Arial" w:eastAsia="Arial" w:hAnsi="Arial"/>
          <w:sz w:val="21"/>
          <w:szCs w:val="21"/>
          <w:color w:val="auto"/>
        </w:rPr>
      </w:pPr>
      <w:r>
        <w:rPr>
          <w:rFonts w:ascii="Arial" w:cs="Arial" w:eastAsia="Arial" w:hAnsi="Arial"/>
          <w:sz w:val="21"/>
          <w:szCs w:val="21"/>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69" w:lineRule="exact"/>
        <w:rPr>
          <w:rFonts w:ascii="Arial" w:cs="Arial" w:eastAsia="Arial" w:hAnsi="Arial"/>
          <w:sz w:val="21"/>
          <w:szCs w:val="21"/>
          <w:color w:val="auto"/>
        </w:rPr>
      </w:pPr>
    </w:p>
    <w:p>
      <w:pPr>
        <w:jc w:val="both"/>
        <w:ind w:firstLine="757"/>
        <w:spacing w:after="0" w:line="236" w:lineRule="auto"/>
        <w:tabs>
          <w:tab w:leader="none" w:pos="129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spacing w:after="0"/>
        <w:tabs>
          <w:tab w:leader="none" w:pos="1480" w:val="left"/>
        </w:tabs>
        <w:rPr>
          <w:sz w:val="20"/>
          <w:szCs w:val="20"/>
          <w:color w:val="auto"/>
        </w:rPr>
      </w:pPr>
      <w:r>
        <w:rPr>
          <w:rFonts w:ascii="Arial" w:cs="Arial" w:eastAsia="Arial" w:hAnsi="Arial"/>
          <w:sz w:val="22"/>
          <w:szCs w:val="22"/>
          <w:b w:val="1"/>
          <w:bCs w:val="1"/>
          <w:color w:val="auto"/>
        </w:rPr>
        <w:t>Section 3.7</w:t>
      </w:r>
      <w:r>
        <w:rPr>
          <w:sz w:val="20"/>
          <w:szCs w:val="20"/>
          <w:color w:val="auto"/>
        </w:rPr>
        <w:tab/>
      </w:r>
      <w:r>
        <w:rPr>
          <w:rFonts w:ascii="Arial" w:cs="Arial" w:eastAsia="Arial" w:hAnsi="Arial"/>
          <w:sz w:val="19"/>
          <w:szCs w:val="19"/>
          <w:b w:val="1"/>
          <w:bCs w:val="1"/>
          <w:color w:val="auto"/>
        </w:rPr>
        <w:t>Action Without Meeting.</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2"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3.8</w:t>
      </w:r>
      <w:r>
        <w:rPr>
          <w:sz w:val="20"/>
          <w:szCs w:val="20"/>
          <w:color w:val="auto"/>
        </w:rPr>
        <w:tab/>
      </w:r>
      <w:r>
        <w:rPr>
          <w:rFonts w:ascii="Arial" w:cs="Arial" w:eastAsia="Arial" w:hAnsi="Arial"/>
          <w:sz w:val="19"/>
          <w:szCs w:val="19"/>
          <w:b w:val="1"/>
          <w:bCs w:val="1"/>
          <w:color w:val="auto"/>
        </w:rPr>
        <w:t>Fees and Compensation.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Directors and members of committees may receive such compensation, if any, for their services, and such reimbursement for expenses, as may be fixed or determined by resolution of the Board of Directors.</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3.9</w:t>
      </w:r>
      <w:r>
        <w:rPr>
          <w:sz w:val="20"/>
          <w:szCs w:val="20"/>
          <w:color w:val="auto"/>
        </w:rPr>
        <w:tab/>
      </w:r>
      <w:r>
        <w:rPr>
          <w:rFonts w:ascii="Arial" w:cs="Arial" w:eastAsia="Arial" w:hAnsi="Arial"/>
          <w:sz w:val="19"/>
          <w:szCs w:val="19"/>
          <w:b w:val="1"/>
          <w:bCs w:val="1"/>
          <w:color w:val="auto"/>
        </w:rPr>
        <w:t>Committees.</w:t>
      </w:r>
    </w:p>
    <w:p>
      <w:pPr>
        <w:spacing w:after="0" w:line="206" w:lineRule="exact"/>
        <w:rPr>
          <w:sz w:val="20"/>
          <w:szCs w:val="20"/>
          <w:color w:val="auto"/>
        </w:rPr>
      </w:pPr>
    </w:p>
    <w:p>
      <w:pPr>
        <w:jc w:val="both"/>
        <w:ind w:firstLine="757"/>
        <w:spacing w:after="0" w:line="236" w:lineRule="auto"/>
        <w:tabs>
          <w:tab w:leader="none" w:pos="1339"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Executive Committee: </w:t>
      </w:r>
      <w:r>
        <w:rPr>
          <w:rFonts w:ascii="Arial" w:cs="Arial" w:eastAsia="Arial" w:hAnsi="Arial"/>
          <w:sz w:val="22"/>
          <w:szCs w:val="22"/>
          <w:color w:val="auto"/>
        </w:rPr>
        <w:t>The Board of Directors may appoint an Executive Committee of not less than one</w:t>
      </w:r>
      <w:r>
        <w:rPr>
          <w:rFonts w:ascii="Arial" w:cs="Arial" w:eastAsia="Arial" w:hAnsi="Arial"/>
          <w:sz w:val="22"/>
          <w:szCs w:val="22"/>
          <w:b w:val="1"/>
          <w:bCs w:val="1"/>
          <w:color w:val="auto"/>
        </w:rPr>
        <w:t xml:space="preserve"> </w:t>
      </w:r>
      <w:r>
        <w:rPr>
          <w:rFonts w:ascii="Arial" w:cs="Arial" w:eastAsia="Arial" w:hAnsi="Arial"/>
          <w:sz w:val="22"/>
          <w:szCs w:val="22"/>
          <w:color w:val="auto"/>
        </w:rPr>
        <w:t>member, each of whom shall be a director. To the extent permitted by law, the Executive Committee shall have and may exercise when the Board of Directors is not in session all powers of the Board of Directors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pacing w:after="0" w:line="181" w:lineRule="exact"/>
        <w:rPr>
          <w:rFonts w:ascii="Arial" w:cs="Arial" w:eastAsia="Arial" w:hAnsi="Arial"/>
          <w:sz w:val="22"/>
          <w:szCs w:val="22"/>
          <w:color w:val="auto"/>
        </w:rPr>
      </w:pPr>
    </w:p>
    <w:p>
      <w:pPr>
        <w:jc w:val="both"/>
        <w:ind w:firstLine="757"/>
        <w:spacing w:after="0" w:line="239" w:lineRule="auto"/>
        <w:tabs>
          <w:tab w:leader="none" w:pos="1319"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Other Committees: </w:t>
      </w:r>
      <w:r>
        <w:rPr>
          <w:rFonts w:ascii="Arial" w:cs="Arial" w:eastAsia="Arial" w:hAnsi="Arial"/>
          <w:sz w:val="22"/>
          <w:szCs w:val="22"/>
          <w:color w:val="auto"/>
        </w:rPr>
        <w:t>The Board of Directors may from time to time appoint such other committees as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spacing w:after="0" w:line="180" w:lineRule="exact"/>
        <w:rPr>
          <w:rFonts w:ascii="Arial" w:cs="Arial" w:eastAsia="Arial" w:hAnsi="Arial"/>
          <w:sz w:val="22"/>
          <w:szCs w:val="22"/>
          <w:color w:val="auto"/>
        </w:rPr>
      </w:pPr>
    </w:p>
    <w:p>
      <w:pPr>
        <w:jc w:val="both"/>
        <w:ind w:firstLine="757"/>
        <w:spacing w:after="0" w:line="273" w:lineRule="auto"/>
        <w:tabs>
          <w:tab w:leader="none" w:pos="1319"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terms of members of all committees of the Board of Directors shall expire on the date of the next</w:t>
      </w:r>
      <w:r>
        <w:rPr>
          <w:rFonts w:ascii="Arial" w:cs="Arial" w:eastAsia="Arial" w:hAnsi="Arial"/>
          <w:sz w:val="19"/>
          <w:szCs w:val="19"/>
          <w:b w:val="1"/>
          <w:bCs w:val="1"/>
          <w:color w:val="auto"/>
        </w:rPr>
        <w:t xml:space="preserve"> </w:t>
      </w:r>
      <w:r>
        <w:rPr>
          <w:rFonts w:ascii="Arial" w:cs="Arial" w:eastAsia="Arial" w:hAnsi="Arial"/>
          <w:sz w:val="19"/>
          <w:szCs w:val="19"/>
          <w:color w:val="auto"/>
        </w:rPr>
        <w:t>annual meeting of the Board of Directors following their appointment; provided that they shall continue in office until their successors are appointed. Subject to the provisions of subsections (a) or (b) of this Section 3.9, the Board of Directors may at any time increase or decrease the number of members of a committee or terminate the existence of a committee; provided that no committee shall consist of less than one member. The membership of a committee member shall terminate on the date of such member’s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they constitute a quorum,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spacing w:after="0" w:line="250" w:lineRule="auto"/>
        <w:rPr>
          <w:sz w:val="20"/>
          <w:szCs w:val="20"/>
          <w:color w:val="auto"/>
        </w:rPr>
      </w:pPr>
      <w:r>
        <w:rPr>
          <w:rFonts w:ascii="Arial" w:cs="Arial" w:eastAsia="Arial" w:hAnsi="Arial"/>
          <w:sz w:val="22"/>
          <w:szCs w:val="22"/>
          <w:color w:val="auto"/>
        </w:rPr>
        <w:t>may unanimously appoint another member of the Board of Directors to act at the meeting in the place of any such absent or disqualified member.</w:t>
      </w:r>
    </w:p>
    <w:p>
      <w:pPr>
        <w:spacing w:after="0" w:line="169" w:lineRule="exact"/>
        <w:rPr>
          <w:sz w:val="20"/>
          <w:szCs w:val="20"/>
          <w:color w:val="auto"/>
        </w:rPr>
      </w:pPr>
    </w:p>
    <w:p>
      <w:pPr>
        <w:jc w:val="both"/>
        <w:ind w:firstLine="757"/>
        <w:spacing w:after="0" w:line="273" w:lineRule="auto"/>
        <w:tabs>
          <w:tab w:leader="none" w:pos="1311"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Unless the Board of Directors shall otherwise provide, regular meetings of the Executive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other committee appointed 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executive office of the Corporation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398"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3.10</w:t>
      </w:r>
      <w:r>
        <w:rPr>
          <w:sz w:val="20"/>
          <w:szCs w:val="20"/>
          <w:color w:val="auto"/>
        </w:rPr>
        <w:tab/>
      </w:r>
      <w:r>
        <w:rPr>
          <w:rFonts w:ascii="Arial" w:cs="Arial" w:eastAsia="Arial" w:hAnsi="Arial"/>
          <w:sz w:val="18"/>
          <w:szCs w:val="18"/>
          <w:b w:val="1"/>
          <w:bCs w:val="1"/>
          <w:color w:val="auto"/>
        </w:rPr>
        <w:t>Emergency Provisions.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the event of any emergency, disaster or catastrophe, as referred to in Section 110 of the Delaware General Corporate Law, or other similar emergency condition, as a result of which a quorum of the Board of Directors or a standing committee of the Board of Directors cannot readily be convened for action, any director or officer of the Corporation may call a meeting of the Board of Directors or any standing committee of the Board of Directors by any practical means. Notice of the time and place of the meeting shall be given by any available means of communication by the person calling the meeting to such of the directors as it may be feasible to reach. Such notice shall be given at such time in advance of the meeting as, in the judgment of the person calling the meeting, circumstances permit.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as a result of such an emergency, disaster or catastrophe, a quorum of the Board of Directors or a standing committee of the Board of Directors cannot readily be convened for action, the director or directors in attendance at the meeting shall constitute a quorum. To the extent necessary to constitute a quorum at any meeting of the Board of Directors during such emergency, the officers or other persons designated on a list to be approved by the Board of Directors before the emergency, all in such order of priority as provided in such list, shall be deemed directors for such meeting.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No officer, director or employee acting in accordance with this Section 3.10, with any other emergency bylaw provision, or pursuant to Section 110 of the Delaware General Corporate Law or any successor section, shall be liable except for willful misconduct.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color w:val="auto"/>
        </w:rPr>
        <w:t>Officers Designated.</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officers of the Corporation shall be a President, a Secretary and a Treasurer. The Board of Directors or the Chief Executive Officer or the President may also appoint a Chairperson of the Board, one or more Vice-Presidents, Assistant Secretaries, Assistant Treasurers, and such other officers and agents with such powers and duties as it or he shall deem necessary. The order of the seniority of the Vice-Presidents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color w:val="auto"/>
        </w:rPr>
        <w:t>Tenure and Duties of Officers.</w:t>
      </w:r>
    </w:p>
    <w:p>
      <w:pPr>
        <w:spacing w:after="0" w:line="206" w:lineRule="exact"/>
        <w:rPr>
          <w:sz w:val="20"/>
          <w:szCs w:val="20"/>
          <w:color w:val="auto"/>
        </w:rPr>
      </w:pPr>
    </w:p>
    <w:p>
      <w:pPr>
        <w:jc w:val="both"/>
        <w:ind w:firstLine="757"/>
        <w:spacing w:after="0" w:line="237" w:lineRule="auto"/>
        <w:tabs>
          <w:tab w:leader="none" w:pos="131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officers shall hold office at the pleasure of the Board of Directors and until their successors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81" w:lineRule="exact"/>
        <w:rPr>
          <w:rFonts w:ascii="Arial" w:cs="Arial" w:eastAsia="Arial" w:hAnsi="Arial"/>
          <w:sz w:val="22"/>
          <w:szCs w:val="22"/>
          <w:color w:val="auto"/>
        </w:rPr>
      </w:pPr>
    </w:p>
    <w:p>
      <w:pPr>
        <w:jc w:val="both"/>
        <w:ind w:firstLine="757"/>
        <w:spacing w:after="0" w:line="239" w:lineRule="auto"/>
        <w:tabs>
          <w:tab w:leader="none" w:pos="131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Duties of the Chairperson of the Board of Directors. </w:t>
      </w:r>
      <w:r>
        <w:rPr>
          <w:rFonts w:ascii="Arial" w:cs="Arial" w:eastAsia="Arial" w:hAnsi="Arial"/>
          <w:sz w:val="22"/>
          <w:szCs w:val="22"/>
          <w:color w:val="auto"/>
        </w:rPr>
        <w:t>The Chairperson of the Board of Directors (if there be</w:t>
      </w:r>
      <w:r>
        <w:rPr>
          <w:rFonts w:ascii="Arial" w:cs="Arial" w:eastAsia="Arial" w:hAnsi="Arial"/>
          <w:sz w:val="22"/>
          <w:szCs w:val="22"/>
          <w:b w:val="1"/>
          <w:bCs w:val="1"/>
          <w:color w:val="auto"/>
        </w:rPr>
        <w:t xml:space="preserve"> </w:t>
      </w:r>
      <w:r>
        <w:rPr>
          <w:rFonts w:ascii="Arial" w:cs="Arial" w:eastAsia="Arial" w:hAnsi="Arial"/>
          <w:sz w:val="22"/>
          <w:szCs w:val="22"/>
          <w:color w:val="auto"/>
        </w:rPr>
        <w:t>such an officer appointed) when present shall preside at all meetings of the stockholders and the Board of Directors. The Chairperson of the Board of Directors shall perform such other duties and have such other powers as the Board of Directors shall designate from time to time.</w:t>
      </w:r>
    </w:p>
    <w:p>
      <w:pPr>
        <w:spacing w:after="0" w:line="180" w:lineRule="exact"/>
        <w:rPr>
          <w:rFonts w:ascii="Arial" w:cs="Arial" w:eastAsia="Arial" w:hAnsi="Arial"/>
          <w:sz w:val="22"/>
          <w:szCs w:val="22"/>
          <w:color w:val="auto"/>
        </w:rPr>
      </w:pPr>
    </w:p>
    <w:p>
      <w:pPr>
        <w:jc w:val="both"/>
        <w:ind w:firstLine="757"/>
        <w:spacing w:after="0" w:line="249" w:lineRule="auto"/>
        <w:tabs>
          <w:tab w:leader="none" w:pos="1304"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 xml:space="preserve">Duties of Chief Executive Officer. </w:t>
      </w:r>
      <w:r>
        <w:rPr>
          <w:rFonts w:ascii="Arial" w:cs="Arial" w:eastAsia="Arial" w:hAnsi="Arial"/>
          <w:sz w:val="21"/>
          <w:szCs w:val="21"/>
          <w:color w:val="auto"/>
        </w:rPr>
        <w:t>The Chief Executive Officer shall preside at all meetings of the stockholders</w:t>
      </w:r>
      <w:r>
        <w:rPr>
          <w:rFonts w:ascii="Arial" w:cs="Arial" w:eastAsia="Arial" w:hAnsi="Arial"/>
          <w:sz w:val="21"/>
          <w:szCs w:val="21"/>
          <w:b w:val="1"/>
          <w:bCs w:val="1"/>
          <w:color w:val="auto"/>
        </w:rPr>
        <w:t xml:space="preserve"> </w:t>
      </w:r>
      <w:r>
        <w:rPr>
          <w:rFonts w:ascii="Arial" w:cs="Arial" w:eastAsia="Arial" w:hAnsi="Arial"/>
          <w:sz w:val="21"/>
          <w:szCs w:val="21"/>
          <w:color w:val="auto"/>
        </w:rPr>
        <w:t>and at all meetings of the Board of Directors (if a director), unless the Chairperson of the Board of Directors has been appointed and is present. The Chief Executive Officer shall be the chief executive officer of the Company and shall, subject to the control of the Board of Directors, have general supervision, direction and control of the business and officers of the Company. The Chief Executive Officer shall perform other duties commonly incident to the office and shall also perform such other duties and have such other powers as the Board of Directors shall designate from time to time.</w:t>
      </w:r>
    </w:p>
    <w:p>
      <w:pPr>
        <w:spacing w:after="0" w:line="170" w:lineRule="exact"/>
        <w:rPr>
          <w:rFonts w:ascii="Arial" w:cs="Arial" w:eastAsia="Arial" w:hAnsi="Arial"/>
          <w:sz w:val="21"/>
          <w:szCs w:val="21"/>
          <w:color w:val="auto"/>
        </w:rPr>
      </w:pPr>
    </w:p>
    <w:p>
      <w:pPr>
        <w:ind w:firstLine="757"/>
        <w:spacing w:after="0" w:line="256" w:lineRule="auto"/>
        <w:tabs>
          <w:tab w:leader="none" w:pos="1319"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Duties of President. </w:t>
      </w:r>
      <w:r>
        <w:rPr>
          <w:rFonts w:ascii="Arial" w:cs="Arial" w:eastAsia="Arial" w:hAnsi="Arial"/>
          <w:sz w:val="22"/>
          <w:szCs w:val="22"/>
          <w:color w:val="auto"/>
        </w:rPr>
        <w:t>The President shall preside at all meetings of the stockholders and at all meetings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unless the Chairperson of the Board of Directors has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spacing w:after="0" w:line="250" w:lineRule="auto"/>
        <w:rPr>
          <w:sz w:val="20"/>
          <w:szCs w:val="20"/>
          <w:color w:val="auto"/>
        </w:rPr>
      </w:pPr>
      <w:r>
        <w:rPr>
          <w:rFonts w:ascii="Arial" w:cs="Arial" w:eastAsia="Arial" w:hAnsi="Arial"/>
          <w:sz w:val="22"/>
          <w:szCs w:val="22"/>
          <w:color w:val="auto"/>
        </w:rPr>
        <w:t>been appointed and is present. The President shall perform such other duties and have such other powers as the Board of Directors shall designate from time to time.</w:t>
      </w:r>
    </w:p>
    <w:p>
      <w:pPr>
        <w:spacing w:after="0" w:line="169" w:lineRule="exact"/>
        <w:rPr>
          <w:sz w:val="20"/>
          <w:szCs w:val="20"/>
          <w:color w:val="auto"/>
        </w:rPr>
      </w:pPr>
    </w:p>
    <w:p>
      <w:pPr>
        <w:jc w:val="both"/>
        <w:ind w:firstLine="757"/>
        <w:spacing w:after="0" w:line="254" w:lineRule="auto"/>
        <w:tabs>
          <w:tab w:leader="none" w:pos="1316"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Duties of Vice-Presidents. </w:t>
      </w:r>
      <w:r>
        <w:rPr>
          <w:rFonts w:ascii="Arial" w:cs="Arial" w:eastAsia="Arial" w:hAnsi="Arial"/>
          <w:sz w:val="21"/>
          <w:szCs w:val="21"/>
          <w:color w:val="auto"/>
        </w:rPr>
        <w:t>The Vice-Presidents, in the order of their seniority or as otherwise provided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may assume and perform the duties of the President in the absence or disability of the President or whenever the office of the President is vacant. The Vice-President shall perform such other duties and have such other powers as the Board of Directors or the Chief Executive Officer or the President shall designate from time to time.</w:t>
      </w:r>
    </w:p>
    <w:p>
      <w:pPr>
        <w:spacing w:after="0" w:line="165" w:lineRule="exact"/>
        <w:rPr>
          <w:rFonts w:ascii="Arial" w:cs="Arial" w:eastAsia="Arial" w:hAnsi="Arial"/>
          <w:sz w:val="21"/>
          <w:szCs w:val="21"/>
          <w:color w:val="auto"/>
        </w:rPr>
      </w:pPr>
    </w:p>
    <w:p>
      <w:pPr>
        <w:jc w:val="both"/>
        <w:ind w:firstLine="757"/>
        <w:spacing w:after="0" w:line="276" w:lineRule="auto"/>
        <w:tabs>
          <w:tab w:leader="none" w:pos="1297"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Duties of Secretary. </w:t>
      </w:r>
      <w:r>
        <w:rPr>
          <w:rFonts w:ascii="Arial" w:cs="Arial" w:eastAsia="Arial" w:hAnsi="Arial"/>
          <w:sz w:val="19"/>
          <w:szCs w:val="19"/>
          <w:color w:val="auto"/>
        </w:rPr>
        <w:t>The Secretary shall attend all meetings of the stockholders and of the Board of Directors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committee thereof, and shall record 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Chief Executive Officer or the President may direct any Assistant Secretary to assume and perform the duties of the Secretary in the absence or disability of the Secretary, and each Assistant Secretary shall perform such other duties and have such other powers as the Board of Directors or the Chief Executive Officer or the President shall designate from time to time.</w:t>
      </w:r>
    </w:p>
    <w:p>
      <w:pPr>
        <w:spacing w:after="0" w:line="149" w:lineRule="exact"/>
        <w:rPr>
          <w:rFonts w:ascii="Arial" w:cs="Arial" w:eastAsia="Arial" w:hAnsi="Arial"/>
          <w:sz w:val="19"/>
          <w:szCs w:val="19"/>
          <w:color w:val="auto"/>
        </w:rPr>
      </w:pPr>
    </w:p>
    <w:p>
      <w:pPr>
        <w:jc w:val="both"/>
        <w:ind w:firstLine="757"/>
        <w:spacing w:after="0" w:line="275" w:lineRule="auto"/>
        <w:tabs>
          <w:tab w:leader="none" w:pos="1311"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Duties of Treasurer. </w:t>
      </w:r>
      <w:r>
        <w:rPr>
          <w:rFonts w:ascii="Arial" w:cs="Arial" w:eastAsia="Arial" w:hAnsi="Arial"/>
          <w:sz w:val="19"/>
          <w:szCs w:val="19"/>
          <w:color w:val="auto"/>
        </w:rPr>
        <w:t>The Treasurer shall keep or cause to be kept the books of account of the Corporation in a</w:t>
      </w:r>
      <w:r>
        <w:rPr>
          <w:rFonts w:ascii="Arial" w:cs="Arial" w:eastAsia="Arial" w:hAnsi="Arial"/>
          <w:sz w:val="19"/>
          <w:szCs w:val="19"/>
          <w:b w:val="1"/>
          <w:bCs w:val="1"/>
          <w:color w:val="auto"/>
        </w:rPr>
        <w:t xml:space="preserve"> </w:t>
      </w:r>
      <w:r>
        <w:rPr>
          <w:rFonts w:ascii="Arial" w:cs="Arial" w:eastAsia="Arial" w:hAnsi="Arial"/>
          <w:sz w:val="19"/>
          <w:szCs w:val="19"/>
          <w:color w:val="auto"/>
        </w:rPr>
        <w:t>thorough and proper manner, and shall render statements of the financial affairs of the Corporation in such form and as often as required by the Board of Directors or the Chief Executive Officer or the President. The Treasurer, subject to the order of the Board of Directors, shall have the custody of all funds and securities of the Corporation. The Treasurer shall perform all other duties commonly incident to the Treasurer’s office and shall perform such other duties and have such other powers as the Board of Directors or the Chief Executive Officer or the President shall designate from time to time. The Chief Executive Officer or the President may direct any Assistant Treasurer to assume and perform the duties of the Treasurer in the absence or disability of the Treasurer, and each Assistant Treasurer shall perform such other duties and have such other powers as the Board of Directors or the Chief Executive Officer or the President shall designate from time to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EXECUTION OF CORPORATE INSTRUMENTS,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OF SECURITIES OWNED BY THE CORPORATION</w:t>
      </w:r>
    </w:p>
    <w:p>
      <w:pPr>
        <w:spacing w:after="0" w:line="182"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color w:val="auto"/>
        </w:rPr>
        <w:t>Execution of Corporate Instruments.</w:t>
      </w:r>
    </w:p>
    <w:p>
      <w:pPr>
        <w:spacing w:after="0" w:line="212" w:lineRule="exact"/>
        <w:rPr>
          <w:sz w:val="20"/>
          <w:szCs w:val="20"/>
          <w:color w:val="auto"/>
        </w:rPr>
      </w:pPr>
    </w:p>
    <w:p>
      <w:pPr>
        <w:jc w:val="both"/>
        <w:ind w:firstLine="757"/>
        <w:spacing w:after="0" w:line="297" w:lineRule="auto"/>
        <w:tabs>
          <w:tab w:leader="none" w:pos="130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both"/>
        <w:ind w:firstLine="757"/>
        <w:spacing w:after="0" w:line="246" w:lineRule="auto"/>
        <w:tabs>
          <w:tab w:leader="none" w:pos="1301" w:val="left"/>
        </w:tabs>
        <w:numPr>
          <w:ilvl w:val="0"/>
          <w:numId w:val="33"/>
        </w:numPr>
        <w:rPr>
          <w:rFonts w:ascii="Arial" w:cs="Arial" w:eastAsia="Arial" w:hAnsi="Arial"/>
          <w:sz w:val="21"/>
          <w:szCs w:val="21"/>
          <w:color w:val="auto"/>
        </w:rPr>
      </w:pPr>
      <w:r>
        <w:rPr>
          <w:rFonts w:ascii="Arial" w:cs="Arial" w:eastAsia="Arial" w:hAnsi="Arial"/>
          <w:sz w:val="21"/>
          <w:szCs w:val="21"/>
          <w:color w:val="auto"/>
        </w:rPr>
        <w:t>Unless otherwise specifically determined by the Board of Directors or otherwise required by law, formal contracts of the Corporation, promissory notes, deeds of trust, mortgages and other evidences of indebtedness of the Corporation, other corporate instruments, and certificates of shares of stock owned by the Corporation, shall be executed, signed or endorsed by the Chairperson of the Board (if there be such an officer appointed) or by the Chief Executive Officer or the President; such documents may also be executed by any Vice-President and by the Secretary or Treasurer or any Assistant Secretary or Assistant Treasurer. All other instruments and documents requiring the corporate signature may be executed as aforesaid or in such other manner as may be directed by the Board of Directors.</w:t>
      </w:r>
    </w:p>
    <w:p>
      <w:pPr>
        <w:spacing w:after="0" w:line="184" w:lineRule="exact"/>
        <w:rPr>
          <w:rFonts w:ascii="Arial" w:cs="Arial" w:eastAsia="Arial" w:hAnsi="Arial"/>
          <w:sz w:val="21"/>
          <w:szCs w:val="21"/>
          <w:color w:val="auto"/>
        </w:rPr>
      </w:pPr>
    </w:p>
    <w:p>
      <w:pPr>
        <w:ind w:firstLine="757"/>
        <w:spacing w:after="0" w:line="328" w:lineRule="auto"/>
        <w:tabs>
          <w:tab w:leader="none" w:pos="1307"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04" w:lineRule="exact"/>
        <w:rPr>
          <w:rFonts w:ascii="Arial" w:cs="Arial" w:eastAsia="Arial" w:hAnsi="Arial"/>
          <w:sz w:val="19"/>
          <w:szCs w:val="19"/>
          <w:color w:val="auto"/>
        </w:rPr>
      </w:pPr>
    </w:p>
    <w:p>
      <w:pPr>
        <w:ind w:firstLine="757"/>
        <w:spacing w:after="0" w:line="250" w:lineRule="auto"/>
        <w:tabs>
          <w:tab w:leader="none" w:pos="1341"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Execution of any corporate instrument may be effected in such form, either manual, facsimile or electronic signature, as may be authorized by the Board of Directors.</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color w:val="auto"/>
        </w:rPr>
        <w:t>Voting of Securities Owned by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(if there be such an officer appointed), or by the Chief Executive Officer or the President, or by any Vice-President.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SHARES OF STOCK</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color w:val="auto"/>
        </w:rPr>
        <w:t>Form and Execution of Certificates.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Chairperson of the Board (if there be such an officer appointed), or by the Chief Executive Officer, President or any Vice-President and by the Treasurer or Assistant Treasurer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9"/>
          <w:szCs w:val="19"/>
          <w:color w:val="auto"/>
        </w:rPr>
        <w:t>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4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9"/>
          <w:szCs w:val="19"/>
          <w:b w:val="1"/>
          <w:bCs w:val="1"/>
          <w:color w:val="auto"/>
        </w:rPr>
        <w:t>Lost Certificates.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such owner’s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15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color w:val="auto"/>
        </w:rPr>
        <w:t>Transfers.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spacing w:after="0" w:line="12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b w:val="1"/>
          <w:bCs w:val="1"/>
          <w:color w:val="auto"/>
        </w:rPr>
        <w:t>Fixing Record Dates.</w:t>
      </w:r>
    </w:p>
    <w:p>
      <w:pPr>
        <w:spacing w:after="0" w:line="212" w:lineRule="exact"/>
        <w:rPr>
          <w:sz w:val="20"/>
          <w:szCs w:val="20"/>
          <w:color w:val="auto"/>
        </w:rPr>
      </w:pPr>
    </w:p>
    <w:p>
      <w:pPr>
        <w:jc w:val="both"/>
        <w:ind w:firstLine="757"/>
        <w:spacing w:after="0" w:line="245" w:lineRule="auto"/>
        <w:tabs>
          <w:tab w:leader="none" w:pos="1319"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84" w:lineRule="exact"/>
        <w:rPr>
          <w:rFonts w:ascii="Arial" w:cs="Arial" w:eastAsia="Arial" w:hAnsi="Arial"/>
          <w:sz w:val="21"/>
          <w:szCs w:val="21"/>
          <w:color w:val="auto"/>
        </w:rPr>
      </w:pPr>
    </w:p>
    <w:p>
      <w:pPr>
        <w:jc w:val="both"/>
        <w:ind w:firstLine="757"/>
        <w:spacing w:after="0"/>
        <w:tabs>
          <w:tab w:leader="none" w:pos="1307"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order that the Corporation may determine the stockholders entitled to consent to corporate action in writing or by electronic transmission without a meeting, the Board of Directors may fix a record date, which record date shall not precede the date upon which the resolution fixing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9"/>
          <w:szCs w:val="19"/>
          <w:color w:val="auto"/>
        </w:rPr>
        <w:t>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or by electronic transmission without a meeting, when no prior action by the Board of Directors is required by the Delaware General Corporation Law, shall be the first date on which a signed written consent or electronic transmission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provided that any such electronic transmission shall satisfy the requirements of Section 2.11(b) and, unless the Board of Directors otherwise provides by resolution, no such consent by electronic transmission shall be deemed to have been delivered until such consent is reproduced in paper form and until such paper form shall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or by electronic transmission without a meeting shall be at the close of business on the day on which the Board of Directors adopts the resolution taking such prior action.</w:t>
      </w:r>
    </w:p>
    <w:p>
      <w:pPr>
        <w:spacing w:after="0" w:line="200" w:lineRule="exact"/>
        <w:rPr>
          <w:sz w:val="20"/>
          <w:szCs w:val="20"/>
          <w:color w:val="auto"/>
        </w:rPr>
      </w:pPr>
    </w:p>
    <w:p>
      <w:pPr>
        <w:spacing w:after="0" w:line="203" w:lineRule="exact"/>
        <w:rPr>
          <w:sz w:val="20"/>
          <w:szCs w:val="20"/>
          <w:color w:val="auto"/>
        </w:rPr>
      </w:pPr>
    </w:p>
    <w:p>
      <w:pPr>
        <w:jc w:val="both"/>
        <w:ind w:firstLine="757"/>
        <w:spacing w:after="0" w:line="279" w:lineRule="auto"/>
        <w:tabs>
          <w:tab w:leader="none" w:pos="130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b w:val="1"/>
          <w:bCs w:val="1"/>
          <w:color w:val="auto"/>
        </w:rPr>
        <w:t>Registered Stockholders.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SECURITIES OF THE CORPORATION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All bonds, debentures and other corporate securities of the Corporation, other than stock certificates, may be signed by the Chairperson of the Board (if there be such an officer appointed), or the Chief Executive Officer, President or any Vice-President or such other person as may be authorized by the Board of Directors and the corporate seal impressed thereon or a facsimile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9"/>
          <w:szCs w:val="19"/>
          <w:color w:val="auto"/>
        </w:rPr>
        <w:t>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INDEMNIFICATION OF OFFICERS, DIRECTORS, EMPLOYEES AND AGENTS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color w:val="auto"/>
        </w:rPr>
        <w:t>Right to Indemnification.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Each person who was or is a party or is threatened to be made a party to or is involved (as a party, witness, or otherwise), in any threatened, pending, or completed action, suit, or proceeding, whether civil, criminal, administrative, or investigative (hereinafter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or a person of whom 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w:t>
      </w:r>
      <w:r>
        <w:rPr>
          <w:rFonts w:ascii="Arial" w:cs="Arial" w:eastAsia="Arial" w:hAnsi="Arial"/>
          <w:sz w:val="19"/>
          <w:szCs w:val="19"/>
          <w:b w:val="1"/>
          <w:bCs w:val="1"/>
          <w:color w:val="auto"/>
        </w:rPr>
        <w:t>Agent</w:t>
      </w:r>
      <w:r>
        <w:rPr>
          <w:rFonts w:ascii="Arial" w:cs="Arial" w:eastAsia="Arial" w:hAnsi="Arial"/>
          <w:sz w:val="19"/>
          <w:szCs w:val="19"/>
          <w:color w:val="auto"/>
        </w:rPr>
        <w: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w:t>
      </w:r>
      <w:r>
        <w:rPr>
          <w:rFonts w:ascii="Arial" w:cs="Arial" w:eastAsia="Arial" w:hAnsi="Arial"/>
          <w:sz w:val="19"/>
          <w:szCs w:val="19"/>
          <w:b w:val="1"/>
          <w:bCs w:val="1"/>
          <w:color w:val="auto"/>
        </w:rPr>
        <w:t>Expenses</w:t>
      </w:r>
      <w:r>
        <w:rPr>
          <w:rFonts w:ascii="Arial" w:cs="Arial" w:eastAsia="Arial" w:hAnsi="Arial"/>
          <w:sz w:val="19"/>
          <w:szCs w:val="19"/>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spacing w:after="0"/>
        <w:tabs>
          <w:tab w:leader="none" w:pos="148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b w:val="1"/>
          <w:bCs w:val="1"/>
          <w:color w:val="auto"/>
        </w:rPr>
        <w:t>Authority to Advance Expenses.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Expenses incurred by an officer or director (acting in their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15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color w:val="auto"/>
        </w:rPr>
        <w:t>Right of Claimant to Bring Suit.</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a claim under Section 8.1 or 8.2 of this Article is not paid in full by the Corporation within thirty (30)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15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8"/>
          <w:szCs w:val="18"/>
          <w:b w:val="1"/>
          <w:bCs w:val="1"/>
          <w:color w:val="auto"/>
        </w:rPr>
        <w:t>Provisions Nonexclusive.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tabs>
          <w:tab w:leader="none" w:pos="148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b w:val="1"/>
          <w:bCs w:val="1"/>
          <w:color w:val="auto"/>
        </w:rPr>
        <w:t>Authority to Insure.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18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color w:val="auto"/>
        </w:rPr>
        <w:t>Enforcement of Rights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Without the necessity of entering into an express contract, all rights provided under this Article shall be deemed to be contractual rights and be effective to the same extent and as if provided for in a contract between the Corporation and such Agent. Any rights granted by this Article to an Agent shall be enforceable by or on behalf of the person holding such right in any court of competent jurisdiction.</w:t>
      </w:r>
    </w:p>
    <w:p>
      <w:pPr>
        <w:spacing w:after="0" w:line="17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b w:val="1"/>
          <w:bCs w:val="1"/>
          <w:color w:val="auto"/>
        </w:rPr>
        <w:t>Survival of Rights.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rights provided by this Article shall continue as to a person who has ceased to be an Agent and shall inure to the benefit of the heirs, executors, and administrators of such a person.</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b w:val="1"/>
          <w:bCs w:val="1"/>
          <w:color w:val="auto"/>
        </w:rPr>
        <w:t>Settlement of Claims.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179"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8.9</w:t>
      </w:r>
      <w:r>
        <w:rPr>
          <w:sz w:val="20"/>
          <w:szCs w:val="20"/>
          <w:color w:val="auto"/>
        </w:rPr>
        <w:tab/>
      </w:r>
      <w:r>
        <w:rPr>
          <w:rFonts w:ascii="Arial" w:cs="Arial" w:eastAsia="Arial" w:hAnsi="Arial"/>
          <w:sz w:val="19"/>
          <w:szCs w:val="19"/>
          <w:b w:val="1"/>
          <w:bCs w:val="1"/>
          <w:color w:val="auto"/>
        </w:rPr>
        <w:t>Effect of Amendment.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amendment, repeal, or modification of this Article that adversely affects any rights provided in this Article to an Agent shall only be effective upon the prior written consent of such Agent.</w:t>
      </w:r>
    </w:p>
    <w:p>
      <w:pPr>
        <w:spacing w:after="0" w:line="169"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8.10</w:t>
      </w:r>
      <w:r>
        <w:rPr>
          <w:sz w:val="20"/>
          <w:szCs w:val="20"/>
          <w:color w:val="auto"/>
        </w:rPr>
        <w:tab/>
      </w:r>
      <w:r>
        <w:rPr>
          <w:rFonts w:ascii="Arial" w:cs="Arial" w:eastAsia="Arial" w:hAnsi="Arial"/>
          <w:sz w:val="19"/>
          <w:szCs w:val="19"/>
          <w:b w:val="1"/>
          <w:bCs w:val="1"/>
          <w:color w:val="auto"/>
        </w:rPr>
        <w:t>Primacy of Indemnification.</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Notwithstanding that an Agent may have certain rights to indemnification, advancement of expenses and/or insurance provided by other persons (collectively, the “</w:t>
      </w:r>
      <w:r>
        <w:rPr>
          <w:rFonts w:ascii="Arial" w:cs="Arial" w:eastAsia="Arial" w:hAnsi="Arial"/>
          <w:sz w:val="19"/>
          <w:szCs w:val="19"/>
          <w:b w:val="1"/>
          <w:bCs w:val="1"/>
          <w:color w:val="auto"/>
        </w:rPr>
        <w:t>Other Indemnitors</w:t>
      </w:r>
      <w:r>
        <w:rPr>
          <w:rFonts w:ascii="Arial" w:cs="Arial" w:eastAsia="Arial" w:hAnsi="Arial"/>
          <w:sz w:val="19"/>
          <w:szCs w:val="19"/>
          <w:color w:val="auto"/>
        </w:rPr>
        <w:t>”), the Corporation: (i) shall be the indemnitor of first resort (i.e., its obligations to an Agent are primary and any obligation of the Other Indemnitors to advance expenses or to provide indemnification for the same expenses or liabilities incurred by such Agent are secondary); and (ii) shall be required to advance the full amount of expenses incurred by an Agent and shall be liable for the full amount of all Expenses, without regard to any rights such Agent may have against any of the Other Indemnitors. No advancement or payment by the Other Indemnitors on behalf of an Agent with respect to any claim for which such Agent has sought indemnification from the Corporation shall affect the immediately preceding sentence, and the Other Indemnitors shall have a right of contribution and/or be subrogated to the extent of such advancement or payment to all of the rights of recovery of such Agent against the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spacing w:after="0"/>
        <w:tabs>
          <w:tab w:leader="none" w:pos="1920" w:val="left"/>
        </w:tabs>
        <w:rPr>
          <w:sz w:val="20"/>
          <w:szCs w:val="20"/>
          <w:color w:val="auto"/>
        </w:rPr>
      </w:pPr>
      <w:r>
        <w:rPr>
          <w:rFonts w:ascii="Arial" w:cs="Arial" w:eastAsia="Arial" w:hAnsi="Arial"/>
          <w:sz w:val="22"/>
          <w:szCs w:val="22"/>
          <w:b w:val="1"/>
          <w:bCs w:val="1"/>
          <w:color w:val="auto"/>
        </w:rPr>
        <w:t>Section 8.11</w:t>
      </w:r>
      <w:r>
        <w:rPr>
          <w:sz w:val="20"/>
          <w:szCs w:val="20"/>
          <w:color w:val="auto"/>
        </w:rPr>
        <w:tab/>
      </w:r>
      <w:r>
        <w:rPr>
          <w:rFonts w:ascii="Arial" w:cs="Arial" w:eastAsia="Arial" w:hAnsi="Arial"/>
          <w:sz w:val="19"/>
          <w:szCs w:val="19"/>
          <w:b w:val="1"/>
          <w:bCs w:val="1"/>
          <w:color w:val="auto"/>
        </w:rPr>
        <w:t>Subrogation.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event of payment under this Article, the Corporation shall be subrogated to the extent of such payment to all of the rights of recovery of the Agent (other than against the Other Indemnitors), who shall execute all papers required and shall do everything that may be necessary to secure such rights, including the execution of such documents necessary to enable the Corporation effectively to bring suit to enforce such rights.</w:t>
      </w:r>
    </w:p>
    <w:p>
      <w:pPr>
        <w:spacing w:after="0" w:line="179"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8.12</w:t>
      </w:r>
      <w:r>
        <w:rPr>
          <w:sz w:val="20"/>
          <w:szCs w:val="20"/>
          <w:color w:val="auto"/>
        </w:rPr>
        <w:tab/>
      </w:r>
      <w:r>
        <w:rPr>
          <w:rFonts w:ascii="Arial" w:cs="Arial" w:eastAsia="Arial" w:hAnsi="Arial"/>
          <w:sz w:val="19"/>
          <w:szCs w:val="19"/>
          <w:b w:val="1"/>
          <w:bCs w:val="1"/>
          <w:color w:val="auto"/>
        </w:rPr>
        <w:t>No Duplication of Payments.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Except as otherwise set forth in Section 8.10 above, 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163"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Section 8.13</w:t>
      </w:r>
      <w:r>
        <w:rPr>
          <w:sz w:val="20"/>
          <w:szCs w:val="20"/>
          <w:color w:val="auto"/>
        </w:rPr>
        <w:tab/>
      </w:r>
      <w:r>
        <w:rPr>
          <w:rFonts w:ascii="Arial" w:cs="Arial" w:eastAsia="Arial" w:hAnsi="Arial"/>
          <w:sz w:val="19"/>
          <w:szCs w:val="19"/>
          <w:b w:val="1"/>
          <w:bCs w:val="1"/>
          <w:color w:val="auto"/>
        </w:rPr>
        <w:t>Saving Clause.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this Article or any portion hereof shall be invalidated on any ground by any court of competent jurisdiction, then the Corporation shall nevertheless indemnify each Agent to the fullest extent not prohibited by any applicable portion of this Article that shall not have been invalidated, or by any other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Whenever, under any provisions of these Bylaws, notice is required to be given to any stockholder, the same shall be given either</w:t>
      </w:r>
    </w:p>
    <w:p>
      <w:pPr>
        <w:spacing w:after="0" w:line="43" w:lineRule="exact"/>
        <w:rPr>
          <w:sz w:val="20"/>
          <w:szCs w:val="20"/>
          <w:color w:val="auto"/>
        </w:rPr>
      </w:pPr>
    </w:p>
    <w:p>
      <w:pPr>
        <w:jc w:val="both"/>
        <w:ind w:firstLine="8"/>
        <w:spacing w:after="0" w:line="269" w:lineRule="auto"/>
        <w:tabs>
          <w:tab w:leader="none" w:pos="331"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writing, timely and duly deposited in the United States Mail, postage prepaid, and addressed to such stockholder’s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principal executive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9"/>
          <w:szCs w:val="19"/>
          <w:color w:val="auto"/>
        </w:rPr>
        <w:t>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Except as otherwise provided in Section 8.9 above, these Bylaws may be repealed, altered or amended or new Bylaws adopted at any meeting of the stockholders, either annual or special, by the affirmative vote of a majority of the stock entitled to vote at such meeting, unless a larger vote is required by these Bylaws or the Certificate of Incorporation. Except as otherwise provided in Section 8.9 above,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FOR CERTAIN ACTIONS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Except for (a) actions in which the Court of Chancery in the State of Delaware concludes that an indispensable party is not subject to the jurisdiction of the Delaware courts, and (b) actions in which a federal court has assumed exclusive jurisdiction of a proceeding, any derivative action brought by or on behalf of the Corporation, and any direct action brought by a stockholder against the Corporation or any of its directors or officers, alleging a violation of the Delaware General Corporation Law, the Corporation’s Certificate of Incorporation or Bylaws or breach of fiduciary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22"/>
          <w:szCs w:val="22"/>
          <w:color w:val="auto"/>
        </w:rPr>
        <w:t>duties or other violation of Delaware decisional law relating to the internal affairs of the Corporation, shall be brought in the Court of Chancery in the State of Delaware, which shall be the sole and exclusive forum for such proceedings; provided, however, that the Corporation may consent to an alternative forum for any such proceedings upon the approval of the Board of Directors of the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Fulgent Genetics,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40" w:hanging="479"/>
        <w:spacing w:after="0" w:line="263" w:lineRule="auto"/>
        <w:tabs>
          <w:tab w:leader="none" w:pos="13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160" w:hanging="479"/>
        <w:spacing w:after="0" w:line="342" w:lineRule="auto"/>
        <w:tabs>
          <w:tab w:leader="none" w:pos="1380" w:val="left"/>
        </w:tabs>
        <w:numPr>
          <w:ilvl w:val="2"/>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479"/>
        <w:spacing w:after="0" w:line="263" w:lineRule="auto"/>
        <w:tabs>
          <w:tab w:leader="none" w:pos="13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380" w:hanging="479"/>
        <w:spacing w:after="0" w:line="308" w:lineRule="auto"/>
        <w:tabs>
          <w:tab w:leader="none" w:pos="1380" w:val="left"/>
        </w:tabs>
        <w:numPr>
          <w:ilvl w:val="2"/>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60" w:hanging="479"/>
        <w:spacing w:after="0" w:line="277" w:lineRule="auto"/>
        <w:tabs>
          <w:tab w:leader="none" w:pos="13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720" w:val="left"/>
          <w:tab w:leader="none" w:pos="86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23495</wp:posOffset>
            </wp:positionV>
            <wp:extent cx="26403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Ming Hsieh</w:t>
      </w:r>
    </w:p>
    <w:p>
      <w:pPr>
        <w:spacing w:after="0" w:line="3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Fulgent Genetics,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160" w:hanging="479"/>
        <w:spacing w:after="0" w:line="342" w:lineRule="auto"/>
        <w:tabs>
          <w:tab w:leader="none" w:pos="13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479"/>
        <w:spacing w:after="0" w:line="263" w:lineRule="auto"/>
        <w:tabs>
          <w:tab w:leader="none" w:pos="13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380" w:hanging="479"/>
        <w:spacing w:after="0" w:line="308" w:lineRule="auto"/>
        <w:tabs>
          <w:tab w:leader="none" w:pos="1380" w:val="left"/>
        </w:tabs>
        <w:numPr>
          <w:ilvl w:val="2"/>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60" w:hanging="479"/>
        <w:spacing w:after="0" w:line="277" w:lineRule="auto"/>
        <w:tabs>
          <w:tab w:leader="none" w:pos="13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720" w:val="left"/>
          <w:tab w:leader="none" w:pos="87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23495</wp:posOffset>
            </wp:positionV>
            <wp:extent cx="26403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Paul Kim</w:t>
      </w:r>
    </w:p>
    <w:p>
      <w:pPr>
        <w:spacing w:after="0" w:line="3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connection with the Quarterly Report on Form 10-Q for the quarterly period ended June 30, 2023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7" w:lineRule="exact"/>
        <w:rPr>
          <w:sz w:val="20"/>
          <w:szCs w:val="20"/>
          <w:color w:val="auto"/>
        </w:rPr>
      </w:pPr>
    </w:p>
    <w:p>
      <w:pPr>
        <w:ind w:left="1380" w:hanging="839"/>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0" w:hanging="479"/>
        <w:spacing w:after="0" w:line="277"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Ming Hsieh</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20"/>
        <w:spacing w:after="0"/>
        <w:tabs>
          <w:tab w:leader="none" w:pos="5680" w:val="left"/>
          <w:tab w:leader="none" w:pos="818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Paul Kim</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6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Letter"/>
      <w:start w:val="1"/>
    </w:lvl>
    <w:lvl w:ilvl="1">
      <w:lvlJc w:val="left"/>
      <w:lvlText w:val="(%2)"/>
      <w:numFmt w:val="decimal"/>
      <w:start w:val="1"/>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4"/>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lowerLetter"/>
      <w:start w:val="1"/>
    </w:lvl>
    <w:lvl w:ilvl="1">
      <w:lvlJc w:val="left"/>
      <w:lvlText w:val="(%2)"/>
      <w:numFmt w:val="decimal"/>
      <w:start w:val="2"/>
    </w:lvl>
  </w:abstractNum>
  <w:abstractNum w:abstractNumId="15">
    <w:nsid w:val="836C40E"/>
    <w:multiLevelType w:val="hybridMultilevel"/>
    <w:lvl w:ilvl="0">
      <w:lvlJc w:val="left"/>
      <w:lvlText w:val="(%1)"/>
      <w:numFmt w:val="lowerLetter"/>
      <w:start w:val="4"/>
    </w:lvl>
    <w:lvl w:ilvl="1">
      <w:lvlJc w:val="left"/>
      <w:lvlText w:val="%2"/>
      <w:numFmt w:val="decimal"/>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decimal"/>
      <w:start w:val="1"/>
    </w:lvl>
    <w:lvl w:ilvl="1">
      <w:lvlJc w:val="left"/>
      <w:lvlText w:val="(%2)"/>
      <w:numFmt w:val="lowerLetter"/>
      <w:start w:val="4"/>
    </w:lvl>
  </w:abstractNum>
  <w:abstractNum w:abstractNumId="18">
    <w:nsid w:val="8138641"/>
    <w:multiLevelType w:val="hybridMultilevel"/>
    <w:lvl w:ilvl="0">
      <w:lvlJc w:val="left"/>
      <w:lvlText w:val="(%1)"/>
      <w:numFmt w:val="decimal"/>
      <w:start w:val="2"/>
    </w:lvl>
    <w:lvl w:ilvl="1">
      <w:lvlJc w:val="left"/>
      <w:lvlText w:val="%2"/>
      <w:numFmt w:val="lowerLetter"/>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lowerLetter"/>
      <w:start w:val="2"/>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4"/>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5"/>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7">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290" Type="http://schemas.openxmlformats.org/officeDocument/2006/relationships/hyperlink" Target="https://www.sec.gov/Archives/edgar/data/1674930/000119312516700733/d360404dex31.htm" TargetMode="External"/><Relationship Id="rId291" Type="http://schemas.openxmlformats.org/officeDocument/2006/relationships/hyperlink" Target="https://www.sec.gov/Archives/edgar/data/1674930/000119312516700733/d360404dex311.htm" TargetMode="External"/><Relationship Id="rId292" Type="http://schemas.openxmlformats.org/officeDocument/2006/relationships/hyperlink" Target="https://www.sec.gov/Archives/edgar/data/1674930/000156459017017670/flgt-ex312_342.htm" TargetMode="External"/><Relationship Id="rId293" Type="http://schemas.openxmlformats.org/officeDocument/2006/relationships/hyperlink" Target="https://www.sec.gov/Archives/edgar/data/1674930/000095017023023014/flgt-ex10_1.htm" TargetMode="External"/><Relationship Id="rId294" Type="http://schemas.openxmlformats.org/officeDocument/2006/relationships/hyperlink" Target="https://www.sec.gov/Archives/edgar/data/1674930/000095017023018079/flgt-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2023-08-04T06:20:15Z</dcterms:created>
  <dcterms:modified xsi:type="dcterms:W3CDTF">2023-08-04T06:20:15Z</dcterms:modified>
</cp:coreProperties>
</file>