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2865120</wp:posOffset>
            </wp:positionH>
            <wp:positionV relativeFrom="paragraph">
              <wp:posOffset>51435</wp:posOffset>
            </wp:positionV>
            <wp:extent cx="14370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7005" cy="698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2865120</wp:posOffset>
            </wp:positionH>
            <wp:positionV relativeFrom="paragraph">
              <wp:posOffset>67945</wp:posOffset>
            </wp:positionV>
            <wp:extent cx="14370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7005" cy="6985"/>
                    </a:xfrm>
                    <a:prstGeom prst="rect">
                      <a:avLst/>
                    </a:prstGeom>
                    <a:noFill/>
                  </pic:spPr>
                </pic:pic>
              </a:graphicData>
            </a:graphic>
          </wp:anchor>
        </w:drawing>
      </w:r>
    </w:p>
    <w:p>
      <w:pPr>
        <w:spacing w:after="0" w:line="13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6" w:lineRule="exact"/>
        <w:rPr>
          <w:sz w:val="24"/>
          <w:szCs w:val="24"/>
          <w:color w:val="auto"/>
        </w:rPr>
      </w:pPr>
    </w:p>
    <w:p>
      <w:pPr>
        <w:ind w:left="200" w:hanging="193"/>
        <w:spacing w:after="0"/>
        <w:tabs>
          <w:tab w:leader="none" w:pos="2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quarterly period ended September 30, 2023</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7" w:lineRule="exact"/>
        <w:rPr>
          <w:sz w:val="24"/>
          <w:szCs w:val="24"/>
          <w:color w:val="auto"/>
        </w:rPr>
      </w:pPr>
    </w:p>
    <w:p>
      <w:pPr>
        <w:ind w:left="200" w:hanging="193"/>
        <w:spacing w:after="0"/>
        <w:tabs>
          <w:tab w:leader="none" w:pos="2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52" w:lineRule="exact"/>
        <w:rPr>
          <w:sz w:val="24"/>
          <w:szCs w:val="24"/>
          <w:color w:val="auto"/>
        </w:rPr>
      </w:pPr>
    </w:p>
    <w:p>
      <w:pPr>
        <w:ind w:left="3560"/>
        <w:spacing w:after="0"/>
        <w:tabs>
          <w:tab w:leader="none" w:pos="65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3484245</wp:posOffset>
            </wp:positionH>
            <wp:positionV relativeFrom="paragraph">
              <wp:posOffset>-9525</wp:posOffset>
            </wp:positionV>
            <wp:extent cx="647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7700" cy="6985"/>
                    </a:xfrm>
                    <a:prstGeom prst="rect">
                      <a:avLst/>
                    </a:prstGeom>
                    <a:noFill/>
                  </pic:spPr>
                </pic:pic>
              </a:graphicData>
            </a:graphic>
          </wp:anchor>
        </w:drawing>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2865120</wp:posOffset>
            </wp:positionH>
            <wp:positionV relativeFrom="paragraph">
              <wp:posOffset>59690</wp:posOffset>
            </wp:positionV>
            <wp:extent cx="14370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7005" cy="698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FULGENT GENETICS,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2865120</wp:posOffset>
            </wp:positionH>
            <wp:positionV relativeFrom="paragraph">
              <wp:posOffset>56515</wp:posOffset>
            </wp:positionV>
            <wp:extent cx="14370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7005" cy="6985"/>
                    </a:xfrm>
                    <a:prstGeom prst="rect">
                      <a:avLst/>
                    </a:prstGeom>
                    <a:noFill/>
                  </pic:spPr>
                </pic:pic>
              </a:graphicData>
            </a:graphic>
          </wp:anchor>
        </w:drawing>
      </w:r>
    </w:p>
    <w:p>
      <w:pPr>
        <w:spacing w:after="0" w:line="141"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900" w:type="dxa"/>
            <w:vAlign w:val="bottom"/>
            <w:gridSpan w:val="2"/>
          </w:tcPr>
          <w:p>
            <w:pPr>
              <w:jc w:val="center"/>
              <w:ind w:left="1694"/>
              <w:spacing w:after="0"/>
              <w:rPr>
                <w:sz w:val="20"/>
                <w:szCs w:val="20"/>
                <w:color w:val="auto"/>
              </w:rPr>
            </w:pPr>
            <w:r>
              <w:rPr>
                <w:rFonts w:ascii="Arial" w:cs="Arial" w:eastAsia="Arial" w:hAnsi="Arial"/>
                <w:sz w:val="15"/>
                <w:szCs w:val="15"/>
                <w:b w:val="1"/>
                <w:bCs w:val="1"/>
                <w:color w:val="auto"/>
                <w:w w:val="87"/>
              </w:rPr>
              <w:t>Delaware</w:t>
            </w:r>
          </w:p>
        </w:tc>
        <w:tc>
          <w:tcPr>
            <w:tcW w:w="6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580" w:type="dxa"/>
            <w:vAlign w:val="bottom"/>
          </w:tcPr>
          <w:p>
            <w:pPr>
              <w:jc w:val="right"/>
              <w:ind w:right="2395"/>
              <w:spacing w:after="0"/>
              <w:rPr>
                <w:sz w:val="20"/>
                <w:szCs w:val="20"/>
                <w:color w:val="auto"/>
              </w:rPr>
            </w:pPr>
            <w:r>
              <w:rPr>
                <w:rFonts w:ascii="Arial" w:cs="Arial" w:eastAsia="Arial" w:hAnsi="Arial"/>
                <w:sz w:val="15"/>
                <w:szCs w:val="15"/>
                <w:b w:val="1"/>
                <w:bCs w:val="1"/>
                <w:color w:val="auto"/>
              </w:rPr>
              <w:t>81-2621304</w:t>
            </w:r>
          </w:p>
        </w:tc>
        <w:tc>
          <w:tcPr>
            <w:tcW w:w="0" w:type="dxa"/>
            <w:vAlign w:val="bottom"/>
          </w:tcPr>
          <w:p>
            <w:pPr>
              <w:spacing w:after="0"/>
              <w:rPr>
                <w:sz w:val="1"/>
                <w:szCs w:val="1"/>
                <w:color w:val="auto"/>
              </w:rPr>
            </w:pPr>
          </w:p>
        </w:tc>
      </w:tr>
      <w:tr>
        <w:trPr>
          <w:trHeight w:val="124"/>
        </w:trPr>
        <w:tc>
          <w:tcPr>
            <w:tcW w:w="3900" w:type="dxa"/>
            <w:vAlign w:val="bottom"/>
            <w:gridSpan w:val="2"/>
          </w:tcPr>
          <w:p>
            <w:pPr>
              <w:jc w:val="center"/>
              <w:ind w:left="1694"/>
              <w:spacing w:after="0" w:line="125" w:lineRule="exact"/>
              <w:rPr>
                <w:sz w:val="20"/>
                <w:szCs w:val="20"/>
                <w:color w:val="auto"/>
              </w:rPr>
            </w:pPr>
            <w:r>
              <w:rPr>
                <w:rFonts w:ascii="Arial" w:cs="Arial" w:eastAsia="Arial" w:hAnsi="Arial"/>
                <w:sz w:val="12"/>
                <w:szCs w:val="12"/>
                <w:b w:val="1"/>
                <w:bCs w:val="1"/>
                <w:color w:val="auto"/>
                <w:w w:val="88"/>
              </w:rPr>
              <w:t>(State or other jurisdiction of</w:t>
            </w:r>
          </w:p>
        </w:tc>
        <w:tc>
          <w:tcPr>
            <w:tcW w:w="6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580" w:type="dxa"/>
            <w:vAlign w:val="bottom"/>
          </w:tcPr>
          <w:p>
            <w:pPr>
              <w:jc w:val="center"/>
              <w:ind w:right="1995"/>
              <w:spacing w:after="0" w:line="125" w:lineRule="exact"/>
              <w:rPr>
                <w:sz w:val="20"/>
                <w:szCs w:val="20"/>
                <w:color w:val="auto"/>
              </w:rPr>
            </w:pPr>
            <w:r>
              <w:rPr>
                <w:rFonts w:ascii="Arial" w:cs="Arial" w:eastAsia="Arial" w:hAnsi="Arial"/>
                <w:sz w:val="12"/>
                <w:szCs w:val="12"/>
                <w:b w:val="1"/>
                <w:bCs w:val="1"/>
                <w:color w:val="auto"/>
                <w:w w:val="91"/>
              </w:rPr>
              <w:t>(I.R.S. Employer</w:t>
            </w:r>
          </w:p>
        </w:tc>
        <w:tc>
          <w:tcPr>
            <w:tcW w:w="0" w:type="dxa"/>
            <w:vAlign w:val="bottom"/>
          </w:tcPr>
          <w:p>
            <w:pPr>
              <w:spacing w:after="0"/>
              <w:rPr>
                <w:sz w:val="1"/>
                <w:szCs w:val="1"/>
                <w:color w:val="auto"/>
              </w:rPr>
            </w:pPr>
          </w:p>
        </w:tc>
      </w:tr>
      <w:tr>
        <w:trPr>
          <w:trHeight w:val="150"/>
        </w:trPr>
        <w:tc>
          <w:tcPr>
            <w:tcW w:w="3900" w:type="dxa"/>
            <w:vAlign w:val="bottom"/>
            <w:gridSpan w:val="2"/>
          </w:tcPr>
          <w:p>
            <w:pPr>
              <w:jc w:val="center"/>
              <w:ind w:left="1674"/>
              <w:spacing w:after="0"/>
              <w:rPr>
                <w:sz w:val="20"/>
                <w:szCs w:val="20"/>
                <w:color w:val="auto"/>
              </w:rPr>
            </w:pPr>
            <w:r>
              <w:rPr>
                <w:rFonts w:ascii="Arial" w:cs="Arial" w:eastAsia="Arial" w:hAnsi="Arial"/>
                <w:sz w:val="12"/>
                <w:szCs w:val="12"/>
                <w:b w:val="1"/>
                <w:bCs w:val="1"/>
                <w:color w:val="auto"/>
                <w:w w:val="88"/>
              </w:rPr>
              <w:t>incorporation or organization)</w:t>
            </w:r>
          </w:p>
        </w:tc>
        <w:tc>
          <w:tcPr>
            <w:tcW w:w="6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80" w:type="dxa"/>
            <w:vAlign w:val="bottom"/>
          </w:tcPr>
          <w:p>
            <w:pPr>
              <w:jc w:val="center"/>
              <w:ind w:right="1995"/>
              <w:spacing w:after="0"/>
              <w:rPr>
                <w:sz w:val="20"/>
                <w:szCs w:val="20"/>
                <w:color w:val="auto"/>
              </w:rPr>
            </w:pPr>
            <w:r>
              <w:rPr>
                <w:rFonts w:ascii="Arial" w:cs="Arial" w:eastAsia="Arial" w:hAnsi="Arial"/>
                <w:sz w:val="12"/>
                <w:szCs w:val="12"/>
                <w:b w:val="1"/>
                <w:bCs w:val="1"/>
                <w:color w:val="auto"/>
                <w:w w:val="90"/>
              </w:rPr>
              <w:t>Identification No.)</w:t>
            </w:r>
          </w:p>
        </w:tc>
        <w:tc>
          <w:tcPr>
            <w:tcW w:w="0" w:type="dxa"/>
            <w:vAlign w:val="bottom"/>
          </w:tcPr>
          <w:p>
            <w:pPr>
              <w:spacing w:after="0"/>
              <w:rPr>
                <w:sz w:val="1"/>
                <w:szCs w:val="1"/>
                <w:color w:val="auto"/>
              </w:rPr>
            </w:pPr>
          </w:p>
        </w:tc>
      </w:tr>
      <w:tr>
        <w:trPr>
          <w:trHeight w:val="257"/>
        </w:trPr>
        <w:tc>
          <w:tcPr>
            <w:tcW w:w="3900" w:type="dxa"/>
            <w:vAlign w:val="bottom"/>
            <w:gridSpan w:val="2"/>
          </w:tcPr>
          <w:p>
            <w:pPr>
              <w:jc w:val="center"/>
              <w:ind w:left="1694"/>
              <w:spacing w:after="0"/>
              <w:rPr>
                <w:sz w:val="20"/>
                <w:szCs w:val="20"/>
                <w:color w:val="auto"/>
              </w:rPr>
            </w:pPr>
            <w:r>
              <w:rPr>
                <w:rFonts w:ascii="Arial" w:cs="Arial" w:eastAsia="Arial" w:hAnsi="Arial"/>
                <w:sz w:val="15"/>
                <w:szCs w:val="15"/>
                <w:b w:val="1"/>
                <w:bCs w:val="1"/>
                <w:color w:val="auto"/>
                <w:w w:val="88"/>
              </w:rPr>
              <w:t>4399 Santa Anita Avenue</w:t>
            </w:r>
          </w:p>
        </w:tc>
        <w:tc>
          <w:tcPr>
            <w:tcW w:w="6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900" w:type="dxa"/>
            <w:vAlign w:val="bottom"/>
            <w:gridSpan w:val="2"/>
          </w:tcPr>
          <w:p>
            <w:pPr>
              <w:jc w:val="center"/>
              <w:ind w:left="1694"/>
              <w:spacing w:after="0"/>
              <w:rPr>
                <w:sz w:val="20"/>
                <w:szCs w:val="20"/>
                <w:color w:val="auto"/>
              </w:rPr>
            </w:pPr>
            <w:r>
              <w:rPr>
                <w:rFonts w:ascii="Arial" w:cs="Arial" w:eastAsia="Arial" w:hAnsi="Arial"/>
                <w:sz w:val="15"/>
                <w:szCs w:val="15"/>
                <w:b w:val="1"/>
                <w:bCs w:val="1"/>
                <w:color w:val="auto"/>
                <w:w w:val="92"/>
              </w:rPr>
              <w:t>El Monte, CA</w:t>
            </w:r>
          </w:p>
        </w:tc>
        <w:tc>
          <w:tcPr>
            <w:tcW w:w="6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580" w:type="dxa"/>
            <w:vAlign w:val="bottom"/>
          </w:tcPr>
          <w:p>
            <w:pPr>
              <w:jc w:val="right"/>
              <w:ind w:right="2575"/>
              <w:spacing w:after="0"/>
              <w:rPr>
                <w:sz w:val="20"/>
                <w:szCs w:val="20"/>
                <w:color w:val="auto"/>
              </w:rPr>
            </w:pPr>
            <w:r>
              <w:rPr>
                <w:rFonts w:ascii="Arial" w:cs="Arial" w:eastAsia="Arial" w:hAnsi="Arial"/>
                <w:sz w:val="15"/>
                <w:szCs w:val="15"/>
                <w:b w:val="1"/>
                <w:bCs w:val="1"/>
                <w:color w:val="auto"/>
              </w:rPr>
              <w:t>91731</w:t>
            </w:r>
          </w:p>
        </w:tc>
        <w:tc>
          <w:tcPr>
            <w:tcW w:w="0" w:type="dxa"/>
            <w:vAlign w:val="bottom"/>
          </w:tcPr>
          <w:p>
            <w:pPr>
              <w:spacing w:after="0"/>
              <w:rPr>
                <w:sz w:val="1"/>
                <w:szCs w:val="1"/>
                <w:color w:val="auto"/>
              </w:rPr>
            </w:pPr>
          </w:p>
        </w:tc>
      </w:tr>
      <w:tr>
        <w:trPr>
          <w:trHeight w:val="154"/>
        </w:trPr>
        <w:tc>
          <w:tcPr>
            <w:tcW w:w="3900" w:type="dxa"/>
            <w:vAlign w:val="bottom"/>
            <w:gridSpan w:val="2"/>
          </w:tcPr>
          <w:p>
            <w:pPr>
              <w:jc w:val="center"/>
              <w:ind w:left="1694"/>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6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80" w:type="dxa"/>
            <w:vAlign w:val="bottom"/>
          </w:tcPr>
          <w:p>
            <w:pPr>
              <w:jc w:val="center"/>
              <w:ind w:right="197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40"/>
        </w:trPr>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2"/>
          </w:tcPr>
          <w:p>
            <w:pPr>
              <w:jc w:val="center"/>
              <w:ind w:left="527"/>
              <w:spacing w:after="0"/>
              <w:rPr>
                <w:sz w:val="20"/>
                <w:szCs w:val="20"/>
                <w:color w:val="auto"/>
              </w:rPr>
            </w:pPr>
            <w:r>
              <w:rPr>
                <w:rFonts w:ascii="Arial" w:cs="Arial" w:eastAsia="Arial" w:hAnsi="Arial"/>
                <w:sz w:val="15"/>
                <w:szCs w:val="15"/>
                <w:b w:val="1"/>
                <w:bCs w:val="1"/>
                <w:color w:val="auto"/>
                <w:w w:val="89"/>
              </w:rPr>
              <w:t>(626) 350-0537</w:t>
            </w:r>
          </w:p>
        </w:tc>
        <w:tc>
          <w:tcPr>
            <w:tcW w:w="9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0" w:type="dxa"/>
            <w:vAlign w:val="bottom"/>
            <w:gridSpan w:val="3"/>
          </w:tcPr>
          <w:p>
            <w:pPr>
              <w:jc w:val="center"/>
              <w:ind w:right="320"/>
              <w:spacing w:after="0"/>
              <w:rPr>
                <w:sz w:val="20"/>
                <w:szCs w:val="20"/>
                <w:color w:val="auto"/>
              </w:rPr>
            </w:pPr>
            <w:r>
              <w:rPr>
                <w:rFonts w:ascii="Arial" w:cs="Arial" w:eastAsia="Arial" w:hAnsi="Arial"/>
                <w:sz w:val="15"/>
                <w:szCs w:val="15"/>
                <w:b w:val="1"/>
                <w:bCs w:val="1"/>
                <w:color w:val="auto"/>
                <w:w w:val="86"/>
              </w:rPr>
              <w:t>(Registrant’s telephone number, including area code)</w:t>
            </w: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3900" w:type="dxa"/>
            <w:vAlign w:val="bottom"/>
            <w:gridSpan w:val="2"/>
            <w:vMerge w:val="restart"/>
          </w:tcPr>
          <w:p>
            <w:pPr>
              <w:ind w:left="520"/>
              <w:spacing w:after="0"/>
              <w:rPr>
                <w:sz w:val="20"/>
                <w:szCs w:val="20"/>
                <w:color w:val="auto"/>
              </w:rPr>
            </w:pPr>
            <w:r>
              <w:rPr>
                <w:rFonts w:ascii="Arial" w:cs="Arial" w:eastAsia="Arial" w:hAnsi="Arial"/>
                <w:sz w:val="13"/>
                <w:szCs w:val="13"/>
                <w:color w:val="auto"/>
              </w:rPr>
              <w:t>Securities registered pursuant to Section 12(b) of the Act:</w:t>
            </w:r>
          </w:p>
        </w:tc>
        <w:tc>
          <w:tcPr>
            <w:tcW w:w="620" w:type="dxa"/>
            <w:vAlign w:val="bottom"/>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3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90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36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180" w:type="dxa"/>
            <w:vAlign w:val="bottom"/>
            <w:tcBorders>
              <w:bottom w:val="single" w:sz="8" w:color="auto"/>
            </w:tcBorders>
            <w:gridSpan w:val="2"/>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Title of each class</w:t>
            </w: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180" w:type="dxa"/>
            <w:vAlign w:val="bottom"/>
            <w:tcBorders>
              <w:bottom w:val="single" w:sz="8" w:color="auto"/>
              <w:right w:val="single" w:sz="8" w:color="auto"/>
            </w:tcBorders>
            <w:gridSpan w:val="2"/>
          </w:tcPr>
          <w:p>
            <w:pPr>
              <w:jc w:val="center"/>
              <w:ind w:right="920"/>
              <w:spacing w:after="0"/>
              <w:rPr>
                <w:sz w:val="20"/>
                <w:szCs w:val="20"/>
                <w:color w:val="auto"/>
              </w:rPr>
            </w:pPr>
            <w:r>
              <w:rPr>
                <w:rFonts w:ascii="Arial" w:cs="Arial" w:eastAsia="Arial" w:hAnsi="Arial"/>
                <w:sz w:val="13"/>
                <w:szCs w:val="13"/>
                <w:b w:val="1"/>
                <w:bCs w:val="1"/>
                <w:color w:val="auto"/>
                <w:w w:val="92"/>
              </w:rPr>
              <w:t>Trading Symbol(s)</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c>
          <w:tcPr>
            <w:tcW w:w="0" w:type="dxa"/>
            <w:vAlign w:val="bottom"/>
          </w:tcPr>
          <w:p>
            <w:pPr>
              <w:spacing w:after="0"/>
              <w:rPr>
                <w:sz w:val="1"/>
                <w:szCs w:val="1"/>
                <w:color w:val="auto"/>
              </w:rPr>
            </w:pPr>
          </w:p>
        </w:tc>
      </w:tr>
      <w:tr>
        <w:trPr>
          <w:trHeight w:val="148"/>
        </w:trPr>
        <w:tc>
          <w:tcPr>
            <w:tcW w:w="362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3"/>
                <w:szCs w:val="13"/>
                <w:color w:val="auto"/>
                <w:w w:val="90"/>
              </w:rPr>
              <w:t>Common Stock, par value $0.0001 per share</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80" w:type="dxa"/>
            <w:vAlign w:val="bottom"/>
            <w:tcBorders>
              <w:right w:val="single" w:sz="8" w:color="auto"/>
            </w:tcBorders>
            <w:gridSpan w:val="2"/>
          </w:tcPr>
          <w:p>
            <w:pPr>
              <w:jc w:val="center"/>
              <w:ind w:right="920"/>
              <w:spacing w:after="0" w:line="149" w:lineRule="exact"/>
              <w:rPr>
                <w:sz w:val="20"/>
                <w:szCs w:val="20"/>
                <w:color w:val="auto"/>
              </w:rPr>
            </w:pPr>
            <w:r>
              <w:rPr>
                <w:rFonts w:ascii="Arial" w:cs="Arial" w:eastAsia="Arial" w:hAnsi="Arial"/>
                <w:sz w:val="13"/>
                <w:szCs w:val="13"/>
                <w:color w:val="auto"/>
              </w:rPr>
              <w:t>FLGT</w:t>
            </w:r>
          </w:p>
        </w:tc>
        <w:tc>
          <w:tcPr>
            <w:tcW w:w="3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w w:val="90"/>
              </w:rPr>
              <w:t>The Nasdaq Stock Market</w:t>
            </w:r>
          </w:p>
        </w:tc>
        <w:tc>
          <w:tcPr>
            <w:tcW w:w="0" w:type="dxa"/>
            <w:vAlign w:val="bottom"/>
          </w:tcPr>
          <w:p>
            <w:pPr>
              <w:spacing w:after="0"/>
              <w:rPr>
                <w:sz w:val="1"/>
                <w:szCs w:val="1"/>
                <w:color w:val="auto"/>
              </w:rPr>
            </w:pPr>
          </w:p>
        </w:tc>
      </w:tr>
      <w:tr>
        <w:trPr>
          <w:trHeight w:val="173"/>
        </w:trPr>
        <w:tc>
          <w:tcPr>
            <w:tcW w:w="3620" w:type="dxa"/>
            <w:vAlign w:val="bottom"/>
            <w:tcBorders>
              <w:left w:val="single" w:sz="8" w:color="auto"/>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(Nasdaq Global Market)</w:t>
            </w:r>
          </w:p>
        </w:tc>
        <w:tc>
          <w:tcPr>
            <w:tcW w:w="0" w:type="dxa"/>
            <w:vAlign w:val="bottom"/>
          </w:tcPr>
          <w:p>
            <w:pPr>
              <w:spacing w:after="0"/>
              <w:rPr>
                <w:sz w:val="1"/>
                <w:szCs w:val="1"/>
                <w:color w:val="auto"/>
              </w:rPr>
            </w:pPr>
          </w:p>
        </w:tc>
      </w:tr>
    </w:tbl>
    <w:p>
      <w:pPr>
        <w:spacing w:after="0" w:line="114" w:lineRule="exact"/>
        <w:rPr>
          <w:sz w:val="24"/>
          <w:szCs w:val="24"/>
          <w:color w:val="auto"/>
        </w:rPr>
      </w:pPr>
    </w:p>
    <w:p>
      <w:pPr>
        <w:ind w:right="40" w:firstLine="511"/>
        <w:spacing w:after="0" w:line="17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3" w:lineRule="exact"/>
        <w:rPr>
          <w:sz w:val="24"/>
          <w:szCs w:val="24"/>
          <w:color w:val="auto"/>
        </w:rPr>
      </w:pPr>
    </w:p>
    <w:p>
      <w:pPr>
        <w:ind w:right="180" w:firstLine="511"/>
        <w:spacing w:after="0" w:line="17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4" w:lineRule="exact"/>
        <w:rPr>
          <w:sz w:val="24"/>
          <w:szCs w:val="24"/>
          <w:color w:val="auto"/>
        </w:rPr>
      </w:pPr>
    </w:p>
    <w:p>
      <w:pPr>
        <w:ind w:right="180" w:firstLine="511"/>
        <w:spacing w:after="0" w:line="28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17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0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6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9"/>
        </w:trPr>
        <w:tc>
          <w:tcPr>
            <w:tcW w:w="1720" w:type="dxa"/>
            <w:vAlign w:val="bottom"/>
          </w:tcPr>
          <w:p>
            <w:pPr>
              <w:spacing w:after="0"/>
              <w:rPr>
                <w:sz w:val="20"/>
                <w:szCs w:val="20"/>
                <w:color w:val="auto"/>
              </w:rPr>
            </w:pPr>
            <w:r>
              <w:rPr>
                <w:rFonts w:ascii="Arial" w:cs="Arial" w:eastAsia="Arial" w:hAnsi="Arial"/>
                <w:sz w:val="13"/>
                <w:szCs w:val="13"/>
                <w:color w:val="auto"/>
              </w:rPr>
              <w:t>Non-accelerated filer</w:t>
            </w:r>
          </w:p>
        </w:tc>
        <w:tc>
          <w:tcPr>
            <w:tcW w:w="380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6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0"/>
        </w:trPr>
        <w:tc>
          <w:tcPr>
            <w:tcW w:w="17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060" w:type="dxa"/>
            <w:vAlign w:val="bottom"/>
          </w:tcPr>
          <w:p>
            <w:pPr>
              <w:ind w:left="3140"/>
              <w:spacing w:after="0"/>
              <w:rPr>
                <w:sz w:val="20"/>
                <w:szCs w:val="20"/>
                <w:color w:val="auto"/>
              </w:rPr>
            </w:pPr>
            <w:r>
              <w:rPr>
                <w:rFonts w:ascii="Arial" w:cs="Arial" w:eastAsia="Arial" w:hAnsi="Arial"/>
                <w:sz w:val="13"/>
                <w:szCs w:val="13"/>
                <w:color w:val="auto"/>
              </w:rPr>
              <w:t>Emerging growth company</w:t>
            </w:r>
          </w:p>
        </w:tc>
        <w:tc>
          <w:tcPr>
            <w:tcW w:w="6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86" w:lineRule="exact"/>
        <w:rPr>
          <w:sz w:val="24"/>
          <w:szCs w:val="24"/>
          <w:color w:val="auto"/>
        </w:rPr>
      </w:pPr>
    </w:p>
    <w:p>
      <w:pPr>
        <w:ind w:firstLine="511"/>
        <w:spacing w:after="0" w:line="17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520" w:right="3820"/>
        <w:spacing w:after="0" w:line="208"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1, 2023, there were 29,633,057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71583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583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718375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60" w:type="dxa"/>
            <w:vAlign w:val="bottom"/>
            <w:gridSpan w:val="3"/>
          </w:tcPr>
          <w:p>
            <w:pPr>
              <w:ind w:left="840"/>
              <w:spacing w:after="0"/>
              <w:rPr>
                <w:sz w:val="20"/>
                <w:szCs w:val="20"/>
                <w:color w:val="auto"/>
              </w:rPr>
            </w:pPr>
            <w:r>
              <w:rPr>
                <w:rFonts w:ascii="Arial" w:cs="Arial" w:eastAsia="Arial" w:hAnsi="Arial"/>
                <w:sz w:val="17"/>
                <w:szCs w:val="17"/>
                <w:b w:val="1"/>
                <w:bCs w:val="1"/>
                <w:color w:val="auto"/>
              </w:rPr>
              <w:t>Table of Contents</w:t>
            </w:r>
          </w:p>
        </w:tc>
        <w:tc>
          <w:tcPr>
            <w:tcW w:w="2580" w:type="dxa"/>
            <w:vAlign w:val="bottom"/>
          </w:tcPr>
          <w:p>
            <w:pPr>
              <w:spacing w:after="0"/>
              <w:rPr>
                <w:sz w:val="19"/>
                <w:szCs w:val="19"/>
                <w:color w:val="auto"/>
              </w:rPr>
            </w:pPr>
          </w:p>
        </w:tc>
      </w:tr>
      <w:tr>
        <w:trPr>
          <w:trHeight w:val="375"/>
        </w:trPr>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80" w:type="dxa"/>
            <w:vAlign w:val="bottom"/>
          </w:tcPr>
          <w:p>
            <w:pPr>
              <w:ind w:left="2280"/>
              <w:spacing w:after="0"/>
              <w:rPr>
                <w:sz w:val="20"/>
                <w:szCs w:val="20"/>
                <w:color w:val="auto"/>
              </w:rPr>
            </w:pPr>
            <w:r>
              <w:rPr>
                <w:rFonts w:ascii="Arial" w:cs="Arial" w:eastAsia="Arial" w:hAnsi="Arial"/>
                <w:sz w:val="15"/>
                <w:szCs w:val="15"/>
                <w:b w:val="1"/>
                <w:bCs w:val="1"/>
                <w:color w:val="auto"/>
                <w:w w:val="77"/>
              </w:rPr>
              <w:t>Page</w:t>
            </w:r>
          </w:p>
        </w:tc>
      </w:tr>
      <w:tr>
        <w:trPr>
          <w:trHeight w:val="240"/>
        </w:trPr>
        <w:tc>
          <w:tcPr>
            <w:tcW w:w="8580" w:type="dxa"/>
            <w:vAlign w:val="bottom"/>
            <w:gridSpan w:val="18"/>
          </w:tcPr>
          <w:p>
            <w:pPr>
              <w:spacing w:after="0"/>
              <w:rPr>
                <w:sz w:val="20"/>
                <w:szCs w:val="20"/>
                <w:color w:val="auto"/>
              </w:rPr>
            </w:pPr>
            <w:r>
              <w:rPr>
                <w:rFonts w:ascii="Arial" w:cs="Arial" w:eastAsia="Arial" w:hAnsi="Arial"/>
                <w:sz w:val="15"/>
                <w:szCs w:val="15"/>
                <w:b w:val="1"/>
                <w:bCs w:val="1"/>
                <w:color w:val="0000FF"/>
              </w:rPr>
              <w:t>PART I—FINANCIAL INFORMATION</w:t>
            </w:r>
          </w:p>
        </w:tc>
        <w:tc>
          <w:tcPr>
            <w:tcW w:w="2580" w:type="dxa"/>
            <w:vAlign w:val="bottom"/>
          </w:tcPr>
          <w:p>
            <w:pPr>
              <w:jc w:val="center"/>
              <w:ind w:left="2227"/>
              <w:spacing w:after="0"/>
              <w:rPr>
                <w:sz w:val="20"/>
                <w:szCs w:val="20"/>
                <w:color w:val="auto"/>
              </w:rPr>
            </w:pPr>
            <w:r>
              <w:rPr>
                <w:rFonts w:ascii="Arial" w:cs="Arial" w:eastAsia="Arial" w:hAnsi="Arial"/>
                <w:sz w:val="15"/>
                <w:szCs w:val="15"/>
                <w:color w:val="auto"/>
                <w:w w:val="95"/>
              </w:rPr>
              <w:t>1</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Item 1. Financial Statements (Unaudited)</w:t>
            </w:r>
          </w:p>
        </w:tc>
        <w:tc>
          <w:tcPr>
            <w:tcW w:w="2580" w:type="dxa"/>
            <w:vAlign w:val="bottom"/>
          </w:tcPr>
          <w:p>
            <w:pPr>
              <w:jc w:val="center"/>
              <w:ind w:left="2227"/>
              <w:spacing w:after="0"/>
              <w:rPr>
                <w:sz w:val="20"/>
                <w:szCs w:val="20"/>
                <w:color w:val="auto"/>
              </w:rPr>
            </w:pPr>
            <w:r>
              <w:rPr>
                <w:rFonts w:ascii="Arial" w:cs="Arial" w:eastAsia="Arial" w:hAnsi="Arial"/>
                <w:sz w:val="15"/>
                <w:szCs w:val="15"/>
                <w:color w:val="auto"/>
                <w:w w:val="95"/>
              </w:rPr>
              <w:t>1</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Condensed Consolidated Balance Sheets</w:t>
            </w:r>
          </w:p>
        </w:tc>
        <w:tc>
          <w:tcPr>
            <w:tcW w:w="2580" w:type="dxa"/>
            <w:vAlign w:val="bottom"/>
          </w:tcPr>
          <w:p>
            <w:pPr>
              <w:jc w:val="center"/>
              <w:ind w:left="2227"/>
              <w:spacing w:after="0"/>
              <w:rPr>
                <w:sz w:val="20"/>
                <w:szCs w:val="20"/>
                <w:color w:val="auto"/>
              </w:rPr>
            </w:pPr>
            <w:r>
              <w:rPr>
                <w:rFonts w:ascii="Arial" w:cs="Arial" w:eastAsia="Arial" w:hAnsi="Arial"/>
                <w:sz w:val="15"/>
                <w:szCs w:val="15"/>
                <w:color w:val="auto"/>
                <w:w w:val="95"/>
              </w:rPr>
              <w:t>1</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Condensed Consolidated Statements of Operations</w:t>
            </w:r>
          </w:p>
        </w:tc>
        <w:tc>
          <w:tcPr>
            <w:tcW w:w="2580" w:type="dxa"/>
            <w:vAlign w:val="bottom"/>
          </w:tcPr>
          <w:p>
            <w:pPr>
              <w:jc w:val="center"/>
              <w:ind w:left="2227"/>
              <w:spacing w:after="0"/>
              <w:rPr>
                <w:sz w:val="20"/>
                <w:szCs w:val="20"/>
                <w:color w:val="auto"/>
              </w:rPr>
            </w:pPr>
            <w:r>
              <w:rPr>
                <w:rFonts w:ascii="Arial" w:cs="Arial" w:eastAsia="Arial" w:hAnsi="Arial"/>
                <w:sz w:val="15"/>
                <w:szCs w:val="15"/>
                <w:color w:val="auto"/>
                <w:w w:val="95"/>
              </w:rPr>
              <w:t>2</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Condensed Consolidated Statements of Comprehensive Income (Loss)</w:t>
            </w:r>
          </w:p>
        </w:tc>
        <w:tc>
          <w:tcPr>
            <w:tcW w:w="2580" w:type="dxa"/>
            <w:vAlign w:val="bottom"/>
          </w:tcPr>
          <w:p>
            <w:pPr>
              <w:jc w:val="center"/>
              <w:ind w:left="2227"/>
              <w:spacing w:after="0"/>
              <w:rPr>
                <w:sz w:val="20"/>
                <w:szCs w:val="20"/>
                <w:color w:val="auto"/>
              </w:rPr>
            </w:pPr>
            <w:r>
              <w:rPr>
                <w:rFonts w:ascii="Arial" w:cs="Arial" w:eastAsia="Arial" w:hAnsi="Arial"/>
                <w:sz w:val="15"/>
                <w:szCs w:val="15"/>
                <w:color w:val="auto"/>
                <w:w w:val="95"/>
              </w:rPr>
              <w:t>3</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Condensed Consolidated Statements of Stockholders’ Equity</w:t>
            </w:r>
          </w:p>
        </w:tc>
        <w:tc>
          <w:tcPr>
            <w:tcW w:w="2580" w:type="dxa"/>
            <w:vAlign w:val="bottom"/>
          </w:tcPr>
          <w:p>
            <w:pPr>
              <w:jc w:val="center"/>
              <w:ind w:left="2227"/>
              <w:spacing w:after="0"/>
              <w:rPr>
                <w:sz w:val="20"/>
                <w:szCs w:val="20"/>
                <w:color w:val="auto"/>
              </w:rPr>
            </w:pPr>
            <w:r>
              <w:rPr>
                <w:rFonts w:ascii="Arial" w:cs="Arial" w:eastAsia="Arial" w:hAnsi="Arial"/>
                <w:sz w:val="15"/>
                <w:szCs w:val="15"/>
                <w:color w:val="auto"/>
                <w:w w:val="95"/>
              </w:rPr>
              <w:t>4</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Condensed Consolidated Statements of Cash Flows</w:t>
            </w:r>
          </w:p>
        </w:tc>
        <w:tc>
          <w:tcPr>
            <w:tcW w:w="2580" w:type="dxa"/>
            <w:vAlign w:val="bottom"/>
          </w:tcPr>
          <w:p>
            <w:pPr>
              <w:jc w:val="center"/>
              <w:ind w:left="2227"/>
              <w:spacing w:after="0"/>
              <w:rPr>
                <w:sz w:val="20"/>
                <w:szCs w:val="20"/>
                <w:color w:val="auto"/>
              </w:rPr>
            </w:pPr>
            <w:r>
              <w:rPr>
                <w:rFonts w:ascii="Arial" w:cs="Arial" w:eastAsia="Arial" w:hAnsi="Arial"/>
                <w:sz w:val="15"/>
                <w:szCs w:val="15"/>
                <w:color w:val="auto"/>
                <w:w w:val="95"/>
              </w:rPr>
              <w:t>6</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Notes to the Condensed Consolidated Financial Statements</w:t>
            </w:r>
          </w:p>
        </w:tc>
        <w:tc>
          <w:tcPr>
            <w:tcW w:w="2580" w:type="dxa"/>
            <w:vAlign w:val="bottom"/>
          </w:tcPr>
          <w:p>
            <w:pPr>
              <w:jc w:val="center"/>
              <w:ind w:left="2227"/>
              <w:spacing w:after="0"/>
              <w:rPr>
                <w:sz w:val="20"/>
                <w:szCs w:val="20"/>
                <w:color w:val="auto"/>
              </w:rPr>
            </w:pPr>
            <w:r>
              <w:rPr>
                <w:rFonts w:ascii="Arial" w:cs="Arial" w:eastAsia="Arial" w:hAnsi="Arial"/>
                <w:sz w:val="15"/>
                <w:szCs w:val="15"/>
                <w:color w:val="auto"/>
                <w:w w:val="95"/>
              </w:rPr>
              <w:t>7</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Item 2. Management’s Discussion and Analysis of Financial Condition and Results of Operations</w:t>
            </w:r>
          </w:p>
        </w:tc>
        <w:tc>
          <w:tcPr>
            <w:tcW w:w="2580" w:type="dxa"/>
            <w:vAlign w:val="bottom"/>
          </w:tcPr>
          <w:p>
            <w:pPr>
              <w:jc w:val="center"/>
              <w:ind w:left="2207"/>
              <w:spacing w:after="0"/>
              <w:rPr>
                <w:sz w:val="20"/>
                <w:szCs w:val="20"/>
                <w:color w:val="auto"/>
              </w:rPr>
            </w:pPr>
            <w:r>
              <w:rPr>
                <w:rFonts w:ascii="Arial" w:cs="Arial" w:eastAsia="Arial" w:hAnsi="Arial"/>
                <w:sz w:val="15"/>
                <w:szCs w:val="15"/>
                <w:color w:val="auto"/>
                <w:w w:val="83"/>
              </w:rPr>
              <w:t>20</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tcBorders>
              <w:left w:val="single" w:sz="8" w:color="0000FF"/>
            </w:tcBorders>
            <w:gridSpan w:val="7"/>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Item 3. Quantitative and Qualitative Disclosures About Market Risk</w:t>
            </w:r>
          </w:p>
        </w:tc>
        <w:tc>
          <w:tcPr>
            <w:tcW w:w="2580" w:type="dxa"/>
            <w:vAlign w:val="bottom"/>
          </w:tcPr>
          <w:p>
            <w:pPr>
              <w:jc w:val="center"/>
              <w:ind w:left="2207"/>
              <w:spacing w:after="0"/>
              <w:rPr>
                <w:sz w:val="20"/>
                <w:szCs w:val="20"/>
                <w:color w:val="auto"/>
              </w:rPr>
            </w:pPr>
            <w:r>
              <w:rPr>
                <w:rFonts w:ascii="Arial" w:cs="Arial" w:eastAsia="Arial" w:hAnsi="Arial"/>
                <w:sz w:val="15"/>
                <w:szCs w:val="15"/>
                <w:color w:val="auto"/>
                <w:w w:val="83"/>
              </w:rPr>
              <w:t>26</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tcBorders>
              <w:left w:val="single" w:sz="8" w:color="0000FF"/>
            </w:tcBorders>
            <w:gridSpan w:val="7"/>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Item 4. Controls and Procedures</w:t>
            </w:r>
          </w:p>
        </w:tc>
        <w:tc>
          <w:tcPr>
            <w:tcW w:w="2580" w:type="dxa"/>
            <w:vAlign w:val="bottom"/>
          </w:tcPr>
          <w:p>
            <w:pPr>
              <w:jc w:val="center"/>
              <w:ind w:left="2207"/>
              <w:spacing w:after="0"/>
              <w:rPr>
                <w:sz w:val="20"/>
                <w:szCs w:val="20"/>
                <w:color w:val="auto"/>
              </w:rPr>
            </w:pPr>
            <w:r>
              <w:rPr>
                <w:rFonts w:ascii="Arial" w:cs="Arial" w:eastAsia="Arial" w:hAnsi="Arial"/>
                <w:sz w:val="15"/>
                <w:szCs w:val="15"/>
                <w:color w:val="auto"/>
                <w:w w:val="83"/>
              </w:rPr>
              <w:t>26</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b w:val="1"/>
                <w:bCs w:val="1"/>
                <w:color w:val="0000FF"/>
              </w:rPr>
              <w:t>PART II—OTHER INFORMATION</w:t>
            </w:r>
          </w:p>
        </w:tc>
        <w:tc>
          <w:tcPr>
            <w:tcW w:w="2580" w:type="dxa"/>
            <w:vAlign w:val="bottom"/>
          </w:tcPr>
          <w:p>
            <w:pPr>
              <w:jc w:val="center"/>
              <w:ind w:left="2207"/>
              <w:spacing w:after="0"/>
              <w:rPr>
                <w:sz w:val="20"/>
                <w:szCs w:val="20"/>
                <w:color w:val="auto"/>
              </w:rPr>
            </w:pPr>
            <w:r>
              <w:rPr>
                <w:rFonts w:ascii="Arial" w:cs="Arial" w:eastAsia="Arial" w:hAnsi="Arial"/>
                <w:sz w:val="15"/>
                <w:szCs w:val="15"/>
                <w:color w:val="auto"/>
                <w:w w:val="83"/>
              </w:rPr>
              <w:t>28</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Item 1. Legal Proceedings</w:t>
            </w:r>
          </w:p>
        </w:tc>
        <w:tc>
          <w:tcPr>
            <w:tcW w:w="2580" w:type="dxa"/>
            <w:vAlign w:val="bottom"/>
          </w:tcPr>
          <w:p>
            <w:pPr>
              <w:jc w:val="center"/>
              <w:ind w:left="2207"/>
              <w:spacing w:after="0"/>
              <w:rPr>
                <w:sz w:val="20"/>
                <w:szCs w:val="20"/>
                <w:color w:val="auto"/>
              </w:rPr>
            </w:pPr>
            <w:r>
              <w:rPr>
                <w:rFonts w:ascii="Arial" w:cs="Arial" w:eastAsia="Arial" w:hAnsi="Arial"/>
                <w:sz w:val="15"/>
                <w:szCs w:val="15"/>
                <w:color w:val="auto"/>
                <w:w w:val="83"/>
              </w:rPr>
              <w:t>28</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720" w:type="dxa"/>
            <w:vAlign w:val="bottom"/>
            <w:tcBorders>
              <w:left w:val="single" w:sz="8" w:color="0000FF"/>
            </w:tcBorders>
            <w:gridSpan w:val="1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Item 1A. Risk Factors</w:t>
            </w:r>
          </w:p>
        </w:tc>
        <w:tc>
          <w:tcPr>
            <w:tcW w:w="2580" w:type="dxa"/>
            <w:vAlign w:val="bottom"/>
          </w:tcPr>
          <w:p>
            <w:pPr>
              <w:jc w:val="center"/>
              <w:ind w:left="2207"/>
              <w:spacing w:after="0"/>
              <w:rPr>
                <w:sz w:val="20"/>
                <w:szCs w:val="20"/>
                <w:color w:val="auto"/>
              </w:rPr>
            </w:pPr>
            <w:r>
              <w:rPr>
                <w:rFonts w:ascii="Arial" w:cs="Arial" w:eastAsia="Arial" w:hAnsi="Arial"/>
                <w:sz w:val="15"/>
                <w:szCs w:val="15"/>
                <w:color w:val="auto"/>
                <w:w w:val="83"/>
              </w:rPr>
              <w:t>28</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20" w:type="dxa"/>
            <w:vAlign w:val="bottom"/>
            <w:gridSpan w:val="1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Item 2. Unregistered Sales of Equity Securities, Use of Proceeds, and Issuer Purchases of Equity Securities</w:t>
            </w:r>
          </w:p>
        </w:tc>
        <w:tc>
          <w:tcPr>
            <w:tcW w:w="2580" w:type="dxa"/>
            <w:vAlign w:val="bottom"/>
          </w:tcPr>
          <w:p>
            <w:pPr>
              <w:jc w:val="center"/>
              <w:ind w:left="2207"/>
              <w:spacing w:after="0"/>
              <w:rPr>
                <w:sz w:val="20"/>
                <w:szCs w:val="20"/>
                <w:color w:val="auto"/>
              </w:rPr>
            </w:pPr>
            <w:r>
              <w:rPr>
                <w:rFonts w:ascii="Arial" w:cs="Arial" w:eastAsia="Arial" w:hAnsi="Arial"/>
                <w:sz w:val="15"/>
                <w:szCs w:val="15"/>
                <w:color w:val="auto"/>
                <w:w w:val="83"/>
              </w:rPr>
              <w:t>28</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720" w:type="dxa"/>
            <w:vAlign w:val="bottom"/>
            <w:tcBorders>
              <w:left w:val="single" w:sz="8" w:color="0000FF"/>
            </w:tcBorders>
            <w:gridSpan w:val="12"/>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Item 5. Other Information</w:t>
            </w:r>
          </w:p>
        </w:tc>
        <w:tc>
          <w:tcPr>
            <w:tcW w:w="2580" w:type="dxa"/>
            <w:vAlign w:val="bottom"/>
          </w:tcPr>
          <w:p>
            <w:pPr>
              <w:jc w:val="center"/>
              <w:ind w:left="2207"/>
              <w:spacing w:after="0"/>
              <w:rPr>
                <w:sz w:val="20"/>
                <w:szCs w:val="20"/>
                <w:color w:val="auto"/>
              </w:rPr>
            </w:pPr>
            <w:r>
              <w:rPr>
                <w:rFonts w:ascii="Arial" w:cs="Arial" w:eastAsia="Arial" w:hAnsi="Arial"/>
                <w:sz w:val="15"/>
                <w:szCs w:val="15"/>
                <w:color w:val="auto"/>
                <w:w w:val="83"/>
              </w:rPr>
              <w:t>28</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60" w:type="dxa"/>
            <w:vAlign w:val="bottom"/>
            <w:gridSpan w:val="1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Item 6. Exhibits</w:t>
            </w:r>
          </w:p>
        </w:tc>
        <w:tc>
          <w:tcPr>
            <w:tcW w:w="2580" w:type="dxa"/>
            <w:vAlign w:val="bottom"/>
          </w:tcPr>
          <w:p>
            <w:pPr>
              <w:jc w:val="center"/>
              <w:ind w:left="2207"/>
              <w:spacing w:after="0"/>
              <w:rPr>
                <w:sz w:val="20"/>
                <w:szCs w:val="20"/>
                <w:color w:val="auto"/>
              </w:rPr>
            </w:pPr>
            <w:r>
              <w:rPr>
                <w:rFonts w:ascii="Arial" w:cs="Arial" w:eastAsia="Arial" w:hAnsi="Arial"/>
                <w:sz w:val="15"/>
                <w:szCs w:val="15"/>
                <w:color w:val="auto"/>
                <w:w w:val="83"/>
              </w:rPr>
              <w:t>29</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40" w:type="dxa"/>
            <w:vAlign w:val="bottom"/>
            <w:gridSpan w:val="15"/>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Exhibit Index</w:t>
            </w:r>
          </w:p>
        </w:tc>
        <w:tc>
          <w:tcPr>
            <w:tcW w:w="2580" w:type="dxa"/>
            <w:vAlign w:val="bottom"/>
          </w:tcPr>
          <w:p>
            <w:pPr>
              <w:jc w:val="center"/>
              <w:ind w:left="2207"/>
              <w:spacing w:after="0"/>
              <w:rPr>
                <w:sz w:val="20"/>
                <w:szCs w:val="20"/>
                <w:color w:val="auto"/>
              </w:rPr>
            </w:pPr>
            <w:r>
              <w:rPr>
                <w:rFonts w:ascii="Arial" w:cs="Arial" w:eastAsia="Arial" w:hAnsi="Arial"/>
                <w:sz w:val="15"/>
                <w:szCs w:val="15"/>
                <w:color w:val="auto"/>
                <w:w w:val="83"/>
              </w:rPr>
              <w:t>30</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780" w:type="dxa"/>
            <w:vAlign w:val="bottom"/>
            <w:gridSpan w:val="16"/>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3"/>
        </w:trPr>
        <w:tc>
          <w:tcPr>
            <w:tcW w:w="8580" w:type="dxa"/>
            <w:vAlign w:val="bottom"/>
            <w:gridSpan w:val="18"/>
          </w:tcPr>
          <w:p>
            <w:pPr>
              <w:spacing w:after="0"/>
              <w:rPr>
                <w:sz w:val="20"/>
                <w:szCs w:val="20"/>
                <w:color w:val="auto"/>
              </w:rPr>
            </w:pPr>
            <w:r>
              <w:rPr>
                <w:rFonts w:ascii="Arial" w:cs="Arial" w:eastAsia="Arial" w:hAnsi="Arial"/>
                <w:sz w:val="15"/>
                <w:szCs w:val="15"/>
                <w:color w:val="0000FF"/>
              </w:rPr>
              <w:t>Signatures</w:t>
            </w:r>
          </w:p>
        </w:tc>
        <w:tc>
          <w:tcPr>
            <w:tcW w:w="2580" w:type="dxa"/>
            <w:vAlign w:val="bottom"/>
          </w:tcPr>
          <w:p>
            <w:pPr>
              <w:jc w:val="center"/>
              <w:ind w:left="2207"/>
              <w:spacing w:after="0"/>
              <w:rPr>
                <w:sz w:val="20"/>
                <w:szCs w:val="20"/>
                <w:color w:val="auto"/>
              </w:rPr>
            </w:pPr>
            <w:r>
              <w:rPr>
                <w:rFonts w:ascii="Arial" w:cs="Arial" w:eastAsia="Arial" w:hAnsi="Arial"/>
                <w:sz w:val="15"/>
                <w:szCs w:val="15"/>
                <w:color w:val="auto"/>
                <w:w w:val="83"/>
              </w:rPr>
              <w:t>31</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51435</wp:posOffset>
            </wp:positionV>
            <wp:extent cx="718375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160"/>
          </w:cols>
          <w:pgMar w:left="320" w:top="292"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PART I—FINANCIAL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FULGENT GENETICS,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par value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12"/>
                <w:szCs w:val="12"/>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December 31,</w:t>
            </w:r>
          </w:p>
        </w:tc>
      </w:tr>
      <w:tr>
        <w:trPr>
          <w:trHeight w:val="177"/>
        </w:trPr>
        <w:tc>
          <w:tcPr>
            <w:tcW w:w="77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2"/>
                <w:szCs w:val="12"/>
                <w:b w:val="1"/>
                <w:bCs w:val="1"/>
                <w:color w:val="auto"/>
              </w:rPr>
              <w:t>2023</w:t>
            </w:r>
          </w:p>
        </w:tc>
        <w:tc>
          <w:tcPr>
            <w:tcW w:w="3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5"/>
                <w:szCs w:val="15"/>
                <w:color w:val="auto"/>
              </w:rPr>
            </w:pPr>
          </w:p>
        </w:tc>
      </w:tr>
      <w:tr>
        <w:trPr>
          <w:trHeight w:val="188"/>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Assets</w:t>
            </w: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1"/>
        </w:trPr>
        <w:tc>
          <w:tcPr>
            <w:tcW w:w="77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77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84,076</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79,506</w:t>
            </w:r>
          </w:p>
        </w:tc>
        <w:tc>
          <w:tcPr>
            <w:tcW w:w="100" w:type="dxa"/>
            <w:vAlign w:val="bottom"/>
            <w:shd w:val="clear" w:color="auto" w:fill="CFF0FC"/>
          </w:tcPr>
          <w:p>
            <w:pPr>
              <w:spacing w:after="0"/>
              <w:rPr>
                <w:sz w:val="17"/>
                <w:szCs w:val="17"/>
                <w:color w:val="auto"/>
              </w:rPr>
            </w:pPr>
          </w:p>
        </w:tc>
      </w:tr>
      <w:tr>
        <w:trPr>
          <w:trHeight w:val="191"/>
        </w:trPr>
        <w:tc>
          <w:tcPr>
            <w:tcW w:w="7700" w:type="dxa"/>
            <w:vAlign w:val="bottom"/>
          </w:tcPr>
          <w:p>
            <w:pPr>
              <w:ind w:left="160"/>
              <w:spacing w:after="0"/>
              <w:rPr>
                <w:sz w:val="20"/>
                <w:szCs w:val="20"/>
                <w:color w:val="auto"/>
              </w:rPr>
            </w:pPr>
            <w:r>
              <w:rPr>
                <w:rFonts w:ascii="Arial" w:cs="Arial" w:eastAsia="Arial" w:hAnsi="Arial"/>
                <w:sz w:val="15"/>
                <w:szCs w:val="15"/>
                <w:color w:val="auto"/>
              </w:rPr>
              <w:t>Marketable securities</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383,726</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446,729</w:t>
            </w:r>
          </w:p>
        </w:tc>
        <w:tc>
          <w:tcPr>
            <w:tcW w:w="100" w:type="dxa"/>
            <w:vAlign w:val="bottom"/>
          </w:tcPr>
          <w:p>
            <w:pPr>
              <w:spacing w:after="0"/>
              <w:rPr>
                <w:sz w:val="16"/>
                <w:szCs w:val="16"/>
                <w:color w:val="auto"/>
              </w:rPr>
            </w:pPr>
          </w:p>
        </w:tc>
      </w:tr>
      <w:tr>
        <w:trPr>
          <w:trHeight w:val="202"/>
        </w:trPr>
        <w:tc>
          <w:tcPr>
            <w:tcW w:w="77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Trade accounts receivable, net of allowance for credit losses of $29,091 and $41,205</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49,277</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52,749</w:t>
            </w:r>
          </w:p>
        </w:tc>
        <w:tc>
          <w:tcPr>
            <w:tcW w:w="100" w:type="dxa"/>
            <w:vAlign w:val="bottom"/>
            <w:shd w:val="clear" w:color="auto" w:fill="CFF0FC"/>
          </w:tcPr>
          <w:p>
            <w:pPr>
              <w:spacing w:after="0"/>
              <w:rPr>
                <w:sz w:val="17"/>
                <w:szCs w:val="17"/>
                <w:color w:val="auto"/>
              </w:rPr>
            </w:pPr>
          </w:p>
        </w:tc>
      </w:tr>
      <w:tr>
        <w:trPr>
          <w:trHeight w:val="191"/>
        </w:trPr>
        <w:tc>
          <w:tcPr>
            <w:tcW w:w="7700" w:type="dxa"/>
            <w:vAlign w:val="bottom"/>
          </w:tcPr>
          <w:p>
            <w:pPr>
              <w:ind w:left="160"/>
              <w:spacing w:after="0"/>
              <w:rPr>
                <w:sz w:val="20"/>
                <w:szCs w:val="20"/>
                <w:color w:val="auto"/>
              </w:rPr>
            </w:pPr>
            <w:r>
              <w:rPr>
                <w:rFonts w:ascii="Arial" w:cs="Arial" w:eastAsia="Arial" w:hAnsi="Arial"/>
                <w:sz w:val="15"/>
                <w:szCs w:val="15"/>
                <w:color w:val="auto"/>
              </w:rPr>
              <w:t>Other current assets</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32,776</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48,889</w:t>
            </w:r>
          </w:p>
        </w:tc>
        <w:tc>
          <w:tcPr>
            <w:tcW w:w="100" w:type="dxa"/>
            <w:vAlign w:val="bottom"/>
          </w:tcPr>
          <w:p>
            <w:pPr>
              <w:spacing w:after="0"/>
              <w:rPr>
                <w:sz w:val="16"/>
                <w:szCs w:val="16"/>
                <w:color w:val="auto"/>
              </w:rPr>
            </w:pPr>
          </w:p>
        </w:tc>
      </w:tr>
      <w:tr>
        <w:trPr>
          <w:trHeight w:val="193"/>
        </w:trPr>
        <w:tc>
          <w:tcPr>
            <w:tcW w:w="7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Total current assets</w:t>
            </w: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549,855</w:t>
            </w: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627,873</w:t>
            </w:r>
          </w:p>
        </w:tc>
        <w:tc>
          <w:tcPr>
            <w:tcW w:w="100" w:type="dxa"/>
            <w:vAlign w:val="bottom"/>
            <w:shd w:val="clear" w:color="auto" w:fill="CFF0FC"/>
          </w:tcPr>
          <w:p>
            <w:pPr>
              <w:spacing w:after="0"/>
              <w:rPr>
                <w:sz w:val="16"/>
                <w:szCs w:val="16"/>
                <w:color w:val="auto"/>
              </w:rPr>
            </w:pPr>
          </w:p>
        </w:tc>
      </w:tr>
      <w:tr>
        <w:trPr>
          <w:trHeight w:val="191"/>
        </w:trPr>
        <w:tc>
          <w:tcPr>
            <w:tcW w:w="7700" w:type="dxa"/>
            <w:vAlign w:val="bottom"/>
          </w:tcPr>
          <w:p>
            <w:pPr>
              <w:ind w:left="20"/>
              <w:spacing w:after="0"/>
              <w:rPr>
                <w:sz w:val="20"/>
                <w:szCs w:val="20"/>
                <w:color w:val="auto"/>
              </w:rPr>
            </w:pPr>
            <w:r>
              <w:rPr>
                <w:rFonts w:ascii="Arial" w:cs="Arial" w:eastAsia="Arial" w:hAnsi="Arial"/>
                <w:sz w:val="15"/>
                <w:szCs w:val="15"/>
                <w:color w:val="auto"/>
              </w:rPr>
              <w:t>Marketable securities, long-term</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383,659</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326,648</w:t>
            </w:r>
          </w:p>
        </w:tc>
        <w:tc>
          <w:tcPr>
            <w:tcW w:w="100" w:type="dxa"/>
            <w:vAlign w:val="bottom"/>
          </w:tcPr>
          <w:p>
            <w:pPr>
              <w:spacing w:after="0"/>
              <w:rPr>
                <w:sz w:val="16"/>
                <w:szCs w:val="16"/>
                <w:color w:val="auto"/>
              </w:rPr>
            </w:pPr>
          </w:p>
        </w:tc>
      </w:tr>
      <w:tr>
        <w:trPr>
          <w:trHeight w:val="202"/>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Redeemable preferred stock investment</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15,158</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12,385</w:t>
            </w:r>
          </w:p>
        </w:tc>
        <w:tc>
          <w:tcPr>
            <w:tcW w:w="100" w:type="dxa"/>
            <w:vAlign w:val="bottom"/>
            <w:shd w:val="clear" w:color="auto" w:fill="CFF0FC"/>
          </w:tcPr>
          <w:p>
            <w:pPr>
              <w:spacing w:after="0"/>
              <w:rPr>
                <w:sz w:val="17"/>
                <w:szCs w:val="17"/>
                <w:color w:val="auto"/>
              </w:rPr>
            </w:pPr>
          </w:p>
        </w:tc>
      </w:tr>
      <w:tr>
        <w:trPr>
          <w:trHeight w:val="191"/>
        </w:trPr>
        <w:tc>
          <w:tcPr>
            <w:tcW w:w="7700" w:type="dxa"/>
            <w:vAlign w:val="bottom"/>
          </w:tcPr>
          <w:p>
            <w:pPr>
              <w:ind w:left="20"/>
              <w:spacing w:after="0"/>
              <w:rPr>
                <w:sz w:val="20"/>
                <w:szCs w:val="20"/>
                <w:color w:val="auto"/>
              </w:rPr>
            </w:pPr>
            <w:r>
              <w:rPr>
                <w:rFonts w:ascii="Arial" w:cs="Arial" w:eastAsia="Arial" w:hAnsi="Arial"/>
                <w:sz w:val="15"/>
                <w:szCs w:val="15"/>
                <w:color w:val="auto"/>
              </w:rPr>
              <w:t>Fixed assets, net</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85,265</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81,353</w:t>
            </w:r>
          </w:p>
        </w:tc>
        <w:tc>
          <w:tcPr>
            <w:tcW w:w="100" w:type="dxa"/>
            <w:vAlign w:val="bottom"/>
          </w:tcPr>
          <w:p>
            <w:pPr>
              <w:spacing w:after="0"/>
              <w:rPr>
                <w:sz w:val="16"/>
                <w:szCs w:val="16"/>
                <w:color w:val="auto"/>
              </w:rPr>
            </w:pPr>
          </w:p>
        </w:tc>
      </w:tr>
      <w:tr>
        <w:trPr>
          <w:trHeight w:val="202"/>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Intangible assets, net</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144,489</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150,643</w:t>
            </w:r>
          </w:p>
        </w:tc>
        <w:tc>
          <w:tcPr>
            <w:tcW w:w="100" w:type="dxa"/>
            <w:vAlign w:val="bottom"/>
            <w:shd w:val="clear" w:color="auto" w:fill="CFF0FC"/>
          </w:tcPr>
          <w:p>
            <w:pPr>
              <w:spacing w:after="0"/>
              <w:rPr>
                <w:sz w:val="17"/>
                <w:szCs w:val="17"/>
                <w:color w:val="auto"/>
              </w:rPr>
            </w:pPr>
          </w:p>
        </w:tc>
      </w:tr>
      <w:tr>
        <w:trPr>
          <w:trHeight w:val="191"/>
        </w:trPr>
        <w:tc>
          <w:tcPr>
            <w:tcW w:w="7700" w:type="dxa"/>
            <w:vAlign w:val="bottom"/>
          </w:tcPr>
          <w:p>
            <w:pPr>
              <w:ind w:left="20"/>
              <w:spacing w:after="0"/>
              <w:rPr>
                <w:sz w:val="20"/>
                <w:szCs w:val="20"/>
                <w:color w:val="auto"/>
              </w:rPr>
            </w:pPr>
            <w:r>
              <w:rPr>
                <w:rFonts w:ascii="Arial" w:cs="Arial" w:eastAsia="Arial" w:hAnsi="Arial"/>
                <w:sz w:val="15"/>
                <w:szCs w:val="15"/>
                <w:color w:val="auto"/>
              </w:rPr>
              <w:t>Goodwill</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141,844</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143,027</w:t>
            </w:r>
          </w:p>
        </w:tc>
        <w:tc>
          <w:tcPr>
            <w:tcW w:w="100" w:type="dxa"/>
            <w:vAlign w:val="bottom"/>
          </w:tcPr>
          <w:p>
            <w:pPr>
              <w:spacing w:after="0"/>
              <w:rPr>
                <w:sz w:val="16"/>
                <w:szCs w:val="16"/>
                <w:color w:val="auto"/>
              </w:rPr>
            </w:pPr>
          </w:p>
        </w:tc>
      </w:tr>
      <w:tr>
        <w:trPr>
          <w:trHeight w:val="19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Other long-term assets</w:t>
            </w: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38,128</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44,124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1,358,398</w:t>
            </w:r>
          </w:p>
        </w:tc>
        <w:tc>
          <w:tcPr>
            <w:tcW w:w="300" w:type="dxa"/>
            <w:vAlign w:val="bottom"/>
          </w:tcPr>
          <w:p>
            <w:pPr>
              <w:spacing w:after="0"/>
              <w:rPr>
                <w:sz w:val="16"/>
                <w:szCs w:val="16"/>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1,386,053</w:t>
            </w:r>
          </w:p>
        </w:tc>
        <w:tc>
          <w:tcPr>
            <w:tcW w:w="100" w:type="dxa"/>
            <w:vAlign w:val="bottom"/>
          </w:tcPr>
          <w:p>
            <w:pPr>
              <w:spacing w:after="0"/>
              <w:rPr>
                <w:sz w:val="16"/>
                <w:szCs w:val="16"/>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1"/>
        </w:trPr>
        <w:tc>
          <w:tcPr>
            <w:tcW w:w="770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77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Accounts payable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15,772</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23,093</w:t>
            </w:r>
          </w:p>
        </w:tc>
        <w:tc>
          <w:tcPr>
            <w:tcW w:w="100" w:type="dxa"/>
            <w:vAlign w:val="bottom"/>
            <w:shd w:val="clear" w:color="auto" w:fill="CFF0FC"/>
          </w:tcPr>
          <w:p>
            <w:pPr>
              <w:spacing w:after="0"/>
              <w:rPr>
                <w:sz w:val="17"/>
                <w:szCs w:val="17"/>
                <w:color w:val="auto"/>
              </w:rPr>
            </w:pPr>
          </w:p>
        </w:tc>
      </w:tr>
      <w:tr>
        <w:trPr>
          <w:trHeight w:val="191"/>
        </w:trPr>
        <w:tc>
          <w:tcPr>
            <w:tcW w:w="7700" w:type="dxa"/>
            <w:vAlign w:val="bottom"/>
          </w:tcPr>
          <w:p>
            <w:pPr>
              <w:ind w:left="160"/>
              <w:spacing w:after="0"/>
              <w:rPr>
                <w:sz w:val="20"/>
                <w:szCs w:val="20"/>
                <w:color w:val="auto"/>
              </w:rPr>
            </w:pPr>
            <w:r>
              <w:rPr>
                <w:rFonts w:ascii="Arial" w:cs="Arial" w:eastAsia="Arial" w:hAnsi="Arial"/>
                <w:sz w:val="15"/>
                <w:szCs w:val="15"/>
                <w:color w:val="auto"/>
              </w:rPr>
              <w:t>Accrued liabilities</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21,031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24,981</w:t>
            </w:r>
          </w:p>
        </w:tc>
        <w:tc>
          <w:tcPr>
            <w:tcW w:w="100" w:type="dxa"/>
            <w:vAlign w:val="bottom"/>
          </w:tcPr>
          <w:p>
            <w:pPr>
              <w:spacing w:after="0"/>
              <w:rPr>
                <w:sz w:val="16"/>
                <w:szCs w:val="16"/>
                <w:color w:val="auto"/>
              </w:rPr>
            </w:pPr>
          </w:p>
        </w:tc>
      </w:tr>
      <w:tr>
        <w:trPr>
          <w:trHeight w:val="202"/>
        </w:trPr>
        <w:tc>
          <w:tcPr>
            <w:tcW w:w="77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Contract liabilities</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2,586</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3,199</w:t>
            </w:r>
          </w:p>
        </w:tc>
        <w:tc>
          <w:tcPr>
            <w:tcW w:w="100" w:type="dxa"/>
            <w:vAlign w:val="bottom"/>
            <w:shd w:val="clear" w:color="auto" w:fill="CFF0FC"/>
          </w:tcPr>
          <w:p>
            <w:pPr>
              <w:spacing w:after="0"/>
              <w:rPr>
                <w:sz w:val="17"/>
                <w:szCs w:val="17"/>
                <w:color w:val="auto"/>
              </w:rPr>
            </w:pPr>
          </w:p>
        </w:tc>
      </w:tr>
      <w:tr>
        <w:trPr>
          <w:trHeight w:val="191"/>
        </w:trPr>
        <w:tc>
          <w:tcPr>
            <w:tcW w:w="7700" w:type="dxa"/>
            <w:vAlign w:val="bottom"/>
          </w:tcPr>
          <w:p>
            <w:pPr>
              <w:ind w:left="160"/>
              <w:spacing w:after="0"/>
              <w:rPr>
                <w:sz w:val="20"/>
                <w:szCs w:val="20"/>
                <w:color w:val="auto"/>
              </w:rPr>
            </w:pPr>
            <w:r>
              <w:rPr>
                <w:rFonts w:ascii="Arial" w:cs="Arial" w:eastAsia="Arial" w:hAnsi="Arial"/>
                <w:sz w:val="15"/>
                <w:szCs w:val="15"/>
                <w:color w:val="auto"/>
              </w:rPr>
              <w:t>Customer deposit</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18,861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10,895</w:t>
            </w:r>
          </w:p>
        </w:tc>
        <w:tc>
          <w:tcPr>
            <w:tcW w:w="100" w:type="dxa"/>
            <w:vAlign w:val="bottom"/>
          </w:tcPr>
          <w:p>
            <w:pPr>
              <w:spacing w:after="0"/>
              <w:rPr>
                <w:sz w:val="16"/>
                <w:szCs w:val="16"/>
                <w:color w:val="auto"/>
              </w:rPr>
            </w:pPr>
          </w:p>
        </w:tc>
      </w:tr>
      <w:tr>
        <w:trPr>
          <w:trHeight w:val="202"/>
        </w:trPr>
        <w:tc>
          <w:tcPr>
            <w:tcW w:w="77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Investment margin loan</w:t>
            </w:r>
          </w:p>
        </w:tc>
        <w:tc>
          <w:tcPr>
            <w:tcW w:w="2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14,999</w:t>
            </w:r>
          </w:p>
        </w:tc>
        <w:tc>
          <w:tcPr>
            <w:tcW w:w="100" w:type="dxa"/>
            <w:vAlign w:val="bottom"/>
            <w:shd w:val="clear" w:color="auto" w:fill="CFF0FC"/>
          </w:tcPr>
          <w:p>
            <w:pPr>
              <w:spacing w:after="0"/>
              <w:rPr>
                <w:sz w:val="17"/>
                <w:szCs w:val="17"/>
                <w:color w:val="auto"/>
              </w:rPr>
            </w:pPr>
          </w:p>
        </w:tc>
      </w:tr>
      <w:tr>
        <w:trPr>
          <w:trHeight w:val="191"/>
        </w:trPr>
        <w:tc>
          <w:tcPr>
            <w:tcW w:w="7700" w:type="dxa"/>
            <w:vAlign w:val="bottom"/>
          </w:tcPr>
          <w:p>
            <w:pPr>
              <w:ind w:left="160"/>
              <w:spacing w:after="0"/>
              <w:rPr>
                <w:sz w:val="20"/>
                <w:szCs w:val="20"/>
                <w:color w:val="auto"/>
              </w:rPr>
            </w:pPr>
            <w:r>
              <w:rPr>
                <w:rFonts w:ascii="Arial" w:cs="Arial" w:eastAsia="Arial" w:hAnsi="Arial"/>
                <w:sz w:val="15"/>
                <w:szCs w:val="15"/>
                <w:color w:val="auto"/>
              </w:rPr>
              <w:t>Notes payable, current portion</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2,890</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5,639</w:t>
            </w:r>
          </w:p>
        </w:tc>
        <w:tc>
          <w:tcPr>
            <w:tcW w:w="100" w:type="dxa"/>
            <w:vAlign w:val="bottom"/>
          </w:tcPr>
          <w:p>
            <w:pPr>
              <w:spacing w:after="0"/>
              <w:rPr>
                <w:sz w:val="16"/>
                <w:szCs w:val="16"/>
                <w:color w:val="auto"/>
              </w:rPr>
            </w:pPr>
          </w:p>
        </w:tc>
      </w:tr>
      <w:tr>
        <w:trPr>
          <w:trHeight w:val="197"/>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Other current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281</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5,301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8"/>
        </w:trPr>
        <w:tc>
          <w:tcPr>
            <w:tcW w:w="7700" w:type="dxa"/>
            <w:vAlign w:val="bottom"/>
          </w:tcPr>
          <w:p>
            <w:pPr>
              <w:ind w:left="240"/>
              <w:spacing w:after="0"/>
              <w:rPr>
                <w:sz w:val="20"/>
                <w:szCs w:val="20"/>
                <w:color w:val="auto"/>
              </w:rPr>
            </w:pPr>
            <w:r>
              <w:rPr>
                <w:rFonts w:ascii="Arial" w:cs="Arial" w:eastAsia="Arial" w:hAnsi="Arial"/>
                <w:sz w:val="15"/>
                <w:szCs w:val="15"/>
                <w:color w:val="auto"/>
              </w:rPr>
              <w:t>Total current liabilities</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61,421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88,107</w:t>
            </w:r>
          </w:p>
        </w:tc>
        <w:tc>
          <w:tcPr>
            <w:tcW w:w="100" w:type="dxa"/>
            <w:vAlign w:val="bottom"/>
          </w:tcPr>
          <w:p>
            <w:pPr>
              <w:spacing w:after="0"/>
              <w:rPr>
                <w:sz w:val="16"/>
                <w:szCs w:val="16"/>
                <w:color w:val="auto"/>
              </w:rPr>
            </w:pPr>
          </w:p>
        </w:tc>
      </w:tr>
      <w:tr>
        <w:trPr>
          <w:trHeight w:val="202"/>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Unrecognized tax benefits</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9,555</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9,836</w:t>
            </w:r>
          </w:p>
        </w:tc>
        <w:tc>
          <w:tcPr>
            <w:tcW w:w="100" w:type="dxa"/>
            <w:vAlign w:val="bottom"/>
            <w:shd w:val="clear" w:color="auto" w:fill="CFF0FC"/>
          </w:tcPr>
          <w:p>
            <w:pPr>
              <w:spacing w:after="0"/>
              <w:rPr>
                <w:sz w:val="17"/>
                <w:szCs w:val="17"/>
                <w:color w:val="auto"/>
              </w:rPr>
            </w:pPr>
          </w:p>
        </w:tc>
      </w:tr>
      <w:tr>
        <w:trPr>
          <w:trHeight w:val="191"/>
        </w:trPr>
        <w:tc>
          <w:tcPr>
            <w:tcW w:w="7700" w:type="dxa"/>
            <w:vAlign w:val="bottom"/>
          </w:tcPr>
          <w:p>
            <w:pPr>
              <w:ind w:left="20"/>
              <w:spacing w:after="0"/>
              <w:rPr>
                <w:sz w:val="20"/>
                <w:szCs w:val="20"/>
                <w:color w:val="auto"/>
              </w:rPr>
            </w:pPr>
            <w:r>
              <w:rPr>
                <w:rFonts w:ascii="Arial" w:cs="Arial" w:eastAsia="Arial" w:hAnsi="Arial"/>
                <w:sz w:val="15"/>
                <w:szCs w:val="15"/>
                <w:color w:val="auto"/>
              </w:rPr>
              <w:t>Deferred tax liability</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9,833</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9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Other long-term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15,755</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18,235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5"/>
                <w:szCs w:val="15"/>
                <w:color w:val="auto"/>
              </w:rPr>
              <w:t>Total liabilities</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96,564</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116,178</w:t>
            </w:r>
          </w:p>
        </w:tc>
        <w:tc>
          <w:tcPr>
            <w:tcW w:w="100" w:type="dxa"/>
            <w:vAlign w:val="bottom"/>
          </w:tcPr>
          <w:p>
            <w:pPr>
              <w:spacing w:after="0"/>
              <w:rPr>
                <w:sz w:val="16"/>
                <w:szCs w:val="16"/>
                <w:color w:val="auto"/>
              </w:rPr>
            </w:pPr>
          </w:p>
        </w:tc>
      </w:tr>
      <w:tr>
        <w:trPr>
          <w:trHeight w:val="193"/>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Commitments and contingencies (Note 8)</w:t>
            </w: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1"/>
        </w:trPr>
        <w:tc>
          <w:tcPr>
            <w:tcW w:w="770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1"/>
        </w:trPr>
        <w:tc>
          <w:tcPr>
            <w:tcW w:w="7700" w:type="dxa"/>
            <w:vAlign w:val="bottom"/>
            <w:shd w:val="clear" w:color="auto" w:fill="CFF0FC"/>
          </w:tcPr>
          <w:p>
            <w:pPr>
              <w:ind w:left="160"/>
              <w:spacing w:after="0"/>
              <w:rPr>
                <w:sz w:val="20"/>
                <w:szCs w:val="20"/>
                <w:color w:val="auto"/>
              </w:rPr>
            </w:pPr>
            <w:r>
              <w:rPr>
                <w:rFonts w:ascii="Arial" w:cs="Arial" w:eastAsia="Arial" w:hAnsi="Arial"/>
                <w:sz w:val="15"/>
                <w:szCs w:val="15"/>
                <w:color w:val="auto"/>
                <w:w w:val="91"/>
              </w:rPr>
              <w:t>Common stock, $0.0001 par value per share, 50,000 shares authorized, 31,925 and 31,248 shares issued, respectively, and</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7"/>
        </w:trPr>
        <w:tc>
          <w:tcPr>
            <w:tcW w:w="77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30,035 and 29,438 shares outstanding, respectively</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FF0FC"/>
          </w:tcPr>
          <w:p>
            <w:pPr>
              <w:spacing w:after="0"/>
              <w:rPr>
                <w:sz w:val="17"/>
                <w:szCs w:val="17"/>
                <w:color w:val="auto"/>
              </w:rPr>
            </w:pPr>
          </w:p>
        </w:tc>
      </w:tr>
      <w:tr>
        <w:trPr>
          <w:trHeight w:val="191"/>
        </w:trPr>
        <w:tc>
          <w:tcPr>
            <w:tcW w:w="7700" w:type="dxa"/>
            <w:vAlign w:val="bottom"/>
          </w:tcPr>
          <w:p>
            <w:pPr>
              <w:ind w:left="160"/>
              <w:spacing w:after="0"/>
              <w:rPr>
                <w:sz w:val="20"/>
                <w:szCs w:val="20"/>
                <w:color w:val="auto"/>
              </w:rPr>
            </w:pPr>
            <w:r>
              <w:rPr>
                <w:rFonts w:ascii="Arial" w:cs="Arial" w:eastAsia="Arial" w:hAnsi="Arial"/>
                <w:sz w:val="15"/>
                <w:szCs w:val="15"/>
                <w:color w:val="auto"/>
              </w:rPr>
              <w:t>Preferred stock, $0.0001 par value per share, 1,000 shares authorized, no shares issued or outstanding</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02"/>
        </w:trPr>
        <w:tc>
          <w:tcPr>
            <w:tcW w:w="77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Additional paid-in capital</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514,262</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486,585</w:t>
            </w:r>
          </w:p>
        </w:tc>
        <w:tc>
          <w:tcPr>
            <w:tcW w:w="100" w:type="dxa"/>
            <w:vAlign w:val="bottom"/>
            <w:shd w:val="clear" w:color="auto" w:fill="CFF0FC"/>
          </w:tcPr>
          <w:p>
            <w:pPr>
              <w:spacing w:after="0"/>
              <w:rPr>
                <w:sz w:val="17"/>
                <w:szCs w:val="17"/>
                <w:color w:val="auto"/>
              </w:rPr>
            </w:pPr>
          </w:p>
        </w:tc>
      </w:tr>
      <w:tr>
        <w:trPr>
          <w:trHeight w:val="191"/>
        </w:trPr>
        <w:tc>
          <w:tcPr>
            <w:tcW w:w="7700" w:type="dxa"/>
            <w:vAlign w:val="bottom"/>
          </w:tcPr>
          <w:p>
            <w:pPr>
              <w:ind w:left="160"/>
              <w:spacing w:after="0"/>
              <w:rPr>
                <w:sz w:val="20"/>
                <w:szCs w:val="20"/>
                <w:color w:val="auto"/>
              </w:rPr>
            </w:pPr>
            <w:r>
              <w:rPr>
                <w:rFonts w:ascii="Arial" w:cs="Arial" w:eastAsia="Arial" w:hAnsi="Arial"/>
                <w:sz w:val="15"/>
                <w:szCs w:val="15"/>
                <w:color w:val="auto"/>
              </w:rPr>
              <w:t>Accumulated other comprehensive loss</w:t>
            </w:r>
          </w:p>
        </w:tc>
        <w:tc>
          <w:tcPr>
            <w:tcW w:w="260" w:type="dxa"/>
            <w:vAlign w:val="bottom"/>
          </w:tcPr>
          <w:p>
            <w:pPr>
              <w:spacing w:after="0"/>
              <w:rPr>
                <w:sz w:val="16"/>
                <w:szCs w:val="16"/>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5"/>
                <w:szCs w:val="15"/>
                <w:color w:val="auto"/>
              </w:rPr>
              <w:t>(16,891 )</w:t>
            </w:r>
          </w:p>
        </w:tc>
        <w:tc>
          <w:tcPr>
            <w:tcW w:w="260" w:type="dxa"/>
            <w:vAlign w:val="bottom"/>
          </w:tcPr>
          <w:p>
            <w:pPr>
              <w:spacing w:after="0"/>
              <w:rPr>
                <w:sz w:val="16"/>
                <w:szCs w:val="16"/>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5"/>
                <w:szCs w:val="15"/>
                <w:color w:val="auto"/>
              </w:rPr>
              <w:t>(20,903 )</w:t>
            </w:r>
          </w:p>
        </w:tc>
      </w:tr>
      <w:tr>
        <w:trPr>
          <w:trHeight w:val="197"/>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Retained earnings</w:t>
            </w: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761,324</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801,000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8"/>
        </w:trPr>
        <w:tc>
          <w:tcPr>
            <w:tcW w:w="7700" w:type="dxa"/>
            <w:vAlign w:val="bottom"/>
          </w:tcPr>
          <w:p>
            <w:pPr>
              <w:ind w:left="240"/>
              <w:spacing w:after="0"/>
              <w:rPr>
                <w:sz w:val="20"/>
                <w:szCs w:val="20"/>
                <w:color w:val="auto"/>
              </w:rPr>
            </w:pPr>
            <w:r>
              <w:rPr>
                <w:rFonts w:ascii="Arial" w:cs="Arial" w:eastAsia="Arial" w:hAnsi="Arial"/>
                <w:sz w:val="15"/>
                <w:szCs w:val="15"/>
                <w:color w:val="auto"/>
              </w:rPr>
              <w:t>Total Fulgent stockholders’ equity</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1,258,698</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1,266,685</w:t>
            </w:r>
          </w:p>
        </w:tc>
        <w:tc>
          <w:tcPr>
            <w:tcW w:w="100" w:type="dxa"/>
            <w:vAlign w:val="bottom"/>
          </w:tcPr>
          <w:p>
            <w:pPr>
              <w:spacing w:after="0"/>
              <w:rPr>
                <w:sz w:val="16"/>
                <w:szCs w:val="16"/>
                <w:color w:val="auto"/>
              </w:rPr>
            </w:pPr>
          </w:p>
        </w:tc>
      </w:tr>
      <w:tr>
        <w:trPr>
          <w:trHeight w:val="197"/>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Noncontrolling interest</w:t>
            </w: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3,136</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5"/>
                <w:szCs w:val="15"/>
                <w:color w:val="auto"/>
              </w:rPr>
              <w:t>Total stockholders’ equity</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1,261,834</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1,269,875</w:t>
            </w:r>
          </w:p>
        </w:tc>
        <w:tc>
          <w:tcPr>
            <w:tcW w:w="100" w:type="dxa"/>
            <w:vAlign w:val="bottom"/>
          </w:tcPr>
          <w:p>
            <w:pPr>
              <w:spacing w:after="0"/>
              <w:rPr>
                <w:sz w:val="16"/>
                <w:szCs w:val="16"/>
                <w:color w:val="auto"/>
              </w:rPr>
            </w:pPr>
          </w:p>
        </w:tc>
      </w:tr>
      <w:tr>
        <w:trPr>
          <w:trHeight w:val="228"/>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1,358,398</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1,386,053</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5899785</wp:posOffset>
            </wp:positionH>
            <wp:positionV relativeFrom="paragraph">
              <wp:posOffset>-3449955</wp:posOffset>
            </wp:positionV>
            <wp:extent cx="76200" cy="153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00" cy="15303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-3449955</wp:posOffset>
            </wp:positionV>
            <wp:extent cx="69215" cy="153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15" cy="153035"/>
                    </a:xfrm>
                    <a:prstGeom prst="rect">
                      <a:avLst/>
                    </a:prstGeom>
                    <a:noFill/>
                  </pic:spPr>
                </pic:pic>
              </a:graphicData>
            </a:graphic>
          </wp:anchor>
        </w:drawing>
        <w:drawing>
          <wp:anchor simplePos="0" relativeHeight="251657728" behindDoc="1" locked="0" layoutInCell="0" allowOverlap="1">
            <wp:simplePos x="0" y="0"/>
            <wp:positionH relativeFrom="column">
              <wp:posOffset>5899785</wp:posOffset>
            </wp:positionH>
            <wp:positionV relativeFrom="paragraph">
              <wp:posOffset>-2172335</wp:posOffset>
            </wp:positionV>
            <wp:extent cx="76200" cy="132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00" cy="132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-2172335</wp:posOffset>
            </wp:positionV>
            <wp:extent cx="69215" cy="132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5899785</wp:posOffset>
            </wp:positionH>
            <wp:positionV relativeFrom="paragraph">
              <wp:posOffset>-1665605</wp:posOffset>
            </wp:positionV>
            <wp:extent cx="76200" cy="139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-1665605</wp:posOffset>
            </wp:positionV>
            <wp:extent cx="69215"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5899785</wp:posOffset>
            </wp:positionH>
            <wp:positionV relativeFrom="paragraph">
              <wp:posOffset>-541020</wp:posOffset>
            </wp:positionV>
            <wp:extent cx="76200" cy="132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00" cy="132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-541020</wp:posOffset>
            </wp:positionV>
            <wp:extent cx="69215" cy="132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5899785</wp:posOffset>
            </wp:positionH>
            <wp:positionV relativeFrom="paragraph">
              <wp:posOffset>-283845</wp:posOffset>
            </wp:positionV>
            <wp:extent cx="76200" cy="139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-283845</wp:posOffset>
            </wp:positionV>
            <wp:extent cx="69215" cy="139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5899785</wp:posOffset>
            </wp:positionH>
            <wp:positionV relativeFrom="paragraph">
              <wp:posOffset>-20320</wp:posOffset>
            </wp:positionV>
            <wp:extent cx="762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5899785</wp:posOffset>
            </wp:positionH>
            <wp:positionV relativeFrom="paragraph">
              <wp:posOffset>-6350</wp:posOffset>
            </wp:positionV>
            <wp:extent cx="762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-20320</wp:posOffset>
            </wp:positionV>
            <wp:extent cx="6921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-6350</wp:posOffset>
            </wp:positionV>
            <wp:extent cx="6921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15" cy="698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FULGENT GENETICS,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tcPr>
          <w:p>
            <w:pPr>
              <w:spacing w:after="0"/>
              <w:rPr>
                <w:sz w:val="12"/>
                <w:szCs w:val="12"/>
                <w:color w:val="auto"/>
              </w:rPr>
            </w:pPr>
          </w:p>
        </w:tc>
        <w:tc>
          <w:tcPr>
            <w:tcW w:w="270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2"/>
                <w:szCs w:val="12"/>
                <w:b w:val="1"/>
                <w:bCs w:val="1"/>
                <w:color w:val="auto"/>
              </w:rPr>
              <w:t>Three Months Ended September 30,</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2"/>
                <w:szCs w:val="12"/>
                <w:b w:val="1"/>
                <w:bCs w:val="1"/>
                <w:color w:val="auto"/>
                <w:w w:val="97"/>
              </w:rPr>
              <w:t>Nine Months Ended September 30,</w:t>
            </w:r>
          </w:p>
        </w:tc>
        <w:tc>
          <w:tcPr>
            <w:tcW w:w="100" w:type="dxa"/>
            <w:vAlign w:val="bottom"/>
          </w:tcPr>
          <w:p>
            <w:pPr>
              <w:spacing w:after="0"/>
              <w:rPr>
                <w:sz w:val="12"/>
                <w:szCs w:val="12"/>
                <w:color w:val="auto"/>
              </w:rPr>
            </w:pPr>
          </w:p>
        </w:tc>
      </w:tr>
      <w:tr>
        <w:trPr>
          <w:trHeight w:val="133"/>
        </w:trPr>
        <w:tc>
          <w:tcPr>
            <w:tcW w:w="5600" w:type="dxa"/>
            <w:vAlign w:val="bottom"/>
          </w:tcPr>
          <w:p>
            <w:pPr>
              <w:spacing w:after="0"/>
              <w:rPr>
                <w:sz w:val="11"/>
                <w:szCs w:val="11"/>
                <w:color w:val="auto"/>
              </w:rPr>
            </w:pPr>
          </w:p>
        </w:tc>
        <w:tc>
          <w:tcPr>
            <w:tcW w:w="7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2023</w:t>
            </w: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08"/>
              <w:spacing w:after="0" w:line="133" w:lineRule="exact"/>
              <w:rPr>
                <w:sz w:val="20"/>
                <w:szCs w:val="20"/>
                <w:color w:val="auto"/>
              </w:rPr>
            </w:pPr>
            <w:r>
              <w:rPr>
                <w:rFonts w:ascii="Arial" w:cs="Arial" w:eastAsia="Arial" w:hAnsi="Arial"/>
                <w:sz w:val="12"/>
                <w:szCs w:val="12"/>
                <w:b w:val="1"/>
                <w:bCs w:val="1"/>
                <w:color w:val="auto"/>
              </w:rPr>
              <w:t>2022</w:t>
            </w:r>
          </w:p>
        </w:tc>
        <w:tc>
          <w:tcPr>
            <w:tcW w:w="2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8"/>
              <w:spacing w:after="0" w:line="133" w:lineRule="exact"/>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88"/>
              <w:spacing w:after="0" w:line="133" w:lineRule="exact"/>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1"/>
                <w:szCs w:val="11"/>
                <w:color w:val="auto"/>
              </w:rPr>
            </w:pPr>
          </w:p>
        </w:tc>
      </w:tr>
      <w:tr>
        <w:trPr>
          <w:trHeight w:val="188"/>
        </w:trPr>
        <w:tc>
          <w:tcPr>
            <w:tcW w:w="5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Revenue</w:t>
            </w:r>
          </w:p>
        </w:tc>
        <w:tc>
          <w:tcPr>
            <w:tcW w:w="740" w:type="dxa"/>
            <w:vAlign w:val="bottom"/>
            <w:shd w:val="clear" w:color="auto" w:fill="CFF0FC"/>
          </w:tcPr>
          <w:p>
            <w:pPr>
              <w:jc w:val="right"/>
              <w:ind w:right="592"/>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84,687</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105,655</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218,708</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551,264</w:t>
            </w:r>
          </w:p>
        </w:tc>
        <w:tc>
          <w:tcPr>
            <w:tcW w:w="100" w:type="dxa"/>
            <w:vAlign w:val="bottom"/>
            <w:shd w:val="clear" w:color="auto" w:fill="CFF0FC"/>
          </w:tcPr>
          <w:p>
            <w:pPr>
              <w:spacing w:after="0"/>
              <w:rPr>
                <w:sz w:val="16"/>
                <w:szCs w:val="16"/>
                <w:color w:val="auto"/>
              </w:rPr>
            </w:pPr>
          </w:p>
        </w:tc>
      </w:tr>
      <w:tr>
        <w:trPr>
          <w:trHeight w:val="191"/>
        </w:trPr>
        <w:tc>
          <w:tcPr>
            <w:tcW w:w="5600" w:type="dxa"/>
            <w:vAlign w:val="bottom"/>
          </w:tcPr>
          <w:p>
            <w:pPr>
              <w:ind w:left="20"/>
              <w:spacing w:after="0"/>
              <w:rPr>
                <w:sz w:val="20"/>
                <w:szCs w:val="20"/>
                <w:color w:val="auto"/>
              </w:rPr>
            </w:pPr>
            <w:r>
              <w:rPr>
                <w:rFonts w:ascii="Arial" w:cs="Arial" w:eastAsia="Arial" w:hAnsi="Arial"/>
                <w:sz w:val="15"/>
                <w:szCs w:val="15"/>
                <w:color w:val="auto"/>
              </w:rPr>
              <w:t>Cost of revenue</w:t>
            </w:r>
          </w:p>
        </w:tc>
        <w:tc>
          <w:tcPr>
            <w:tcW w:w="7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44,843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59,560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139,481</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197,350</w:t>
            </w:r>
          </w:p>
        </w:tc>
        <w:tc>
          <w:tcPr>
            <w:tcW w:w="100" w:type="dxa"/>
            <w:vAlign w:val="bottom"/>
          </w:tcPr>
          <w:p>
            <w:pPr>
              <w:spacing w:after="0"/>
              <w:rPr>
                <w:sz w:val="16"/>
                <w:szCs w:val="16"/>
                <w:color w:val="auto"/>
              </w:rPr>
            </w:pPr>
          </w:p>
        </w:tc>
      </w:tr>
      <w:tr>
        <w:trPr>
          <w:trHeight w:val="188"/>
        </w:trPr>
        <w:tc>
          <w:tcPr>
            <w:tcW w:w="56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Gross profit</w:t>
            </w:r>
          </w:p>
        </w:tc>
        <w:tc>
          <w:tcPr>
            <w:tcW w:w="7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39,844</w:t>
            </w:r>
          </w:p>
        </w:tc>
        <w:tc>
          <w:tcPr>
            <w:tcW w:w="2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46,095</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79,227</w:t>
            </w: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353,914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8"/>
        </w:trPr>
        <w:tc>
          <w:tcPr>
            <w:tcW w:w="560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56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Research and development</w:t>
            </w:r>
          </w:p>
        </w:tc>
        <w:tc>
          <w:tcPr>
            <w:tcW w:w="7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10,014</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7,507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29,488</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20,401</w:t>
            </w:r>
          </w:p>
        </w:tc>
        <w:tc>
          <w:tcPr>
            <w:tcW w:w="100" w:type="dxa"/>
            <w:vAlign w:val="bottom"/>
            <w:shd w:val="clear" w:color="auto" w:fill="CFF0FC"/>
          </w:tcPr>
          <w:p>
            <w:pPr>
              <w:spacing w:after="0"/>
              <w:rPr>
                <w:sz w:val="17"/>
                <w:szCs w:val="17"/>
                <w:color w:val="auto"/>
              </w:rPr>
            </w:pPr>
          </w:p>
        </w:tc>
      </w:tr>
      <w:tr>
        <w:trPr>
          <w:trHeight w:val="191"/>
        </w:trPr>
        <w:tc>
          <w:tcPr>
            <w:tcW w:w="5600" w:type="dxa"/>
            <w:vAlign w:val="bottom"/>
          </w:tcPr>
          <w:p>
            <w:pPr>
              <w:ind w:left="160"/>
              <w:spacing w:after="0"/>
              <w:rPr>
                <w:sz w:val="20"/>
                <w:szCs w:val="20"/>
                <w:color w:val="auto"/>
              </w:rPr>
            </w:pPr>
            <w:r>
              <w:rPr>
                <w:rFonts w:ascii="Arial" w:cs="Arial" w:eastAsia="Arial" w:hAnsi="Arial"/>
                <w:sz w:val="15"/>
                <w:szCs w:val="15"/>
                <w:color w:val="auto"/>
              </w:rPr>
              <w:t>Selling and marketing</w:t>
            </w:r>
          </w:p>
        </w:tc>
        <w:tc>
          <w:tcPr>
            <w:tcW w:w="7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95"/>
              </w:rPr>
              <w:t>10,161</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9,859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30,967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28,665</w:t>
            </w:r>
          </w:p>
        </w:tc>
        <w:tc>
          <w:tcPr>
            <w:tcW w:w="100" w:type="dxa"/>
            <w:vAlign w:val="bottom"/>
          </w:tcPr>
          <w:p>
            <w:pPr>
              <w:spacing w:after="0"/>
              <w:rPr>
                <w:sz w:val="16"/>
                <w:szCs w:val="16"/>
                <w:color w:val="auto"/>
              </w:rPr>
            </w:pPr>
          </w:p>
        </w:tc>
      </w:tr>
      <w:tr>
        <w:trPr>
          <w:trHeight w:val="202"/>
        </w:trPr>
        <w:tc>
          <w:tcPr>
            <w:tcW w:w="56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General and administrative</w:t>
            </w:r>
          </w:p>
        </w:tc>
        <w:tc>
          <w:tcPr>
            <w:tcW w:w="7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17,498</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26,266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57,293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82,281</w:t>
            </w:r>
          </w:p>
        </w:tc>
        <w:tc>
          <w:tcPr>
            <w:tcW w:w="100" w:type="dxa"/>
            <w:vAlign w:val="bottom"/>
            <w:shd w:val="clear" w:color="auto" w:fill="CFF0FC"/>
          </w:tcPr>
          <w:p>
            <w:pPr>
              <w:spacing w:after="0"/>
              <w:rPr>
                <w:sz w:val="17"/>
                <w:szCs w:val="17"/>
                <w:color w:val="auto"/>
              </w:rPr>
            </w:pPr>
          </w:p>
        </w:tc>
      </w:tr>
      <w:tr>
        <w:trPr>
          <w:trHeight w:val="191"/>
        </w:trPr>
        <w:tc>
          <w:tcPr>
            <w:tcW w:w="5600" w:type="dxa"/>
            <w:vAlign w:val="bottom"/>
          </w:tcPr>
          <w:p>
            <w:pPr>
              <w:ind w:left="160"/>
              <w:spacing w:after="0"/>
              <w:rPr>
                <w:sz w:val="20"/>
                <w:szCs w:val="20"/>
                <w:color w:val="auto"/>
              </w:rPr>
            </w:pPr>
            <w:r>
              <w:rPr>
                <w:rFonts w:ascii="Arial" w:cs="Arial" w:eastAsia="Arial" w:hAnsi="Arial"/>
                <w:sz w:val="15"/>
                <w:szCs w:val="15"/>
                <w:color w:val="auto"/>
              </w:rPr>
              <w:t>Amortization of intangible assets</w:t>
            </w:r>
          </w:p>
        </w:tc>
        <w:tc>
          <w:tcPr>
            <w:tcW w:w="7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1,957</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2,006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5,887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4,487</w:t>
            </w:r>
          </w:p>
        </w:tc>
        <w:tc>
          <w:tcPr>
            <w:tcW w:w="100" w:type="dxa"/>
            <w:vAlign w:val="bottom"/>
          </w:tcPr>
          <w:p>
            <w:pPr>
              <w:spacing w:after="0"/>
              <w:rPr>
                <w:sz w:val="16"/>
                <w:szCs w:val="16"/>
                <w:color w:val="auto"/>
              </w:rPr>
            </w:pPr>
          </w:p>
        </w:tc>
      </w:tr>
      <w:tr>
        <w:trPr>
          <w:trHeight w:val="197"/>
        </w:trPr>
        <w:tc>
          <w:tcPr>
            <w:tcW w:w="56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Restructuring costs</w:t>
            </w:r>
          </w:p>
        </w:tc>
        <w:tc>
          <w:tcPr>
            <w:tcW w:w="7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3,001</w:t>
            </w:r>
          </w:p>
        </w:tc>
        <w:tc>
          <w:tcPr>
            <w:tcW w:w="100" w:type="dxa"/>
            <w:vAlign w:val="bottom"/>
            <w:shd w:val="clear" w:color="auto" w:fill="CFF0FC"/>
          </w:tcPr>
          <w:p>
            <w:pPr>
              <w:spacing w:after="0"/>
              <w:rPr>
                <w:sz w:val="17"/>
                <w:szCs w:val="17"/>
                <w:color w:val="auto"/>
              </w:rPr>
            </w:pPr>
          </w:p>
        </w:tc>
      </w:tr>
      <w:tr>
        <w:trPr>
          <w:trHeight w:val="188"/>
        </w:trPr>
        <w:tc>
          <w:tcPr>
            <w:tcW w:w="5600" w:type="dxa"/>
            <w:vAlign w:val="bottom"/>
            <w:tcBorders>
              <w:top w:val="single" w:sz="8" w:color="CFF0FC"/>
            </w:tcBorders>
          </w:tcPr>
          <w:p>
            <w:pPr>
              <w:ind w:left="20"/>
              <w:spacing w:after="0"/>
              <w:rPr>
                <w:sz w:val="20"/>
                <w:szCs w:val="20"/>
                <w:color w:val="auto"/>
              </w:rPr>
            </w:pPr>
            <w:r>
              <w:rPr>
                <w:rFonts w:ascii="Arial" w:cs="Arial" w:eastAsia="Arial" w:hAnsi="Arial"/>
                <w:sz w:val="15"/>
                <w:szCs w:val="15"/>
                <w:color w:val="auto"/>
              </w:rPr>
              <w:t>Total operating expenses</w:t>
            </w:r>
          </w:p>
        </w:tc>
        <w:tc>
          <w:tcPr>
            <w:tcW w:w="7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39,630</w:t>
            </w:r>
          </w:p>
        </w:tc>
        <w:tc>
          <w:tcPr>
            <w:tcW w:w="280" w:type="dxa"/>
            <w:vAlign w:val="bottom"/>
            <w:tcBorders>
              <w:top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45,743</w:t>
            </w:r>
          </w:p>
        </w:tc>
        <w:tc>
          <w:tcPr>
            <w:tcW w:w="260" w:type="dxa"/>
            <w:vAlign w:val="bottom"/>
            <w:tcBorders>
              <w:top w:val="single" w:sz="8" w:color="CFF0FC"/>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123,635</w:t>
            </w:r>
          </w:p>
        </w:tc>
        <w:tc>
          <w:tcPr>
            <w:tcW w:w="220" w:type="dxa"/>
            <w:vAlign w:val="bottom"/>
            <w:tcBorders>
              <w:top w:val="single" w:sz="8" w:color="CFF0F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138,835</w:t>
            </w:r>
          </w:p>
        </w:tc>
        <w:tc>
          <w:tcPr>
            <w:tcW w:w="100" w:type="dxa"/>
            <w:vAlign w:val="bottom"/>
            <w:tcBorders>
              <w:top w:val="single" w:sz="8" w:color="CFF0FC"/>
            </w:tcBorders>
          </w:tcPr>
          <w:p>
            <w:pPr>
              <w:spacing w:after="0"/>
              <w:rPr>
                <w:sz w:val="16"/>
                <w:szCs w:val="16"/>
                <w:color w:val="auto"/>
              </w:rPr>
            </w:pPr>
          </w:p>
        </w:tc>
      </w:tr>
      <w:tr>
        <w:trPr>
          <w:trHeight w:val="193"/>
        </w:trPr>
        <w:tc>
          <w:tcPr>
            <w:tcW w:w="5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Operating income (loss)</w:t>
            </w:r>
          </w:p>
        </w:tc>
        <w:tc>
          <w:tcPr>
            <w:tcW w:w="7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214</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352</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(44,408 )</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215,079</w:t>
            </w:r>
          </w:p>
        </w:tc>
        <w:tc>
          <w:tcPr>
            <w:tcW w:w="100" w:type="dxa"/>
            <w:vAlign w:val="bottom"/>
            <w:shd w:val="clear" w:color="auto" w:fill="CFF0FC"/>
          </w:tcPr>
          <w:p>
            <w:pPr>
              <w:spacing w:after="0"/>
              <w:rPr>
                <w:sz w:val="16"/>
                <w:szCs w:val="16"/>
                <w:color w:val="auto"/>
              </w:rPr>
            </w:pPr>
          </w:p>
        </w:tc>
      </w:tr>
      <w:tr>
        <w:trPr>
          <w:trHeight w:val="191"/>
        </w:trPr>
        <w:tc>
          <w:tcPr>
            <w:tcW w:w="5600" w:type="dxa"/>
            <w:vAlign w:val="bottom"/>
          </w:tcPr>
          <w:p>
            <w:pPr>
              <w:ind w:left="20"/>
              <w:spacing w:after="0"/>
              <w:rPr>
                <w:sz w:val="20"/>
                <w:szCs w:val="20"/>
                <w:color w:val="auto"/>
              </w:rPr>
            </w:pPr>
            <w:r>
              <w:rPr>
                <w:rFonts w:ascii="Arial" w:cs="Arial" w:eastAsia="Arial" w:hAnsi="Arial"/>
                <w:sz w:val="15"/>
                <w:szCs w:val="15"/>
                <w:color w:val="auto"/>
              </w:rPr>
              <w:t>Interest and other income, net</w:t>
            </w:r>
          </w:p>
        </w:tc>
        <w:tc>
          <w:tcPr>
            <w:tcW w:w="7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6,646</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1,405</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15,519</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2,408</w:t>
            </w:r>
          </w:p>
        </w:tc>
        <w:tc>
          <w:tcPr>
            <w:tcW w:w="100" w:type="dxa"/>
            <w:vAlign w:val="bottom"/>
          </w:tcPr>
          <w:p>
            <w:pPr>
              <w:spacing w:after="0"/>
              <w:rPr>
                <w:sz w:val="16"/>
                <w:szCs w:val="16"/>
                <w:color w:val="auto"/>
              </w:rPr>
            </w:pPr>
          </w:p>
        </w:tc>
      </w:tr>
      <w:tr>
        <w:trPr>
          <w:trHeight w:val="193"/>
        </w:trPr>
        <w:tc>
          <w:tcPr>
            <w:tcW w:w="5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Income (loss) before income taxes</w:t>
            </w:r>
          </w:p>
        </w:tc>
        <w:tc>
          <w:tcPr>
            <w:tcW w:w="7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6,860</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1,757</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(28,889 )</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217,487</w:t>
            </w:r>
          </w:p>
        </w:tc>
        <w:tc>
          <w:tcPr>
            <w:tcW w:w="100" w:type="dxa"/>
            <w:vAlign w:val="bottom"/>
            <w:shd w:val="clear" w:color="auto" w:fill="CFF0FC"/>
          </w:tcPr>
          <w:p>
            <w:pPr>
              <w:spacing w:after="0"/>
              <w:rPr>
                <w:sz w:val="16"/>
                <w:szCs w:val="16"/>
                <w:color w:val="auto"/>
              </w:rPr>
            </w:pPr>
          </w:p>
        </w:tc>
      </w:tr>
      <w:tr>
        <w:trPr>
          <w:trHeight w:val="191"/>
        </w:trPr>
        <w:tc>
          <w:tcPr>
            <w:tcW w:w="560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7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20,326</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414</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12,016</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51,488</w:t>
            </w:r>
          </w:p>
        </w:tc>
        <w:tc>
          <w:tcPr>
            <w:tcW w:w="100" w:type="dxa"/>
            <w:vAlign w:val="bottom"/>
          </w:tcPr>
          <w:p>
            <w:pPr>
              <w:spacing w:after="0"/>
              <w:rPr>
                <w:sz w:val="16"/>
                <w:szCs w:val="16"/>
                <w:color w:val="auto"/>
              </w:rPr>
            </w:pPr>
          </w:p>
        </w:tc>
      </w:tr>
      <w:tr>
        <w:trPr>
          <w:trHeight w:val="193"/>
        </w:trPr>
        <w:tc>
          <w:tcPr>
            <w:tcW w:w="5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(loss) income from consolidated operations</w:t>
            </w:r>
          </w:p>
        </w:tc>
        <w:tc>
          <w:tcPr>
            <w:tcW w:w="7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86"/>
              </w:rPr>
              <w:t>(13,466 )</w:t>
            </w: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1,343</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(40,905 )</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165,999</w:t>
            </w:r>
          </w:p>
        </w:tc>
        <w:tc>
          <w:tcPr>
            <w:tcW w:w="100" w:type="dxa"/>
            <w:vAlign w:val="bottom"/>
            <w:shd w:val="clear" w:color="auto" w:fill="CFF0FC"/>
          </w:tcPr>
          <w:p>
            <w:pPr>
              <w:spacing w:after="0"/>
              <w:rPr>
                <w:sz w:val="16"/>
                <w:szCs w:val="16"/>
                <w:color w:val="auto"/>
              </w:rPr>
            </w:pPr>
          </w:p>
        </w:tc>
      </w:tr>
      <w:tr>
        <w:trPr>
          <w:trHeight w:val="191"/>
        </w:trPr>
        <w:tc>
          <w:tcPr>
            <w:tcW w:w="5600" w:type="dxa"/>
            <w:vAlign w:val="bottom"/>
          </w:tcPr>
          <w:p>
            <w:pPr>
              <w:ind w:left="20"/>
              <w:spacing w:after="0"/>
              <w:rPr>
                <w:sz w:val="20"/>
                <w:szCs w:val="20"/>
                <w:color w:val="auto"/>
              </w:rPr>
            </w:pPr>
            <w:r>
              <w:rPr>
                <w:rFonts w:ascii="Arial" w:cs="Arial" w:eastAsia="Arial" w:hAnsi="Arial"/>
                <w:sz w:val="15"/>
                <w:szCs w:val="15"/>
                <w:color w:val="auto"/>
              </w:rPr>
              <w:t>Net loss attributable to noncontrolling interests</w:t>
            </w:r>
          </w:p>
        </w:tc>
        <w:tc>
          <w:tcPr>
            <w:tcW w:w="7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376</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1,229</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1,236</w:t>
            </w:r>
          </w:p>
        </w:tc>
        <w:tc>
          <w:tcPr>
            <w:tcW w:w="100" w:type="dxa"/>
            <w:vAlign w:val="bottom"/>
          </w:tcPr>
          <w:p>
            <w:pPr>
              <w:spacing w:after="0"/>
              <w:rPr>
                <w:sz w:val="16"/>
                <w:szCs w:val="16"/>
                <w:color w:val="auto"/>
              </w:rPr>
            </w:pPr>
          </w:p>
        </w:tc>
      </w:tr>
      <w:tr>
        <w:trPr>
          <w:trHeight w:val="228"/>
        </w:trPr>
        <w:tc>
          <w:tcPr>
            <w:tcW w:w="5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(loss) income attributable to Fulgent</w:t>
            </w:r>
          </w:p>
        </w:tc>
        <w:tc>
          <w:tcPr>
            <w:tcW w:w="740" w:type="dxa"/>
            <w:vAlign w:val="bottom"/>
            <w:shd w:val="clear" w:color="auto" w:fill="CFF0FC"/>
          </w:tcPr>
          <w:p>
            <w:pPr>
              <w:jc w:val="right"/>
              <w:ind w:right="592"/>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86"/>
              </w:rPr>
              <w:t>(13,107 )</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1,719</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(39,676 )</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167,235</w:t>
            </w:r>
          </w:p>
        </w:tc>
        <w:tc>
          <w:tcPr>
            <w:tcW w:w="100" w:type="dxa"/>
            <w:vAlign w:val="bottom"/>
            <w:shd w:val="clear" w:color="auto" w:fill="CFF0FC"/>
          </w:tcPr>
          <w:p>
            <w:pPr>
              <w:spacing w:after="0"/>
              <w:rPr>
                <w:sz w:val="19"/>
                <w:szCs w:val="19"/>
                <w:color w:val="auto"/>
              </w:rPr>
            </w:pPr>
          </w:p>
        </w:tc>
      </w:tr>
      <w:tr>
        <w:trPr>
          <w:trHeight w:val="175"/>
        </w:trPr>
        <w:tc>
          <w:tcPr>
            <w:tcW w:w="560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97"/>
        </w:trPr>
        <w:tc>
          <w:tcPr>
            <w:tcW w:w="5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(loss) income per common share attributable to Fulgent:</w:t>
            </w:r>
          </w:p>
        </w:tc>
        <w:tc>
          <w:tcPr>
            <w:tcW w:w="7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1"/>
        </w:trPr>
        <w:tc>
          <w:tcPr>
            <w:tcW w:w="5600" w:type="dxa"/>
            <w:vAlign w:val="bottom"/>
          </w:tcPr>
          <w:p>
            <w:pPr>
              <w:ind w:left="160"/>
              <w:spacing w:after="0"/>
              <w:rPr>
                <w:sz w:val="20"/>
                <w:szCs w:val="20"/>
                <w:color w:val="auto"/>
              </w:rPr>
            </w:pPr>
            <w:r>
              <w:rPr>
                <w:rFonts w:ascii="Arial" w:cs="Arial" w:eastAsia="Arial" w:hAnsi="Arial"/>
                <w:sz w:val="15"/>
                <w:szCs w:val="15"/>
                <w:color w:val="auto"/>
              </w:rPr>
              <w:t>Basic</w:t>
            </w:r>
          </w:p>
        </w:tc>
        <w:tc>
          <w:tcPr>
            <w:tcW w:w="740" w:type="dxa"/>
            <w:vAlign w:val="bottom"/>
          </w:tcPr>
          <w:p>
            <w:pPr>
              <w:jc w:val="right"/>
              <w:ind w:right="592"/>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(0.44 )</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0.06</w:t>
            </w: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(1.33 )</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5.53</w:t>
            </w:r>
          </w:p>
        </w:tc>
        <w:tc>
          <w:tcPr>
            <w:tcW w:w="100" w:type="dxa"/>
            <w:vAlign w:val="bottom"/>
          </w:tcPr>
          <w:p>
            <w:pPr>
              <w:spacing w:after="0"/>
              <w:rPr>
                <w:sz w:val="16"/>
                <w:szCs w:val="16"/>
                <w:color w:val="auto"/>
              </w:rPr>
            </w:pP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00" w:type="dxa"/>
            <w:vAlign w:val="bottom"/>
            <w:shd w:val="clear" w:color="auto" w:fill="CFF0FC"/>
          </w:tcPr>
          <w:p>
            <w:pPr>
              <w:ind w:left="160"/>
              <w:spacing w:after="0" w:line="170" w:lineRule="exact"/>
              <w:rPr>
                <w:sz w:val="20"/>
                <w:szCs w:val="20"/>
                <w:color w:val="auto"/>
              </w:rPr>
            </w:pPr>
            <w:r>
              <w:rPr>
                <w:rFonts w:ascii="Arial" w:cs="Arial" w:eastAsia="Arial" w:hAnsi="Arial"/>
                <w:sz w:val="15"/>
                <w:szCs w:val="15"/>
                <w:color w:val="auto"/>
              </w:rPr>
              <w:t>Diluted</w:t>
            </w:r>
          </w:p>
        </w:tc>
        <w:tc>
          <w:tcPr>
            <w:tcW w:w="740" w:type="dxa"/>
            <w:vAlign w:val="bottom"/>
            <w:shd w:val="clear" w:color="auto" w:fill="CFF0FC"/>
          </w:tcPr>
          <w:p>
            <w:pPr>
              <w:jc w:val="right"/>
              <w:ind w:right="592"/>
              <w:spacing w:after="0" w:line="170"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220"/>
              <w:spacing w:after="0" w:line="170" w:lineRule="exact"/>
              <w:rPr>
                <w:sz w:val="20"/>
                <w:szCs w:val="20"/>
                <w:color w:val="auto"/>
              </w:rPr>
            </w:pPr>
            <w:r>
              <w:rPr>
                <w:rFonts w:ascii="Arial" w:cs="Arial" w:eastAsia="Arial" w:hAnsi="Arial"/>
                <w:sz w:val="15"/>
                <w:szCs w:val="15"/>
                <w:color w:val="auto"/>
              </w:rPr>
              <w:t>(0.44 )</w:t>
            </w:r>
          </w:p>
        </w:tc>
        <w:tc>
          <w:tcPr>
            <w:tcW w:w="280" w:type="dxa"/>
            <w:vAlign w:val="bottom"/>
            <w:shd w:val="clear" w:color="auto" w:fill="CFF0FC"/>
          </w:tcPr>
          <w:p>
            <w:pPr>
              <w:jc w:val="right"/>
              <w:ind w:right="127"/>
              <w:spacing w:after="0" w:line="170"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0.06</w:t>
            </w:r>
          </w:p>
        </w:tc>
        <w:tc>
          <w:tcPr>
            <w:tcW w:w="50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5"/>
                <w:szCs w:val="15"/>
                <w:color w:val="auto"/>
              </w:rPr>
              <w:t>(1.33 )</w:t>
            </w:r>
          </w:p>
        </w:tc>
        <w:tc>
          <w:tcPr>
            <w:tcW w:w="320" w:type="dxa"/>
            <w:vAlign w:val="bottom"/>
            <w:shd w:val="clear" w:color="auto" w:fill="CFF0FC"/>
          </w:tcPr>
          <w:p>
            <w:pPr>
              <w:jc w:val="right"/>
              <w:ind w:right="167"/>
              <w:spacing w:after="0" w:line="170"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5.38</w:t>
            </w:r>
          </w:p>
        </w:tc>
        <w:tc>
          <w:tcPr>
            <w:tcW w:w="100" w:type="dxa"/>
            <w:vAlign w:val="bottom"/>
            <w:shd w:val="clear" w:color="auto" w:fill="CFF0FC"/>
          </w:tcPr>
          <w:p>
            <w:pPr>
              <w:spacing w:after="0"/>
              <w:rPr>
                <w:sz w:val="18"/>
                <w:szCs w:val="18"/>
                <w:color w:val="auto"/>
              </w:rPr>
            </w:pPr>
          </w:p>
        </w:tc>
      </w:tr>
      <w:tr>
        <w:trPr>
          <w:trHeight w:val="175"/>
        </w:trPr>
        <w:tc>
          <w:tcPr>
            <w:tcW w:w="560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97"/>
        </w:trPr>
        <w:tc>
          <w:tcPr>
            <w:tcW w:w="5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Weighted-average common shares:</w:t>
            </w:r>
          </w:p>
        </w:tc>
        <w:tc>
          <w:tcPr>
            <w:tcW w:w="7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1"/>
        </w:trPr>
        <w:tc>
          <w:tcPr>
            <w:tcW w:w="5600" w:type="dxa"/>
            <w:vAlign w:val="bottom"/>
          </w:tcPr>
          <w:p>
            <w:pPr>
              <w:ind w:left="160"/>
              <w:spacing w:after="0"/>
              <w:rPr>
                <w:sz w:val="20"/>
                <w:szCs w:val="20"/>
                <w:color w:val="auto"/>
              </w:rPr>
            </w:pPr>
            <w:r>
              <w:rPr>
                <w:rFonts w:ascii="Arial" w:cs="Arial" w:eastAsia="Arial" w:hAnsi="Arial"/>
                <w:sz w:val="15"/>
                <w:szCs w:val="15"/>
                <w:color w:val="auto"/>
              </w:rPr>
              <w:t>Basic</w:t>
            </w:r>
          </w:p>
        </w:tc>
        <w:tc>
          <w:tcPr>
            <w:tcW w:w="7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30,013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30,174</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29,789</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30,256</w:t>
            </w:r>
          </w:p>
        </w:tc>
        <w:tc>
          <w:tcPr>
            <w:tcW w:w="100" w:type="dxa"/>
            <w:vAlign w:val="bottom"/>
          </w:tcPr>
          <w:p>
            <w:pPr>
              <w:spacing w:after="0"/>
              <w:rPr>
                <w:sz w:val="16"/>
                <w:szCs w:val="16"/>
                <w:color w:val="auto"/>
              </w:rPr>
            </w:pPr>
          </w:p>
        </w:tc>
      </w:tr>
      <w:tr>
        <w:trPr>
          <w:trHeight w:val="20"/>
        </w:trPr>
        <w:tc>
          <w:tcPr>
            <w:tcW w:w="5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00" w:type="dxa"/>
            <w:vAlign w:val="bottom"/>
            <w:tcBorders>
              <w:bottom w:val="single" w:sz="8" w:color="CFF0FC"/>
            </w:tcBorders>
            <w:shd w:val="clear" w:color="auto" w:fill="CFF0FC"/>
          </w:tcPr>
          <w:p>
            <w:pPr>
              <w:ind w:left="160"/>
              <w:spacing w:after="0" w:line="170" w:lineRule="exact"/>
              <w:rPr>
                <w:sz w:val="20"/>
                <w:szCs w:val="20"/>
                <w:color w:val="auto"/>
              </w:rPr>
            </w:pPr>
            <w:r>
              <w:rPr>
                <w:rFonts w:ascii="Arial" w:cs="Arial" w:eastAsia="Arial" w:hAnsi="Arial"/>
                <w:sz w:val="15"/>
                <w:szCs w:val="15"/>
                <w:color w:val="auto"/>
              </w:rPr>
              <w:t>Diluted</w:t>
            </w:r>
          </w:p>
        </w:tc>
        <w:tc>
          <w:tcPr>
            <w:tcW w:w="7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5"/>
                <w:szCs w:val="15"/>
                <w:color w:val="auto"/>
                <w:w w:val="95"/>
              </w:rPr>
              <w:t>30,013</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5"/>
                <w:szCs w:val="15"/>
                <w:color w:val="auto"/>
              </w:rPr>
              <w:t>30,867</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5"/>
                <w:szCs w:val="15"/>
                <w:color w:val="auto"/>
              </w:rPr>
              <w:t>29,789</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5"/>
                <w:szCs w:val="15"/>
                <w:color w:val="auto"/>
              </w:rPr>
              <w:t>31,107</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-2894965</wp:posOffset>
            </wp:positionV>
            <wp:extent cx="76200" cy="132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200" cy="132080"/>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-2894965</wp:posOffset>
            </wp:positionV>
            <wp:extent cx="69215" cy="132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6108065</wp:posOffset>
            </wp:positionH>
            <wp:positionV relativeFrom="paragraph">
              <wp:posOffset>-2894965</wp:posOffset>
            </wp:positionV>
            <wp:extent cx="69215" cy="132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-2894965</wp:posOffset>
            </wp:positionV>
            <wp:extent cx="69215" cy="132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-2138045</wp:posOffset>
            </wp:positionV>
            <wp:extent cx="76200" cy="139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-2138045</wp:posOffset>
            </wp:positionV>
            <wp:extent cx="69215" cy="139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6108065</wp:posOffset>
            </wp:positionH>
            <wp:positionV relativeFrom="paragraph">
              <wp:posOffset>-2138045</wp:posOffset>
            </wp:positionV>
            <wp:extent cx="69215" cy="139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-2138045</wp:posOffset>
            </wp:positionV>
            <wp:extent cx="69215" cy="139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-1103630</wp:posOffset>
            </wp:positionV>
            <wp:extent cx="283273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32735" cy="146050"/>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-561975</wp:posOffset>
            </wp:positionV>
            <wp:extent cx="283273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32735" cy="146050"/>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-20320</wp:posOffset>
            </wp:positionV>
            <wp:extent cx="7620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-6350</wp:posOffset>
            </wp:positionV>
            <wp:extent cx="7620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-20320</wp:posOffset>
            </wp:positionV>
            <wp:extent cx="6921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-6350</wp:posOffset>
            </wp:positionV>
            <wp:extent cx="6921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6108065</wp:posOffset>
            </wp:positionH>
            <wp:positionV relativeFrom="paragraph">
              <wp:posOffset>-20320</wp:posOffset>
            </wp:positionV>
            <wp:extent cx="6921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6108065</wp:posOffset>
            </wp:positionH>
            <wp:positionV relativeFrom="paragraph">
              <wp:posOffset>-6350</wp:posOffset>
            </wp:positionV>
            <wp:extent cx="6921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-20320</wp:posOffset>
            </wp:positionV>
            <wp:extent cx="6921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-6350</wp:posOffset>
            </wp:positionV>
            <wp:extent cx="6921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15" cy="698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FULGENT GENETICS,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Comprehensive Income (Loss)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2280" w:type="dxa"/>
            <w:vAlign w:val="bottom"/>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6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Nine Months Ended September 30,</w:t>
            </w:r>
          </w:p>
        </w:tc>
      </w:tr>
      <w:tr>
        <w:trPr>
          <w:trHeight w:val="133"/>
        </w:trPr>
        <w:tc>
          <w:tcPr>
            <w:tcW w:w="55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2023</w:t>
            </w:r>
          </w:p>
        </w:tc>
        <w:tc>
          <w:tcPr>
            <w:tcW w:w="48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2"/>
              <w:spacing w:after="0" w:line="133" w:lineRule="exact"/>
              <w:rPr>
                <w:sz w:val="20"/>
                <w:szCs w:val="20"/>
                <w:color w:val="auto"/>
              </w:rPr>
            </w:pPr>
            <w:r>
              <w:rPr>
                <w:rFonts w:ascii="Arial" w:cs="Arial" w:eastAsia="Arial" w:hAnsi="Arial"/>
                <w:sz w:val="12"/>
                <w:szCs w:val="12"/>
                <w:b w:val="1"/>
                <w:bCs w:val="1"/>
                <w:color w:val="auto"/>
              </w:rPr>
              <w:t>2022</w:t>
            </w:r>
          </w:p>
        </w:tc>
        <w:tc>
          <w:tcPr>
            <w:tcW w:w="42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2023</w:t>
            </w:r>
          </w:p>
        </w:tc>
        <w:tc>
          <w:tcPr>
            <w:tcW w:w="4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429"/>
              <w:spacing w:after="0" w:line="133" w:lineRule="exact"/>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1"/>
                <w:szCs w:val="11"/>
                <w:color w:val="auto"/>
              </w:rPr>
            </w:pPr>
          </w:p>
        </w:tc>
      </w:tr>
      <w:tr>
        <w:trPr>
          <w:trHeight w:val="188"/>
        </w:trPr>
        <w:tc>
          <w:tcPr>
            <w:tcW w:w="558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Net (loss) income from consolidated operations</w:t>
            </w:r>
          </w:p>
        </w:tc>
        <w:tc>
          <w:tcPr>
            <w:tcW w:w="740" w:type="dxa"/>
            <w:vAlign w:val="bottom"/>
            <w:shd w:val="clear" w:color="auto" w:fill="CFF0FC"/>
          </w:tcPr>
          <w:p>
            <w:pPr>
              <w:jc w:val="right"/>
              <w:ind w:right="59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86"/>
              </w:rPr>
              <w:t>(13,466 )</w:t>
            </w: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1,343</w:t>
            </w:r>
          </w:p>
        </w:tc>
        <w:tc>
          <w:tcPr>
            <w:tcW w:w="1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602"/>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w w:val="83"/>
              </w:rPr>
              <w:t>(40,905 )</w:t>
            </w:r>
          </w:p>
        </w:tc>
        <w:tc>
          <w:tcPr>
            <w:tcW w:w="30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165,999</w:t>
            </w:r>
          </w:p>
        </w:tc>
        <w:tc>
          <w:tcPr>
            <w:tcW w:w="100" w:type="dxa"/>
            <w:vAlign w:val="bottom"/>
            <w:shd w:val="clear" w:color="auto" w:fill="CFF0FC"/>
          </w:tcPr>
          <w:p>
            <w:pPr>
              <w:spacing w:after="0"/>
              <w:rPr>
                <w:sz w:val="16"/>
                <w:szCs w:val="16"/>
                <w:color w:val="auto"/>
              </w:rPr>
            </w:pPr>
          </w:p>
        </w:tc>
      </w:tr>
      <w:tr>
        <w:trPr>
          <w:trHeight w:val="193"/>
        </w:trPr>
        <w:tc>
          <w:tcPr>
            <w:tcW w:w="5580" w:type="dxa"/>
            <w:vAlign w:val="bottom"/>
          </w:tcPr>
          <w:p>
            <w:pPr>
              <w:ind w:left="20"/>
              <w:spacing w:after="0"/>
              <w:rPr>
                <w:sz w:val="20"/>
                <w:szCs w:val="20"/>
                <w:color w:val="auto"/>
              </w:rPr>
            </w:pPr>
            <w:r>
              <w:rPr>
                <w:rFonts w:ascii="Arial" w:cs="Arial" w:eastAsia="Arial" w:hAnsi="Arial"/>
                <w:sz w:val="15"/>
                <w:szCs w:val="15"/>
                <w:b w:val="1"/>
                <w:bCs w:val="1"/>
                <w:color w:val="auto"/>
              </w:rPr>
              <w:t>Other comprehensive income (loss):</w:t>
            </w: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0"/>
        </w:trPr>
        <w:tc>
          <w:tcPr>
            <w:tcW w:w="5580" w:type="dxa"/>
            <w:vAlign w:val="bottom"/>
            <w:shd w:val="clear" w:color="auto" w:fill="CFF0FC"/>
          </w:tcPr>
          <w:p>
            <w:pPr>
              <w:ind w:left="160"/>
              <w:spacing w:after="0"/>
              <w:rPr>
                <w:sz w:val="20"/>
                <w:szCs w:val="20"/>
                <w:color w:val="auto"/>
              </w:rPr>
            </w:pPr>
            <w:r>
              <w:rPr>
                <w:rFonts w:ascii="Arial" w:cs="Arial" w:eastAsia="Arial" w:hAnsi="Arial"/>
                <w:sz w:val="15"/>
                <w:szCs w:val="15"/>
                <w:color w:val="auto"/>
              </w:rPr>
              <w:t>Foreign currency translation loss</w:t>
            </w:r>
          </w:p>
        </w:tc>
        <w:tc>
          <w:tcPr>
            <w:tcW w:w="7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(230 )</w:t>
            </w:r>
          </w:p>
        </w:tc>
        <w:tc>
          <w:tcPr>
            <w:tcW w:w="78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88"/>
              </w:rPr>
              <w:t>(1,925 )</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w w:val="96"/>
              </w:rPr>
              <w:t>(2,027 )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(3,680 )</w:t>
            </w:r>
          </w:p>
        </w:tc>
      </w:tr>
      <w:tr>
        <w:trPr>
          <w:trHeight w:val="191"/>
        </w:trPr>
        <w:tc>
          <w:tcPr>
            <w:tcW w:w="5580" w:type="dxa"/>
            <w:vAlign w:val="bottom"/>
          </w:tcPr>
          <w:p>
            <w:pPr>
              <w:ind w:left="160"/>
              <w:spacing w:after="0"/>
              <w:rPr>
                <w:sz w:val="20"/>
                <w:szCs w:val="20"/>
                <w:color w:val="auto"/>
              </w:rPr>
            </w:pPr>
            <w:r>
              <w:rPr>
                <w:rFonts w:ascii="Arial" w:cs="Arial" w:eastAsia="Arial" w:hAnsi="Arial"/>
                <w:sz w:val="15"/>
                <w:szCs w:val="15"/>
                <w:color w:val="auto"/>
              </w:rPr>
              <w:t>Net gain (loss) on available-for-sale debt securities, net of tax</w:t>
            </w:r>
          </w:p>
        </w:tc>
        <w:tc>
          <w:tcPr>
            <w:tcW w:w="7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4,017</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w w:val="88"/>
              </w:rPr>
              <w:t>(2,502 )</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7,214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5"/>
                <w:szCs w:val="15"/>
                <w:color w:val="auto"/>
              </w:rPr>
              <w:t>(22,708 )</w:t>
            </w:r>
          </w:p>
        </w:tc>
      </w:tr>
      <w:tr>
        <w:trPr>
          <w:trHeight w:val="20"/>
        </w:trPr>
        <w:tc>
          <w:tcPr>
            <w:tcW w:w="5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558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Comprehensive (loss) income from consolidated operations</w:t>
            </w:r>
          </w:p>
        </w:tc>
        <w:tc>
          <w:tcPr>
            <w:tcW w:w="7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(9,679 )</w:t>
            </w:r>
          </w:p>
        </w:tc>
        <w:tc>
          <w:tcPr>
            <w:tcW w:w="78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88"/>
              </w:rPr>
              <w:t>(3,084 )</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w w:val="83"/>
              </w:rPr>
              <w:t>(35,718 )</w:t>
            </w: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139,611</w:t>
            </w:r>
          </w:p>
        </w:tc>
        <w:tc>
          <w:tcPr>
            <w:tcW w:w="100" w:type="dxa"/>
            <w:vAlign w:val="bottom"/>
            <w:shd w:val="clear" w:color="auto" w:fill="CFF0FC"/>
          </w:tcPr>
          <w:p>
            <w:pPr>
              <w:spacing w:after="0"/>
              <w:rPr>
                <w:sz w:val="16"/>
                <w:szCs w:val="16"/>
                <w:color w:val="auto"/>
              </w:rPr>
            </w:pPr>
          </w:p>
        </w:tc>
      </w:tr>
      <w:tr>
        <w:trPr>
          <w:trHeight w:val="191"/>
        </w:trPr>
        <w:tc>
          <w:tcPr>
            <w:tcW w:w="5580" w:type="dxa"/>
            <w:vAlign w:val="bottom"/>
          </w:tcPr>
          <w:p>
            <w:pPr>
              <w:ind w:left="160"/>
              <w:spacing w:after="0"/>
              <w:rPr>
                <w:sz w:val="20"/>
                <w:szCs w:val="20"/>
                <w:color w:val="auto"/>
              </w:rPr>
            </w:pPr>
            <w:r>
              <w:rPr>
                <w:rFonts w:ascii="Arial" w:cs="Arial" w:eastAsia="Arial" w:hAnsi="Arial"/>
                <w:sz w:val="15"/>
                <w:szCs w:val="15"/>
                <w:color w:val="auto"/>
              </w:rPr>
              <w:t>Net loss attributable to noncontrolling interest</w:t>
            </w:r>
          </w:p>
        </w:tc>
        <w:tc>
          <w:tcPr>
            <w:tcW w:w="7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359</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1,229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1,236</w:t>
            </w:r>
          </w:p>
        </w:tc>
        <w:tc>
          <w:tcPr>
            <w:tcW w:w="100" w:type="dxa"/>
            <w:vAlign w:val="bottom"/>
          </w:tcPr>
          <w:p>
            <w:pPr>
              <w:spacing w:after="0"/>
              <w:rPr>
                <w:sz w:val="16"/>
                <w:szCs w:val="16"/>
                <w:color w:val="auto"/>
              </w:rPr>
            </w:pPr>
          </w:p>
        </w:tc>
      </w:tr>
      <w:tr>
        <w:trPr>
          <w:trHeight w:val="197"/>
        </w:trPr>
        <w:tc>
          <w:tcPr>
            <w:tcW w:w="5580" w:type="dxa"/>
            <w:vAlign w:val="bottom"/>
            <w:shd w:val="clear" w:color="auto" w:fill="CFF0FC"/>
          </w:tcPr>
          <w:p>
            <w:pPr>
              <w:ind w:left="160"/>
              <w:spacing w:after="0"/>
              <w:rPr>
                <w:sz w:val="20"/>
                <w:szCs w:val="20"/>
                <w:color w:val="auto"/>
              </w:rPr>
            </w:pPr>
            <w:r>
              <w:rPr>
                <w:rFonts w:ascii="Arial" w:cs="Arial" w:eastAsia="Arial" w:hAnsi="Arial"/>
                <w:sz w:val="15"/>
                <w:szCs w:val="15"/>
                <w:color w:val="auto"/>
              </w:rPr>
              <w:t>Foreign currency translation loss (gain) attributable to noncontrolling interest</w:t>
            </w:r>
          </w:p>
        </w:tc>
        <w:tc>
          <w:tcPr>
            <w:tcW w:w="7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w:t>
            </w: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w w:val="96"/>
              </w:rPr>
              <w:t>(1,175 )</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1,545</w:t>
            </w:r>
          </w:p>
        </w:tc>
        <w:tc>
          <w:tcPr>
            <w:tcW w:w="100" w:type="dxa"/>
            <w:vAlign w:val="bottom"/>
            <w:shd w:val="clear" w:color="auto" w:fill="CFF0FC"/>
          </w:tcPr>
          <w:p>
            <w:pPr>
              <w:spacing w:after="0"/>
              <w:rPr>
                <w:sz w:val="17"/>
                <w:szCs w:val="17"/>
                <w:color w:val="auto"/>
              </w:rPr>
            </w:pPr>
          </w:p>
        </w:tc>
      </w:tr>
      <w:tr>
        <w:trPr>
          <w:trHeight w:val="190"/>
        </w:trPr>
        <w:tc>
          <w:tcPr>
            <w:tcW w:w="5580" w:type="dxa"/>
            <w:vAlign w:val="bottom"/>
            <w:tcBorders>
              <w:top w:val="single" w:sz="8" w:color="CFF0FC"/>
            </w:tcBorders>
          </w:tcPr>
          <w:p>
            <w:pPr>
              <w:ind w:left="20"/>
              <w:spacing w:after="0"/>
              <w:rPr>
                <w:sz w:val="20"/>
                <w:szCs w:val="20"/>
                <w:color w:val="auto"/>
              </w:rPr>
            </w:pPr>
            <w:r>
              <w:rPr>
                <w:rFonts w:ascii="Arial" w:cs="Arial" w:eastAsia="Arial" w:hAnsi="Arial"/>
                <w:sz w:val="15"/>
                <w:szCs w:val="15"/>
                <w:b w:val="1"/>
                <w:bCs w:val="1"/>
                <w:color w:val="auto"/>
              </w:rPr>
              <w:t>Comprehensive loss attributable to noncontrolling interest</w:t>
            </w:r>
          </w:p>
        </w:tc>
        <w:tc>
          <w:tcPr>
            <w:tcW w:w="7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427</w:t>
            </w:r>
          </w:p>
        </w:tc>
        <w:tc>
          <w:tcPr>
            <w:tcW w:w="280" w:type="dxa"/>
            <w:vAlign w:val="bottom"/>
            <w:tcBorders>
              <w:top w:val="single" w:sz="8" w:color="CFF0FC"/>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1,618</w:t>
            </w: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240" w:type="dxa"/>
            <w:vAlign w:val="bottom"/>
            <w:tcBorders>
              <w:top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2,781</w:t>
            </w:r>
          </w:p>
        </w:tc>
        <w:tc>
          <w:tcPr>
            <w:tcW w:w="100" w:type="dxa"/>
            <w:vAlign w:val="bottom"/>
            <w:tcBorders>
              <w:top w:val="single" w:sz="8" w:color="CFF0FC"/>
            </w:tcBorders>
          </w:tcPr>
          <w:p>
            <w:pPr>
              <w:spacing w:after="0"/>
              <w:rPr>
                <w:sz w:val="16"/>
                <w:szCs w:val="16"/>
                <w:color w:val="auto"/>
              </w:rPr>
            </w:pPr>
          </w:p>
        </w:tc>
      </w:tr>
      <w:tr>
        <w:trPr>
          <w:trHeight w:val="208"/>
        </w:trPr>
        <w:tc>
          <w:tcPr>
            <w:tcW w:w="558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Comprehensive (loss) income attributable to Fulgent</w:t>
            </w:r>
          </w:p>
        </w:tc>
        <w:tc>
          <w:tcPr>
            <w:tcW w:w="740" w:type="dxa"/>
            <w:vAlign w:val="bottom"/>
            <w:shd w:val="clear" w:color="auto" w:fill="CFF0FC"/>
          </w:tcPr>
          <w:p>
            <w:pPr>
              <w:jc w:val="right"/>
              <w:ind w:right="59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(9,252 )</w:t>
            </w: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88"/>
              </w:rPr>
              <w:t>(1,466 )</w:t>
            </w:r>
          </w:p>
        </w:tc>
        <w:tc>
          <w:tcPr>
            <w:tcW w:w="880" w:type="dxa"/>
            <w:vAlign w:val="bottom"/>
            <w:gridSpan w:val="2"/>
            <w:shd w:val="clear" w:color="auto" w:fill="CFF0FC"/>
          </w:tcPr>
          <w:p>
            <w:pPr>
              <w:jc w:val="right"/>
              <w:ind w:right="602"/>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w w:val="83"/>
              </w:rPr>
              <w:t>(35,664 )</w:t>
            </w:r>
          </w:p>
        </w:tc>
        <w:tc>
          <w:tcPr>
            <w:tcW w:w="30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142,392</w:t>
            </w:r>
          </w:p>
        </w:tc>
        <w:tc>
          <w:tcPr>
            <w:tcW w:w="100" w:type="dxa"/>
            <w:vAlign w:val="bottom"/>
            <w:shd w:val="clear" w:color="auto" w:fill="CFF0FC"/>
          </w:tcPr>
          <w:p>
            <w:pPr>
              <w:spacing w:after="0"/>
              <w:rPr>
                <w:sz w:val="18"/>
                <w:szCs w:val="18"/>
                <w:color w:val="auto"/>
              </w:rPr>
            </w:pP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-283845</wp:posOffset>
            </wp:positionV>
            <wp:extent cx="76200" cy="139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-283845</wp:posOffset>
            </wp:positionV>
            <wp:extent cx="69215" cy="139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-283845</wp:posOffset>
            </wp:positionV>
            <wp:extent cx="69215" cy="139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-283845</wp:posOffset>
            </wp:positionV>
            <wp:extent cx="69215" cy="139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-20320</wp:posOffset>
            </wp:positionV>
            <wp:extent cx="7620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-6350</wp:posOffset>
            </wp:positionV>
            <wp:extent cx="7620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-20320</wp:posOffset>
            </wp:positionV>
            <wp:extent cx="6921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-6350</wp:posOffset>
            </wp:positionV>
            <wp:extent cx="6921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-20320</wp:posOffset>
            </wp:positionV>
            <wp:extent cx="6921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-6350</wp:posOffset>
            </wp:positionV>
            <wp:extent cx="6921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-20320</wp:posOffset>
            </wp:positionV>
            <wp:extent cx="6921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-6350</wp:posOffset>
            </wp:positionV>
            <wp:extent cx="6921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15" cy="698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r>
        <w:rPr>
          <w:rFonts w:ascii="Arial" w:cs="Arial" w:eastAsia="Arial" w:hAnsi="Arial"/>
          <w:sz w:val="17"/>
          <w:szCs w:val="17"/>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FULGENT GENETICS,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Stockholders’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86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2"/>
                <w:szCs w:val="12"/>
                <w:b w:val="1"/>
                <w:bCs w:val="1"/>
                <w:color w:val="auto"/>
              </w:rPr>
              <w:t>Fulgent Stockholders’ Equity</w:t>
            </w: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05"/>
        </w:trPr>
        <w:tc>
          <w:tcPr>
            <w:tcW w:w="2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340"/>
              <w:spacing w:after="0" w:line="105" w:lineRule="exact"/>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0"/>
        </w:trPr>
        <w:tc>
          <w:tcPr>
            <w:tcW w:w="2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340"/>
              <w:spacing w:after="0" w:line="121"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420"/>
              <w:spacing w:after="0" w:line="121" w:lineRule="exact"/>
              <w:rPr>
                <w:sz w:val="20"/>
                <w:szCs w:val="20"/>
                <w:color w:val="auto"/>
              </w:rPr>
            </w:pPr>
            <w:r>
              <w:rPr>
                <w:rFonts w:ascii="Arial" w:cs="Arial" w:eastAsia="Arial" w:hAnsi="Arial"/>
                <w:sz w:val="12"/>
                <w:szCs w:val="12"/>
                <w:b w:val="1"/>
                <w:bCs w:val="1"/>
                <w:color w:val="auto"/>
                <w:w w:val="87"/>
              </w:rPr>
              <w:t>Fulgent</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0"/>
        </w:trPr>
        <w:tc>
          <w:tcPr>
            <w:tcW w:w="2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420"/>
              <w:spacing w:after="0" w:line="121" w:lineRule="exact"/>
              <w:rPr>
                <w:sz w:val="20"/>
                <w:szCs w:val="20"/>
                <w:color w:val="auto"/>
              </w:rPr>
            </w:pPr>
            <w:r>
              <w:rPr>
                <w:rFonts w:ascii="Arial" w:cs="Arial" w:eastAsia="Arial" w:hAnsi="Arial"/>
                <w:sz w:val="12"/>
                <w:szCs w:val="12"/>
                <w:b w:val="1"/>
                <w:bCs w:val="1"/>
                <w:color w:val="auto"/>
                <w:w w:val="91"/>
              </w:rPr>
              <w:t>Additional</w:t>
            </w:r>
          </w:p>
        </w:tc>
        <w:tc>
          <w:tcPr>
            <w:tcW w:w="1080" w:type="dxa"/>
            <w:vAlign w:val="bottom"/>
            <w:gridSpan w:val="3"/>
          </w:tcPr>
          <w:p>
            <w:pPr>
              <w:jc w:val="center"/>
              <w:ind w:right="220"/>
              <w:spacing w:after="0" w:line="121" w:lineRule="exact"/>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10"/>
                <w:szCs w:val="10"/>
                <w:color w:val="auto"/>
              </w:rPr>
            </w:pPr>
          </w:p>
        </w:tc>
        <w:tc>
          <w:tcPr>
            <w:tcW w:w="940" w:type="dxa"/>
            <w:vAlign w:val="bottom"/>
            <w:gridSpan w:val="2"/>
          </w:tcPr>
          <w:p>
            <w:pPr>
              <w:jc w:val="right"/>
              <w:ind w:right="440"/>
              <w:spacing w:after="0" w:line="121" w:lineRule="exact"/>
              <w:rPr>
                <w:sz w:val="20"/>
                <w:szCs w:val="20"/>
                <w:color w:val="auto"/>
              </w:rPr>
            </w:pPr>
            <w:r>
              <w:rPr>
                <w:rFonts w:ascii="Arial" w:cs="Arial" w:eastAsia="Arial" w:hAnsi="Arial"/>
                <w:sz w:val="12"/>
                <w:szCs w:val="12"/>
                <w:b w:val="1"/>
                <w:bCs w:val="1"/>
                <w:color w:val="auto"/>
                <w:w w:val="94"/>
              </w:rPr>
              <w:t>Retained</w:t>
            </w:r>
          </w:p>
        </w:tc>
        <w:tc>
          <w:tcPr>
            <w:tcW w:w="1080" w:type="dxa"/>
            <w:vAlign w:val="bottom"/>
            <w:gridSpan w:val="3"/>
          </w:tcPr>
          <w:p>
            <w:pPr>
              <w:jc w:val="center"/>
              <w:ind w:right="240"/>
              <w:spacing w:after="0" w:line="121" w:lineRule="exact"/>
              <w:rPr>
                <w:sz w:val="20"/>
                <w:szCs w:val="20"/>
                <w:color w:val="auto"/>
              </w:rPr>
            </w:pPr>
            <w:r>
              <w:rPr>
                <w:rFonts w:ascii="Arial" w:cs="Arial" w:eastAsia="Arial" w:hAnsi="Arial"/>
                <w:sz w:val="12"/>
                <w:szCs w:val="12"/>
                <w:b w:val="1"/>
                <w:bCs w:val="1"/>
                <w:color w:val="auto"/>
                <w:w w:val="85"/>
              </w:rPr>
              <w:t>Stockholders’</w:t>
            </w:r>
          </w:p>
        </w:tc>
        <w:tc>
          <w:tcPr>
            <w:tcW w:w="1060" w:type="dxa"/>
            <w:vAlign w:val="bottom"/>
            <w:gridSpan w:val="3"/>
          </w:tcPr>
          <w:p>
            <w:pPr>
              <w:jc w:val="right"/>
              <w:ind w:right="280"/>
              <w:spacing w:after="0" w:line="121" w:lineRule="exact"/>
              <w:rPr>
                <w:sz w:val="20"/>
                <w:szCs w:val="20"/>
                <w:color w:val="auto"/>
              </w:rPr>
            </w:pPr>
            <w:r>
              <w:rPr>
                <w:rFonts w:ascii="Arial" w:cs="Arial" w:eastAsia="Arial" w:hAnsi="Arial"/>
                <w:sz w:val="12"/>
                <w:szCs w:val="12"/>
                <w:b w:val="1"/>
                <w:bCs w:val="1"/>
                <w:color w:val="auto"/>
                <w:w w:val="89"/>
              </w:rPr>
              <w:t>Noncontrolling</w:t>
            </w:r>
          </w:p>
        </w:tc>
        <w:tc>
          <w:tcPr>
            <w:tcW w:w="180" w:type="dxa"/>
            <w:vAlign w:val="bottom"/>
          </w:tcPr>
          <w:p>
            <w:pPr>
              <w:spacing w:after="0"/>
              <w:rPr>
                <w:sz w:val="10"/>
                <w:szCs w:val="10"/>
                <w:color w:val="auto"/>
              </w:rPr>
            </w:pPr>
          </w:p>
        </w:tc>
        <w:tc>
          <w:tcPr>
            <w:tcW w:w="800" w:type="dxa"/>
            <w:vAlign w:val="bottom"/>
            <w:gridSpan w:val="2"/>
          </w:tcPr>
          <w:p>
            <w:pPr>
              <w:jc w:val="right"/>
              <w:ind w:right="420"/>
              <w:spacing w:after="0" w:line="121" w:lineRule="exact"/>
              <w:rPr>
                <w:sz w:val="20"/>
                <w:szCs w:val="20"/>
                <w:color w:val="auto"/>
              </w:rPr>
            </w:pPr>
            <w:r>
              <w:rPr>
                <w:rFonts w:ascii="Arial" w:cs="Arial" w:eastAsia="Arial" w:hAnsi="Arial"/>
                <w:sz w:val="12"/>
                <w:szCs w:val="12"/>
                <w:b w:val="1"/>
                <w:bCs w:val="1"/>
                <w:color w:val="auto"/>
              </w:rPr>
              <w:t>Total</w:t>
            </w:r>
          </w:p>
        </w:tc>
      </w:tr>
      <w:tr>
        <w:trPr>
          <w:trHeight w:val="149"/>
        </w:trPr>
        <w:tc>
          <w:tcPr>
            <w:tcW w:w="2620" w:type="dxa"/>
            <w:vAlign w:val="bottom"/>
          </w:tcPr>
          <w:p>
            <w:pPr>
              <w:spacing w:after="0"/>
              <w:rPr>
                <w:sz w:val="12"/>
                <w:szCs w:val="12"/>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2"/>
                <w:szCs w:val="12"/>
                <w:b w:val="1"/>
                <w:bCs w:val="1"/>
                <w:color w:val="auto"/>
              </w:rPr>
              <w:t>Shares (1)</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8"/>
              </w:rPr>
              <w:t>Paid-In Capital</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2"/>
                <w:szCs w:val="12"/>
                <w:b w:val="1"/>
                <w:bCs w:val="1"/>
                <w:color w:val="auto"/>
                <w:w w:val="78"/>
              </w:rPr>
              <w:t>Loss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2"/>
                <w:szCs w:val="12"/>
                <w:b w:val="1"/>
                <w:bCs w:val="1"/>
                <w:color w:val="auto"/>
                <w:w w:val="97"/>
              </w:rPr>
              <w:t>Earnings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95"/>
              <w:spacing w:after="0"/>
              <w:rPr>
                <w:sz w:val="20"/>
                <w:szCs w:val="20"/>
                <w:color w:val="auto"/>
              </w:rPr>
            </w:pPr>
            <w:r>
              <w:rPr>
                <w:rFonts w:ascii="Arial" w:cs="Arial" w:eastAsia="Arial" w:hAnsi="Arial"/>
                <w:sz w:val="12"/>
                <w:szCs w:val="12"/>
                <w:b w:val="1"/>
                <w:bCs w:val="1"/>
                <w:color w:val="auto"/>
                <w:w w:val="92"/>
              </w:rPr>
              <w:t>Equity</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2"/>
                <w:szCs w:val="12"/>
                <w:b w:val="1"/>
                <w:bCs w:val="1"/>
                <w:color w:val="auto"/>
              </w:rPr>
              <w:t>Interest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Equity</w:t>
            </w:r>
          </w:p>
        </w:tc>
        <w:tc>
          <w:tcPr>
            <w:tcW w:w="100" w:type="dxa"/>
            <w:vAlign w:val="bottom"/>
          </w:tcPr>
          <w:p>
            <w:pPr>
              <w:spacing w:after="0"/>
              <w:rPr>
                <w:sz w:val="12"/>
                <w:szCs w:val="12"/>
                <w:color w:val="auto"/>
              </w:rPr>
            </w:pPr>
          </w:p>
        </w:tc>
      </w:tr>
      <w:tr>
        <w:trPr>
          <w:trHeight w:val="174"/>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29,438</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69"/>
              <w:spacing w:after="0"/>
              <w:rPr>
                <w:sz w:val="20"/>
                <w:szCs w:val="20"/>
                <w:color w:val="auto"/>
              </w:rPr>
            </w:pPr>
            <w:r>
              <w:rPr>
                <w:rFonts w:ascii="Arial" w:cs="Arial" w:eastAsia="Arial" w:hAnsi="Arial"/>
                <w:sz w:val="10"/>
                <w:szCs w:val="10"/>
                <w:b w:val="1"/>
                <w:bCs w:val="1"/>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486,585</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(20,903 )</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801,000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1,266,685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3,190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1,269,875</w:t>
            </w:r>
          </w:p>
        </w:tc>
        <w:tc>
          <w:tcPr>
            <w:tcW w:w="100" w:type="dxa"/>
            <w:vAlign w:val="bottom"/>
            <w:shd w:val="clear" w:color="auto" w:fill="CFF0FC"/>
          </w:tcPr>
          <w:p>
            <w:pPr>
              <w:spacing w:after="0"/>
              <w:rPr>
                <w:sz w:val="15"/>
                <w:szCs w:val="15"/>
                <w:color w:val="auto"/>
              </w:rPr>
            </w:pPr>
          </w:p>
        </w:tc>
      </w:tr>
      <w:tr>
        <w:trPr>
          <w:trHeight w:val="171"/>
        </w:trPr>
        <w:tc>
          <w:tcPr>
            <w:tcW w:w="26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Equity-based compensation</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10,265</w:t>
            </w:r>
          </w:p>
        </w:tc>
        <w:tc>
          <w:tcPr>
            <w:tcW w:w="24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10,265</w:t>
            </w: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10,265</w:t>
            </w:r>
          </w:p>
        </w:tc>
        <w:tc>
          <w:tcPr>
            <w:tcW w:w="100" w:type="dxa"/>
            <w:vAlign w:val="bottom"/>
            <w:tcBorders>
              <w:top w:val="single" w:sz="8" w:color="CFF0FC"/>
            </w:tcBorders>
          </w:tcPr>
          <w:p>
            <w:pPr>
              <w:spacing w:after="0"/>
              <w:rPr>
                <w:sz w:val="14"/>
                <w:szCs w:val="14"/>
                <w:color w:val="auto"/>
              </w:rPr>
            </w:pPr>
          </w:p>
        </w:tc>
      </w:tr>
      <w:tr>
        <w:trPr>
          <w:trHeight w:val="194"/>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Restricted stock awards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Common stock withholding for employee tax</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2620" w:type="dxa"/>
            <w:vAlign w:val="bottom"/>
          </w:tcPr>
          <w:p>
            <w:pPr>
              <w:ind w:left="20"/>
              <w:spacing w:after="0"/>
              <w:rPr>
                <w:sz w:val="20"/>
                <w:szCs w:val="20"/>
                <w:color w:val="auto"/>
              </w:rPr>
            </w:pPr>
            <w:r>
              <w:rPr>
                <w:rFonts w:ascii="Arial" w:cs="Arial" w:eastAsia="Arial" w:hAnsi="Arial"/>
                <w:sz w:val="13"/>
                <w:szCs w:val="13"/>
                <w:color w:val="auto"/>
              </w:rPr>
              <w:t>obligations</w:t>
            </w: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(26 )</w:t>
            </w: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(869 )</w:t>
            </w:r>
          </w:p>
        </w:tc>
        <w:tc>
          <w:tcPr>
            <w:tcW w:w="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(869 )</w:t>
            </w: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(869 )</w:t>
            </w:r>
          </w:p>
        </w:tc>
      </w:tr>
      <w:tr>
        <w:trPr>
          <w:trHeight w:val="194"/>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 (loss)</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3,707</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5,497</w:t>
            </w:r>
          </w:p>
        </w:tc>
        <w:tc>
          <w:tcPr>
            <w:tcW w:w="100" w:type="dxa"/>
            <w:vAlign w:val="bottom"/>
            <w:shd w:val="clear" w:color="auto" w:fill="CFF0FC"/>
          </w:tcPr>
          <w:p>
            <w:pPr>
              <w:spacing w:after="0"/>
              <w:rPr>
                <w:sz w:val="16"/>
                <w:szCs w:val="16"/>
                <w:color w:val="auto"/>
              </w:rPr>
            </w:pPr>
          </w:p>
        </w:tc>
      </w:tr>
      <w:tr>
        <w:trPr>
          <w:trHeight w:val="183"/>
        </w:trPr>
        <w:tc>
          <w:tcPr>
            <w:tcW w:w="26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(15,340 )</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(15,340 )</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(509 )</w:t>
            </w:r>
          </w:p>
        </w:tc>
        <w:tc>
          <w:tcPr>
            <w:tcW w:w="1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(15,849 )</w:t>
            </w:r>
          </w:p>
        </w:tc>
      </w:tr>
      <w:tr>
        <w:trPr>
          <w:trHeight w:val="20"/>
        </w:trPr>
        <w:tc>
          <w:tcPr>
            <w:tcW w:w="2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29,692</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495,981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(17,196 )</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785,660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1,264,448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4,471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1,268,919</w:t>
            </w:r>
          </w:p>
        </w:tc>
        <w:tc>
          <w:tcPr>
            <w:tcW w:w="100" w:type="dxa"/>
            <w:vAlign w:val="bottom"/>
            <w:shd w:val="clear" w:color="auto" w:fill="CFF0FC"/>
          </w:tcPr>
          <w:p>
            <w:pPr>
              <w:spacing w:after="0"/>
              <w:rPr>
                <w:sz w:val="19"/>
                <w:szCs w:val="19"/>
                <w:color w:val="auto"/>
              </w:rPr>
            </w:pPr>
          </w:p>
        </w:tc>
      </w:tr>
      <w:tr>
        <w:trPr>
          <w:trHeight w:val="150"/>
        </w:trPr>
        <w:tc>
          <w:tcPr>
            <w:tcW w:w="26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Equity-based compensation</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10,323</w:t>
            </w:r>
          </w:p>
        </w:tc>
        <w:tc>
          <w:tcPr>
            <w:tcW w:w="24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10,323</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10,323</w:t>
            </w:r>
          </w:p>
        </w:tc>
        <w:tc>
          <w:tcPr>
            <w:tcW w:w="100" w:type="dxa"/>
            <w:vAlign w:val="bottom"/>
            <w:tcBorders>
              <w:top w:val="single" w:sz="8" w:color="CFF0FC"/>
            </w:tcBorders>
          </w:tcPr>
          <w:p>
            <w:pPr>
              <w:spacing w:after="0"/>
              <w:rPr>
                <w:sz w:val="13"/>
                <w:szCs w:val="13"/>
                <w:color w:val="auto"/>
              </w:rPr>
            </w:pPr>
          </w:p>
        </w:tc>
      </w:tr>
      <w:tr>
        <w:trPr>
          <w:trHeight w:val="194"/>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common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3"/>
                <w:szCs w:val="13"/>
                <w:color w:val="auto"/>
              </w:rPr>
              <w:t>Restricted stock awards</w:t>
            </w:r>
          </w:p>
        </w:tc>
        <w:tc>
          <w:tcPr>
            <w:tcW w:w="940" w:type="dxa"/>
            <w:vAlign w:val="bottom"/>
          </w:tcPr>
          <w:p>
            <w:pPr>
              <w:jc w:val="right"/>
              <w:spacing w:after="0"/>
              <w:rPr>
                <w:sz w:val="20"/>
                <w:szCs w:val="20"/>
                <w:color w:val="auto"/>
              </w:rPr>
            </w:pPr>
            <w:r>
              <w:rPr>
                <w:rFonts w:ascii="Arial" w:cs="Arial" w:eastAsia="Arial" w:hAnsi="Arial"/>
                <w:sz w:val="13"/>
                <w:szCs w:val="13"/>
                <w:color w:val="auto"/>
              </w:rPr>
              <w:t>225</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7"/>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 withholding for employee tax</w:t>
            </w: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2"/>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obligations</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(8 )</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(232 )</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(232 )</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(232 )</w:t>
            </w:r>
          </w:p>
        </w:tc>
      </w:tr>
      <w:tr>
        <w:trPr>
          <w:trHeight w:val="178"/>
        </w:trPr>
        <w:tc>
          <w:tcPr>
            <w:tcW w:w="262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(3,550 )</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(3,550 )</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(547 )</w:t>
            </w:r>
          </w:p>
        </w:tc>
        <w:tc>
          <w:tcPr>
            <w:tcW w:w="1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(4,097 )</w:t>
            </w:r>
          </w:p>
        </w:tc>
      </w:tr>
      <w:tr>
        <w:trPr>
          <w:trHeight w:val="191"/>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(11,229 )</w:t>
            </w: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(11,229 )</w:t>
            </w: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(361 )</w:t>
            </w: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(11,590 )</w:t>
            </w:r>
          </w:p>
        </w:tc>
      </w:tr>
      <w:tr>
        <w:trPr>
          <w:trHeight w:val="20"/>
        </w:trPr>
        <w:tc>
          <w:tcPr>
            <w:tcW w:w="26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0"/>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29,917</w:t>
            </w:r>
          </w:p>
        </w:tc>
        <w:tc>
          <w:tcPr>
            <w:tcW w:w="240" w:type="dxa"/>
            <w:vAlign w:val="bottom"/>
          </w:tcPr>
          <w:p>
            <w:pPr>
              <w:spacing w:after="0"/>
              <w:rPr>
                <w:sz w:val="15"/>
                <w:szCs w:val="15"/>
                <w:color w:val="auto"/>
              </w:rPr>
            </w:pPr>
          </w:p>
        </w:tc>
        <w:tc>
          <w:tcPr>
            <w:tcW w:w="680" w:type="dxa"/>
            <w:vAlign w:val="bottom"/>
          </w:tcPr>
          <w:p>
            <w:pPr>
              <w:jc w:val="right"/>
              <w:ind w:right="569"/>
              <w:spacing w:after="0"/>
              <w:rPr>
                <w:sz w:val="20"/>
                <w:szCs w:val="20"/>
                <w:color w:val="auto"/>
              </w:rPr>
            </w:pPr>
            <w:r>
              <w:rPr>
                <w:rFonts w:ascii="Arial" w:cs="Arial" w:eastAsia="Arial" w:hAnsi="Arial"/>
                <w:sz w:val="10"/>
                <w:szCs w:val="10"/>
                <w:b w:val="1"/>
                <w:bCs w:val="1"/>
                <w:color w:val="auto"/>
                <w:w w:val="71"/>
              </w:rPr>
              <w:t>$</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3</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506,075</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(20,746 )</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774,431</w:t>
            </w:r>
          </w:p>
        </w:tc>
        <w:tc>
          <w:tcPr>
            <w:tcW w:w="2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1,259,763</w:t>
            </w:r>
          </w:p>
        </w:tc>
        <w:tc>
          <w:tcPr>
            <w:tcW w:w="2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3,563</w:t>
            </w:r>
          </w:p>
        </w:tc>
        <w:tc>
          <w:tcPr>
            <w:tcW w:w="22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1,263,326</w:t>
            </w:r>
          </w:p>
        </w:tc>
        <w:tc>
          <w:tcPr>
            <w:tcW w:w="100" w:type="dxa"/>
            <w:vAlign w:val="bottom"/>
          </w:tcPr>
          <w:p>
            <w:pPr>
              <w:spacing w:after="0"/>
              <w:rPr>
                <w:sz w:val="15"/>
                <w:szCs w:val="15"/>
                <w:color w:val="auto"/>
              </w:rPr>
            </w:pPr>
          </w:p>
        </w:tc>
      </w:tr>
      <w:tr>
        <w:trPr>
          <w:trHeight w:val="20"/>
        </w:trPr>
        <w:tc>
          <w:tcPr>
            <w:tcW w:w="2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Equity-based compensation</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10,902</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10,902</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10,902</w:t>
            </w:r>
          </w:p>
        </w:tc>
        <w:tc>
          <w:tcPr>
            <w:tcW w:w="100" w:type="dxa"/>
            <w:vAlign w:val="bottom"/>
            <w:shd w:val="clear" w:color="auto" w:fill="CFF0FC"/>
          </w:tcPr>
          <w:p>
            <w:pPr>
              <w:spacing w:after="0"/>
              <w:rPr>
                <w:sz w:val="13"/>
                <w:szCs w:val="13"/>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3"/>
                <w:szCs w:val="13"/>
                <w:color w:val="auto"/>
              </w:rPr>
              <w:t>Restricted stock awards</w:t>
            </w:r>
          </w:p>
        </w:tc>
        <w:tc>
          <w:tcPr>
            <w:tcW w:w="940" w:type="dxa"/>
            <w:vAlign w:val="bottom"/>
          </w:tcPr>
          <w:p>
            <w:pPr>
              <w:jc w:val="right"/>
              <w:spacing w:after="0"/>
              <w:rPr>
                <w:sz w:val="20"/>
                <w:szCs w:val="20"/>
                <w:color w:val="auto"/>
              </w:rPr>
            </w:pPr>
            <w:r>
              <w:rPr>
                <w:rFonts w:ascii="Arial" w:cs="Arial" w:eastAsia="Arial" w:hAnsi="Arial"/>
                <w:sz w:val="13"/>
                <w:szCs w:val="13"/>
                <w:color w:val="auto"/>
              </w:rPr>
              <w:t>211</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7"/>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 withholding for employee tax</w:t>
            </w: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2"/>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obligations</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(13 )</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(517 )</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(517 )</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(517 )</w:t>
            </w:r>
          </w:p>
        </w:tc>
      </w:tr>
      <w:tr>
        <w:trPr>
          <w:trHeight w:val="178"/>
        </w:trPr>
        <w:tc>
          <w:tcPr>
            <w:tcW w:w="2620" w:type="dxa"/>
            <w:vAlign w:val="bottom"/>
          </w:tcPr>
          <w:p>
            <w:pPr>
              <w:ind w:left="20"/>
              <w:spacing w:after="0"/>
              <w:rPr>
                <w:sz w:val="20"/>
                <w:szCs w:val="20"/>
                <w:color w:val="auto"/>
              </w:rPr>
            </w:pPr>
            <w:r>
              <w:rPr>
                <w:rFonts w:ascii="Arial" w:cs="Arial" w:eastAsia="Arial" w:hAnsi="Arial"/>
                <w:sz w:val="13"/>
                <w:szCs w:val="13"/>
                <w:color w:val="auto"/>
              </w:rPr>
              <w:t>Repurchase of common stock</w:t>
            </w: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(80 )</w:t>
            </w: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(2,198 )</w:t>
            </w:r>
          </w:p>
        </w:tc>
        <w:tc>
          <w:tcPr>
            <w:tcW w:w="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(2,198 )</w:t>
            </w: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(2,198 )</w:t>
            </w:r>
          </w:p>
        </w:tc>
      </w:tr>
      <w:tr>
        <w:trPr>
          <w:trHeight w:val="194"/>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 (loss)</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3,855</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(68 )</w:t>
            </w: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3,787</w:t>
            </w:r>
          </w:p>
        </w:tc>
        <w:tc>
          <w:tcPr>
            <w:tcW w:w="100" w:type="dxa"/>
            <w:vAlign w:val="bottom"/>
            <w:shd w:val="clear" w:color="auto" w:fill="CFF0FC"/>
          </w:tcPr>
          <w:p>
            <w:pPr>
              <w:spacing w:after="0"/>
              <w:rPr>
                <w:sz w:val="16"/>
                <w:szCs w:val="16"/>
                <w:color w:val="auto"/>
              </w:rPr>
            </w:pPr>
          </w:p>
        </w:tc>
      </w:tr>
      <w:tr>
        <w:trPr>
          <w:trHeight w:val="183"/>
        </w:trPr>
        <w:tc>
          <w:tcPr>
            <w:tcW w:w="26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(13,107 )</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(13,107 )</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(359 )</w:t>
            </w:r>
          </w:p>
        </w:tc>
        <w:tc>
          <w:tcPr>
            <w:tcW w:w="1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(13,466 )</w:t>
            </w:r>
          </w:p>
        </w:tc>
      </w:tr>
      <w:tr>
        <w:trPr>
          <w:trHeight w:val="20"/>
        </w:trPr>
        <w:tc>
          <w:tcPr>
            <w:tcW w:w="2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 2023</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30,035</w:t>
            </w: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69"/>
              <w:spacing w:after="0"/>
              <w:rPr>
                <w:sz w:val="20"/>
                <w:szCs w:val="20"/>
                <w:color w:val="auto"/>
              </w:rPr>
            </w:pPr>
            <w:r>
              <w:rPr>
                <w:rFonts w:ascii="Arial" w:cs="Arial" w:eastAsia="Arial" w:hAnsi="Arial"/>
                <w:sz w:val="10"/>
                <w:szCs w:val="10"/>
                <w:b w:val="1"/>
                <w:bCs w:val="1"/>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514,262</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(16,891 )</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761,324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1,258,698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3,136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1,261,834</w:t>
            </w:r>
          </w:p>
        </w:tc>
        <w:tc>
          <w:tcPr>
            <w:tcW w:w="100" w:type="dxa"/>
            <w:vAlign w:val="bottom"/>
            <w:shd w:val="clear" w:color="auto" w:fill="CFF0FC"/>
          </w:tcPr>
          <w:p>
            <w:pPr>
              <w:spacing w:after="0"/>
              <w:rPr>
                <w:sz w:val="17"/>
                <w:szCs w:val="17"/>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-2762885</wp:posOffset>
            </wp:positionV>
            <wp:extent cx="76200" cy="125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200" cy="12509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-2762885</wp:posOffset>
            </wp:positionV>
            <wp:extent cx="76200" cy="1250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200" cy="12509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-2762885</wp:posOffset>
            </wp:positionV>
            <wp:extent cx="76200" cy="1250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200" cy="125095"/>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-2762885</wp:posOffset>
            </wp:positionV>
            <wp:extent cx="69215" cy="1250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15" cy="1250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-2762885</wp:posOffset>
            </wp:positionV>
            <wp:extent cx="69215" cy="1250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15" cy="125095"/>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-2762885</wp:posOffset>
            </wp:positionV>
            <wp:extent cx="69215" cy="1250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15" cy="125095"/>
                    </a:xfrm>
                    <a:prstGeom prst="rect">
                      <a:avLst/>
                    </a:prstGeom>
                    <a:noFill/>
                  </pic:spPr>
                </pic:pic>
              </a:graphicData>
            </a:graphic>
          </wp:anchor>
        </w:drawing>
        <w:drawing>
          <wp:anchor simplePos="0" relativeHeight="251657728" behindDoc="1" locked="0" layoutInCell="0" allowOverlap="1">
            <wp:simplePos x="0" y="0"/>
            <wp:positionH relativeFrom="column">
              <wp:posOffset>6406515</wp:posOffset>
            </wp:positionH>
            <wp:positionV relativeFrom="paragraph">
              <wp:posOffset>-2762885</wp:posOffset>
            </wp:positionV>
            <wp:extent cx="69215" cy="1250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15" cy="12509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-2762885</wp:posOffset>
            </wp:positionV>
            <wp:extent cx="69215" cy="1250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15" cy="12509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-1936750</wp:posOffset>
            </wp:positionV>
            <wp:extent cx="4908550" cy="139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08550" cy="13906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-1103630</wp:posOffset>
            </wp:positionV>
            <wp:extent cx="7620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200" cy="14605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-1103630</wp:posOffset>
            </wp:positionV>
            <wp:extent cx="7620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200" cy="1460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-1103630</wp:posOffset>
            </wp:positionV>
            <wp:extent cx="7620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200" cy="146050"/>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-1103630</wp:posOffset>
            </wp:positionV>
            <wp:extent cx="6921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-1103630</wp:posOffset>
            </wp:positionV>
            <wp:extent cx="6921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-1103630</wp:posOffset>
            </wp:positionV>
            <wp:extent cx="6921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6406515</wp:posOffset>
            </wp:positionH>
            <wp:positionV relativeFrom="paragraph">
              <wp:posOffset>-1103630</wp:posOffset>
            </wp:positionV>
            <wp:extent cx="6921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-1103630</wp:posOffset>
            </wp:positionV>
            <wp:extent cx="6921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-20320</wp:posOffset>
            </wp:positionV>
            <wp:extent cx="762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-6350</wp:posOffset>
            </wp:positionV>
            <wp:extent cx="7620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-20320</wp:posOffset>
            </wp:positionV>
            <wp:extent cx="7620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-6350</wp:posOffset>
            </wp:positionV>
            <wp:extent cx="7620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-20320</wp:posOffset>
            </wp:positionV>
            <wp:extent cx="7620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-6350</wp:posOffset>
            </wp:positionV>
            <wp:extent cx="7620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-20320</wp:posOffset>
            </wp:positionV>
            <wp:extent cx="6921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-6350</wp:posOffset>
            </wp:positionV>
            <wp:extent cx="6921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-20320</wp:posOffset>
            </wp:positionV>
            <wp:extent cx="6921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-6350</wp:posOffset>
            </wp:positionV>
            <wp:extent cx="6921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-20320</wp:posOffset>
            </wp:positionV>
            <wp:extent cx="6921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-6350</wp:posOffset>
            </wp:positionV>
            <wp:extent cx="6921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6406515</wp:posOffset>
            </wp:positionH>
            <wp:positionV relativeFrom="paragraph">
              <wp:posOffset>-20320</wp:posOffset>
            </wp:positionV>
            <wp:extent cx="6921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6406515</wp:posOffset>
            </wp:positionH>
            <wp:positionV relativeFrom="paragraph">
              <wp:posOffset>-6350</wp:posOffset>
            </wp:positionV>
            <wp:extent cx="6921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-20320</wp:posOffset>
            </wp:positionV>
            <wp:extent cx="6921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-6350</wp:posOffset>
            </wp:positionV>
            <wp:extent cx="6921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15" cy="6985"/>
                    </a:xfrm>
                    <a:prstGeom prst="rect">
                      <a:avLst/>
                    </a:prstGeom>
                    <a:noFill/>
                  </pic:spPr>
                </pic:pic>
              </a:graphicData>
            </a:graphic>
          </wp:anchor>
        </w:drawing>
      </w:r>
    </w:p>
    <w:p>
      <w:pPr>
        <w:spacing w:after="0" w:line="52" w:lineRule="exact"/>
        <w:rPr>
          <w:sz w:val="20"/>
          <w:szCs w:val="20"/>
          <w:color w:val="auto"/>
        </w:rPr>
      </w:pPr>
    </w:p>
    <w:p>
      <w:pPr>
        <w:ind w:right="360" w:firstLine="7"/>
        <w:spacing w:after="0" w:line="233" w:lineRule="auto"/>
        <w:tabs>
          <w:tab w:leader="none" w:pos="165"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of September 30, 2023, 371,006 shares of the Company's common stock were not issued and were held back by the Company as partial security for the indemnification obligations in connection with the business combination of Fulgent Pharma Holdings, Inc., or Fulgent Pharma, in 2022.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r>
        <w:rPr>
          <w:rFonts w:ascii="Arial" w:cs="Arial" w:eastAsia="Arial" w:hAnsi="Arial"/>
          <w:sz w:val="17"/>
          <w:szCs w:val="17"/>
          <w:color w:val="auto"/>
        </w:rPr>
        <w: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FULGENT GENETICS,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Stockholders’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860" w:type="dxa"/>
            <w:vAlign w:val="bottom"/>
            <w:tcBorders>
              <w:bottom w:val="single" w:sz="8" w:color="auto"/>
            </w:tcBorders>
            <w:gridSpan w:val="3"/>
          </w:tcPr>
          <w:p>
            <w:pPr>
              <w:ind w:left="300"/>
              <w:spacing w:after="0"/>
              <w:rPr>
                <w:sz w:val="20"/>
                <w:szCs w:val="20"/>
                <w:color w:val="auto"/>
              </w:rPr>
            </w:pPr>
            <w:r>
              <w:rPr>
                <w:rFonts w:ascii="Arial" w:cs="Arial" w:eastAsia="Arial" w:hAnsi="Arial"/>
                <w:sz w:val="12"/>
                <w:szCs w:val="12"/>
                <w:b w:val="1"/>
                <w:bCs w:val="1"/>
                <w:color w:val="auto"/>
                <w:w w:val="92"/>
              </w:rPr>
              <w:t>Fulgent Stockholders’ Equity</w:t>
            </w: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05"/>
        </w:trPr>
        <w:tc>
          <w:tcPr>
            <w:tcW w:w="2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340"/>
              <w:spacing w:after="0" w:line="105" w:lineRule="exact"/>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0"/>
        </w:trPr>
        <w:tc>
          <w:tcPr>
            <w:tcW w:w="2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340"/>
              <w:spacing w:after="0" w:line="121"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420"/>
              <w:spacing w:after="0" w:line="121" w:lineRule="exact"/>
              <w:rPr>
                <w:sz w:val="20"/>
                <w:szCs w:val="20"/>
                <w:color w:val="auto"/>
              </w:rPr>
            </w:pPr>
            <w:r>
              <w:rPr>
                <w:rFonts w:ascii="Arial" w:cs="Arial" w:eastAsia="Arial" w:hAnsi="Arial"/>
                <w:sz w:val="12"/>
                <w:szCs w:val="12"/>
                <w:b w:val="1"/>
                <w:bCs w:val="1"/>
                <w:color w:val="auto"/>
                <w:w w:val="87"/>
              </w:rPr>
              <w:t>Fulgent</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0"/>
        </w:trPr>
        <w:tc>
          <w:tcPr>
            <w:tcW w:w="2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420"/>
              <w:spacing w:after="0" w:line="121" w:lineRule="exact"/>
              <w:rPr>
                <w:sz w:val="20"/>
                <w:szCs w:val="20"/>
                <w:color w:val="auto"/>
              </w:rPr>
            </w:pPr>
            <w:r>
              <w:rPr>
                <w:rFonts w:ascii="Arial" w:cs="Arial" w:eastAsia="Arial" w:hAnsi="Arial"/>
                <w:sz w:val="12"/>
                <w:szCs w:val="12"/>
                <w:b w:val="1"/>
                <w:bCs w:val="1"/>
                <w:color w:val="auto"/>
                <w:w w:val="91"/>
              </w:rPr>
              <w:t>Additional</w:t>
            </w:r>
          </w:p>
        </w:tc>
        <w:tc>
          <w:tcPr>
            <w:tcW w:w="1080" w:type="dxa"/>
            <w:vAlign w:val="bottom"/>
            <w:gridSpan w:val="3"/>
          </w:tcPr>
          <w:p>
            <w:pPr>
              <w:jc w:val="center"/>
              <w:ind w:right="220"/>
              <w:spacing w:after="0" w:line="121" w:lineRule="exact"/>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10"/>
                <w:szCs w:val="10"/>
                <w:color w:val="auto"/>
              </w:rPr>
            </w:pPr>
          </w:p>
        </w:tc>
        <w:tc>
          <w:tcPr>
            <w:tcW w:w="720" w:type="dxa"/>
            <w:vAlign w:val="bottom"/>
          </w:tcPr>
          <w:p>
            <w:pPr>
              <w:jc w:val="right"/>
              <w:ind w:right="155"/>
              <w:spacing w:after="0" w:line="121" w:lineRule="exact"/>
              <w:rPr>
                <w:sz w:val="20"/>
                <w:szCs w:val="20"/>
                <w:color w:val="auto"/>
              </w:rPr>
            </w:pPr>
            <w:r>
              <w:rPr>
                <w:rFonts w:ascii="Arial" w:cs="Arial" w:eastAsia="Arial" w:hAnsi="Arial"/>
                <w:sz w:val="12"/>
                <w:szCs w:val="12"/>
                <w:b w:val="1"/>
                <w:bCs w:val="1"/>
                <w:color w:val="auto"/>
                <w:w w:val="94"/>
              </w:rPr>
              <w:t>Retained</w:t>
            </w:r>
          </w:p>
        </w:tc>
        <w:tc>
          <w:tcPr>
            <w:tcW w:w="220" w:type="dxa"/>
            <w:vAlign w:val="bottom"/>
          </w:tcPr>
          <w:p>
            <w:pPr>
              <w:spacing w:after="0"/>
              <w:rPr>
                <w:sz w:val="10"/>
                <w:szCs w:val="10"/>
                <w:color w:val="auto"/>
              </w:rPr>
            </w:pPr>
          </w:p>
        </w:tc>
        <w:tc>
          <w:tcPr>
            <w:tcW w:w="1080" w:type="dxa"/>
            <w:vAlign w:val="bottom"/>
            <w:gridSpan w:val="3"/>
          </w:tcPr>
          <w:p>
            <w:pPr>
              <w:jc w:val="center"/>
              <w:ind w:right="240"/>
              <w:spacing w:after="0" w:line="121" w:lineRule="exact"/>
              <w:rPr>
                <w:sz w:val="20"/>
                <w:szCs w:val="20"/>
                <w:color w:val="auto"/>
              </w:rPr>
            </w:pPr>
            <w:r>
              <w:rPr>
                <w:rFonts w:ascii="Arial" w:cs="Arial" w:eastAsia="Arial" w:hAnsi="Arial"/>
                <w:sz w:val="12"/>
                <w:szCs w:val="12"/>
                <w:b w:val="1"/>
                <w:bCs w:val="1"/>
                <w:color w:val="auto"/>
                <w:w w:val="85"/>
              </w:rPr>
              <w:t>Stockholders’</w:t>
            </w:r>
          </w:p>
        </w:tc>
        <w:tc>
          <w:tcPr>
            <w:tcW w:w="1060" w:type="dxa"/>
            <w:vAlign w:val="bottom"/>
            <w:gridSpan w:val="3"/>
          </w:tcPr>
          <w:p>
            <w:pPr>
              <w:jc w:val="right"/>
              <w:ind w:right="280"/>
              <w:spacing w:after="0" w:line="121" w:lineRule="exact"/>
              <w:rPr>
                <w:sz w:val="20"/>
                <w:szCs w:val="20"/>
                <w:color w:val="auto"/>
              </w:rPr>
            </w:pPr>
            <w:r>
              <w:rPr>
                <w:rFonts w:ascii="Arial" w:cs="Arial" w:eastAsia="Arial" w:hAnsi="Arial"/>
                <w:sz w:val="12"/>
                <w:szCs w:val="12"/>
                <w:b w:val="1"/>
                <w:bCs w:val="1"/>
                <w:color w:val="auto"/>
                <w:w w:val="89"/>
              </w:rPr>
              <w:t>Noncontrolling</w:t>
            </w:r>
          </w:p>
        </w:tc>
        <w:tc>
          <w:tcPr>
            <w:tcW w:w="180" w:type="dxa"/>
            <w:vAlign w:val="bottom"/>
          </w:tcPr>
          <w:p>
            <w:pPr>
              <w:spacing w:after="0"/>
              <w:rPr>
                <w:sz w:val="10"/>
                <w:szCs w:val="10"/>
                <w:color w:val="auto"/>
              </w:rPr>
            </w:pPr>
          </w:p>
        </w:tc>
        <w:tc>
          <w:tcPr>
            <w:tcW w:w="800" w:type="dxa"/>
            <w:vAlign w:val="bottom"/>
            <w:gridSpan w:val="2"/>
          </w:tcPr>
          <w:p>
            <w:pPr>
              <w:jc w:val="right"/>
              <w:ind w:right="420"/>
              <w:spacing w:after="0" w:line="121" w:lineRule="exact"/>
              <w:rPr>
                <w:sz w:val="20"/>
                <w:szCs w:val="20"/>
                <w:color w:val="auto"/>
              </w:rPr>
            </w:pPr>
            <w:r>
              <w:rPr>
                <w:rFonts w:ascii="Arial" w:cs="Arial" w:eastAsia="Arial" w:hAnsi="Arial"/>
                <w:sz w:val="12"/>
                <w:szCs w:val="12"/>
                <w:b w:val="1"/>
                <w:bCs w:val="1"/>
                <w:color w:val="auto"/>
              </w:rPr>
              <w:t>Total</w:t>
            </w:r>
          </w:p>
        </w:tc>
      </w:tr>
      <w:tr>
        <w:trPr>
          <w:trHeight w:val="149"/>
        </w:trPr>
        <w:tc>
          <w:tcPr>
            <w:tcW w:w="2620" w:type="dxa"/>
            <w:vAlign w:val="bottom"/>
          </w:tcPr>
          <w:p>
            <w:pPr>
              <w:spacing w:after="0"/>
              <w:rPr>
                <w:sz w:val="12"/>
                <w:szCs w:val="12"/>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8"/>
              </w:rPr>
              <w:t>Paid-In Capital</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2"/>
                <w:szCs w:val="12"/>
                <w:b w:val="1"/>
                <w:bCs w:val="1"/>
                <w:color w:val="auto"/>
                <w:w w:val="78"/>
              </w:rPr>
              <w:t>Loss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2"/>
                <w:szCs w:val="12"/>
                <w:b w:val="1"/>
                <w:bCs w:val="1"/>
                <w:color w:val="auto"/>
                <w:w w:val="97"/>
              </w:rPr>
              <w:t>Earnings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95"/>
              <w:spacing w:after="0"/>
              <w:rPr>
                <w:sz w:val="20"/>
                <w:szCs w:val="20"/>
                <w:color w:val="auto"/>
              </w:rPr>
            </w:pPr>
            <w:r>
              <w:rPr>
                <w:rFonts w:ascii="Arial" w:cs="Arial" w:eastAsia="Arial" w:hAnsi="Arial"/>
                <w:sz w:val="12"/>
                <w:szCs w:val="12"/>
                <w:b w:val="1"/>
                <w:bCs w:val="1"/>
                <w:color w:val="auto"/>
                <w:w w:val="92"/>
              </w:rPr>
              <w:t>Equity</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2"/>
                <w:szCs w:val="12"/>
                <w:b w:val="1"/>
                <w:bCs w:val="1"/>
                <w:color w:val="auto"/>
              </w:rPr>
              <w:t>Interest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Equity</w:t>
            </w:r>
          </w:p>
        </w:tc>
        <w:tc>
          <w:tcPr>
            <w:tcW w:w="100" w:type="dxa"/>
            <w:vAlign w:val="bottom"/>
          </w:tcPr>
          <w:p>
            <w:pPr>
              <w:spacing w:after="0"/>
              <w:rPr>
                <w:sz w:val="12"/>
                <w:szCs w:val="12"/>
                <w:color w:val="auto"/>
              </w:rPr>
            </w:pPr>
          </w:p>
        </w:tc>
      </w:tr>
      <w:tr>
        <w:trPr>
          <w:trHeight w:val="174"/>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30,160</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69"/>
              <w:spacing w:after="0"/>
              <w:rPr>
                <w:sz w:val="20"/>
                <w:szCs w:val="20"/>
                <w:color w:val="auto"/>
              </w:rPr>
            </w:pPr>
            <w:r>
              <w:rPr>
                <w:rFonts w:ascii="Arial" w:cs="Arial" w:eastAsia="Arial" w:hAnsi="Arial"/>
                <w:sz w:val="10"/>
                <w:szCs w:val="10"/>
                <w:b w:val="1"/>
                <w:bCs w:val="1"/>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501,908</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(759 )</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657,597</w:t>
            </w:r>
          </w:p>
        </w:tc>
        <w:tc>
          <w:tcPr>
            <w:tcW w:w="380" w:type="dxa"/>
            <w:vAlign w:val="bottom"/>
            <w:gridSpan w:val="2"/>
            <w:shd w:val="clear" w:color="auto" w:fill="CFF0FC"/>
          </w:tcPr>
          <w:p>
            <w:pPr>
              <w:jc w:val="right"/>
              <w:ind w:right="22"/>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1,158,749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7,131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1,165,880</w:t>
            </w:r>
          </w:p>
        </w:tc>
        <w:tc>
          <w:tcPr>
            <w:tcW w:w="100" w:type="dxa"/>
            <w:vAlign w:val="bottom"/>
            <w:shd w:val="clear" w:color="auto" w:fill="CFF0FC"/>
          </w:tcPr>
          <w:p>
            <w:pPr>
              <w:spacing w:after="0"/>
              <w:rPr>
                <w:sz w:val="15"/>
                <w:szCs w:val="15"/>
                <w:color w:val="auto"/>
              </w:rPr>
            </w:pPr>
          </w:p>
        </w:tc>
      </w:tr>
      <w:tr>
        <w:trPr>
          <w:trHeight w:val="171"/>
        </w:trPr>
        <w:tc>
          <w:tcPr>
            <w:tcW w:w="26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Equity-based compensation</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5,616</w:t>
            </w:r>
          </w:p>
        </w:tc>
        <w:tc>
          <w:tcPr>
            <w:tcW w:w="24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5,616</w:t>
            </w: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5,616</w:t>
            </w:r>
          </w:p>
        </w:tc>
        <w:tc>
          <w:tcPr>
            <w:tcW w:w="100" w:type="dxa"/>
            <w:vAlign w:val="bottom"/>
            <w:tcBorders>
              <w:top w:val="single" w:sz="8" w:color="CFF0FC"/>
            </w:tcBorders>
          </w:tcPr>
          <w:p>
            <w:pPr>
              <w:spacing w:after="0"/>
              <w:rPr>
                <w:sz w:val="14"/>
                <w:szCs w:val="14"/>
                <w:color w:val="auto"/>
              </w:rPr>
            </w:pPr>
          </w:p>
        </w:tc>
      </w:tr>
      <w:tr>
        <w:trPr>
          <w:trHeight w:val="194"/>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common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FF0FC"/>
          </w:tcPr>
          <w:p>
            <w:pPr>
              <w:spacing w:after="0"/>
              <w:rPr>
                <w:sz w:val="16"/>
                <w:szCs w:val="16"/>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3"/>
                <w:szCs w:val="13"/>
                <w:color w:val="auto"/>
              </w:rPr>
              <w:t>Restricted stock awards</w:t>
            </w:r>
          </w:p>
        </w:tc>
        <w:tc>
          <w:tcPr>
            <w:tcW w:w="940" w:type="dxa"/>
            <w:vAlign w:val="bottom"/>
          </w:tcPr>
          <w:p>
            <w:pPr>
              <w:jc w:val="right"/>
              <w:spacing w:after="0"/>
              <w:rPr>
                <w:sz w:val="20"/>
                <w:szCs w:val="20"/>
                <w:color w:val="auto"/>
              </w:rPr>
            </w:pPr>
            <w:r>
              <w:rPr>
                <w:rFonts w:ascii="Arial" w:cs="Arial" w:eastAsia="Arial" w:hAnsi="Arial"/>
                <w:sz w:val="13"/>
                <w:szCs w:val="13"/>
                <w:color w:val="auto"/>
              </w:rPr>
              <w:t>172</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7"/>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 withholding for employee tax</w:t>
            </w: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2"/>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obligations</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(8 )</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(494 )</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(494 )</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(494 )</w:t>
            </w:r>
          </w:p>
        </w:tc>
      </w:tr>
      <w:tr>
        <w:trPr>
          <w:trHeight w:val="178"/>
        </w:trPr>
        <w:tc>
          <w:tcPr>
            <w:tcW w:w="262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(11,734 )</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(11,734 )</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(11,615 )</w:t>
            </w:r>
          </w:p>
        </w:tc>
      </w:tr>
      <w:tr>
        <w:trPr>
          <w:trHeight w:val="191"/>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153,979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153,979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(422 )</w:t>
            </w: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153,557</w:t>
            </w:r>
          </w:p>
        </w:tc>
        <w:tc>
          <w:tcPr>
            <w:tcW w:w="100" w:type="dxa"/>
            <w:vAlign w:val="bottom"/>
            <w:shd w:val="clear" w:color="auto" w:fill="CFF0FC"/>
          </w:tcPr>
          <w:p>
            <w:pPr>
              <w:spacing w:after="0"/>
              <w:rPr>
                <w:sz w:val="16"/>
                <w:szCs w:val="16"/>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0"/>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30,327</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507,046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(12,493 )</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811,576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1,306,132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6,828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1,312,960</w:t>
            </w:r>
          </w:p>
        </w:tc>
        <w:tc>
          <w:tcPr>
            <w:tcW w:w="100" w:type="dxa"/>
            <w:vAlign w:val="bottom"/>
          </w:tcPr>
          <w:p>
            <w:pPr>
              <w:spacing w:after="0"/>
              <w:rPr>
                <w:sz w:val="15"/>
                <w:szCs w:val="15"/>
                <w:color w:val="auto"/>
              </w:rPr>
            </w:pPr>
          </w:p>
        </w:tc>
      </w:tr>
      <w:tr>
        <w:trPr>
          <w:trHeight w:val="20"/>
        </w:trPr>
        <w:tc>
          <w:tcPr>
            <w:tcW w:w="2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Equity-based compensation</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8,030</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8,030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8,030</w:t>
            </w:r>
          </w:p>
        </w:tc>
        <w:tc>
          <w:tcPr>
            <w:tcW w:w="100" w:type="dxa"/>
            <w:vAlign w:val="bottom"/>
            <w:shd w:val="clear" w:color="auto" w:fill="CFF0FC"/>
          </w:tcPr>
          <w:p>
            <w:pPr>
              <w:spacing w:after="0"/>
              <w:rPr>
                <w:sz w:val="13"/>
                <w:szCs w:val="13"/>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3"/>
                <w:szCs w:val="13"/>
                <w:color w:val="auto"/>
              </w:rPr>
              <w:t>Exercise of common stock options</w:t>
            </w: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r>
      <w:tr>
        <w:trPr>
          <w:trHeight w:val="194"/>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Restricted stock awards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Common stock withholding for employee tax</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2620" w:type="dxa"/>
            <w:vAlign w:val="bottom"/>
          </w:tcPr>
          <w:p>
            <w:pPr>
              <w:ind w:left="20"/>
              <w:spacing w:after="0"/>
              <w:rPr>
                <w:sz w:val="20"/>
                <w:szCs w:val="20"/>
                <w:color w:val="auto"/>
              </w:rPr>
            </w:pPr>
            <w:r>
              <w:rPr>
                <w:rFonts w:ascii="Arial" w:cs="Arial" w:eastAsia="Arial" w:hAnsi="Arial"/>
                <w:sz w:val="13"/>
                <w:szCs w:val="13"/>
                <w:color w:val="auto"/>
              </w:rPr>
              <w:t>obligations</w:t>
            </w: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(8 )</w:t>
            </w: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(436 )</w:t>
            </w:r>
          </w:p>
        </w:tc>
        <w:tc>
          <w:tcPr>
            <w:tcW w:w="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(436 )</w:t>
            </w: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(436 )</w:t>
            </w:r>
          </w:p>
        </w:tc>
      </w:tr>
      <w:tr>
        <w:trPr>
          <w:trHeight w:val="194"/>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Repurchase of common stock</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(215 )</w:t>
            </w: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(10,577 )</w:t>
            </w:r>
          </w:p>
        </w:tc>
        <w:tc>
          <w:tcPr>
            <w:tcW w:w="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(10,577 )</w:t>
            </w: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(10,577 )</w:t>
            </w:r>
          </w:p>
        </w:tc>
      </w:tr>
      <w:tr>
        <w:trPr>
          <w:trHeight w:val="178"/>
        </w:trPr>
        <w:tc>
          <w:tcPr>
            <w:tcW w:w="262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(9,924 )</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(9,924 )</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(422 )</w:t>
            </w:r>
          </w:p>
        </w:tc>
        <w:tc>
          <w:tcPr>
            <w:tcW w:w="1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(10,346 )</w:t>
            </w:r>
          </w:p>
        </w:tc>
      </w:tr>
      <w:tr>
        <w:trPr>
          <w:trHeight w:val="191"/>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11,537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11,537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(438 )</w:t>
            </w: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11,099</w:t>
            </w:r>
          </w:p>
        </w:tc>
        <w:tc>
          <w:tcPr>
            <w:tcW w:w="100" w:type="dxa"/>
            <w:vAlign w:val="bottom"/>
            <w:shd w:val="clear" w:color="auto" w:fill="CFF0FC"/>
          </w:tcPr>
          <w:p>
            <w:pPr>
              <w:spacing w:after="0"/>
              <w:rPr>
                <w:sz w:val="16"/>
                <w:szCs w:val="16"/>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0"/>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30,266</w:t>
            </w:r>
          </w:p>
        </w:tc>
        <w:tc>
          <w:tcPr>
            <w:tcW w:w="240" w:type="dxa"/>
            <w:vAlign w:val="bottom"/>
          </w:tcPr>
          <w:p>
            <w:pPr>
              <w:spacing w:after="0"/>
              <w:rPr>
                <w:sz w:val="15"/>
                <w:szCs w:val="15"/>
                <w:color w:val="auto"/>
              </w:rPr>
            </w:pPr>
          </w:p>
        </w:tc>
        <w:tc>
          <w:tcPr>
            <w:tcW w:w="680" w:type="dxa"/>
            <w:vAlign w:val="bottom"/>
          </w:tcPr>
          <w:p>
            <w:pPr>
              <w:jc w:val="right"/>
              <w:ind w:right="569"/>
              <w:spacing w:after="0"/>
              <w:rPr>
                <w:sz w:val="20"/>
                <w:szCs w:val="20"/>
                <w:color w:val="auto"/>
              </w:rPr>
            </w:pPr>
            <w:r>
              <w:rPr>
                <w:rFonts w:ascii="Arial" w:cs="Arial" w:eastAsia="Arial" w:hAnsi="Arial"/>
                <w:sz w:val="10"/>
                <w:szCs w:val="10"/>
                <w:b w:val="1"/>
                <w:bCs w:val="1"/>
                <w:color w:val="auto"/>
                <w:w w:val="71"/>
              </w:rPr>
              <w:t>$</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3</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504,066</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(22,417 )</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823,113</w:t>
            </w:r>
          </w:p>
        </w:tc>
        <w:tc>
          <w:tcPr>
            <w:tcW w:w="380" w:type="dxa"/>
            <w:vAlign w:val="bottom"/>
            <w:gridSpan w:val="2"/>
          </w:tcPr>
          <w:p>
            <w:pPr>
              <w:jc w:val="right"/>
              <w:ind w:right="22"/>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1,304,765</w:t>
            </w:r>
          </w:p>
        </w:tc>
        <w:tc>
          <w:tcPr>
            <w:tcW w:w="2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5,968</w:t>
            </w:r>
          </w:p>
        </w:tc>
        <w:tc>
          <w:tcPr>
            <w:tcW w:w="22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1,310,733</w:t>
            </w:r>
          </w:p>
        </w:tc>
        <w:tc>
          <w:tcPr>
            <w:tcW w:w="100" w:type="dxa"/>
            <w:vAlign w:val="bottom"/>
          </w:tcPr>
          <w:p>
            <w:pPr>
              <w:spacing w:after="0"/>
              <w:rPr>
                <w:sz w:val="15"/>
                <w:szCs w:val="15"/>
                <w:color w:val="auto"/>
              </w:rPr>
            </w:pPr>
          </w:p>
        </w:tc>
      </w:tr>
      <w:tr>
        <w:trPr>
          <w:trHeight w:val="20"/>
        </w:trPr>
        <w:tc>
          <w:tcPr>
            <w:tcW w:w="2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Equity-based compensation</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8,972</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8,972</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8,972</w:t>
            </w:r>
          </w:p>
        </w:tc>
        <w:tc>
          <w:tcPr>
            <w:tcW w:w="100" w:type="dxa"/>
            <w:vAlign w:val="bottom"/>
            <w:shd w:val="clear" w:color="auto" w:fill="CFF0FC"/>
          </w:tcPr>
          <w:p>
            <w:pPr>
              <w:spacing w:after="0"/>
              <w:rPr>
                <w:sz w:val="13"/>
                <w:szCs w:val="13"/>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3"/>
                <w:szCs w:val="13"/>
                <w:color w:val="auto"/>
              </w:rPr>
              <w:t>Restricted stock awards</w:t>
            </w:r>
          </w:p>
        </w:tc>
        <w:tc>
          <w:tcPr>
            <w:tcW w:w="940" w:type="dxa"/>
            <w:vAlign w:val="bottom"/>
          </w:tcPr>
          <w:p>
            <w:pPr>
              <w:jc w:val="right"/>
              <w:spacing w:after="0"/>
              <w:rPr>
                <w:sz w:val="20"/>
                <w:szCs w:val="20"/>
                <w:color w:val="auto"/>
              </w:rPr>
            </w:pPr>
            <w:r>
              <w:rPr>
                <w:rFonts w:ascii="Arial" w:cs="Arial" w:eastAsia="Arial" w:hAnsi="Arial"/>
                <w:sz w:val="13"/>
                <w:szCs w:val="13"/>
                <w:color w:val="auto"/>
              </w:rPr>
              <w:t>203</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7"/>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 withholding for employee tax</w:t>
            </w: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2"/>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obligations</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(8 )</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(522 )</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(522 )</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(522 )</w:t>
            </w:r>
          </w:p>
        </w:tc>
      </w:tr>
      <w:tr>
        <w:trPr>
          <w:trHeight w:val="178"/>
        </w:trPr>
        <w:tc>
          <w:tcPr>
            <w:tcW w:w="2620" w:type="dxa"/>
            <w:vAlign w:val="bottom"/>
          </w:tcPr>
          <w:p>
            <w:pPr>
              <w:ind w:left="20"/>
              <w:spacing w:after="0"/>
              <w:rPr>
                <w:sz w:val="20"/>
                <w:szCs w:val="20"/>
                <w:color w:val="auto"/>
              </w:rPr>
            </w:pPr>
            <w:r>
              <w:rPr>
                <w:rFonts w:ascii="Arial" w:cs="Arial" w:eastAsia="Arial" w:hAnsi="Arial"/>
                <w:sz w:val="13"/>
                <w:szCs w:val="13"/>
                <w:color w:val="auto"/>
              </w:rPr>
              <w:t>Repurchase of common stock</w:t>
            </w: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(780 )</w:t>
            </w: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(34,702 )</w:t>
            </w:r>
          </w:p>
        </w:tc>
        <w:tc>
          <w:tcPr>
            <w:tcW w:w="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(34,702 )</w:t>
            </w: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(34,702 )</w:t>
            </w:r>
          </w:p>
        </w:tc>
      </w:tr>
      <w:tr>
        <w:trPr>
          <w:trHeight w:val="194"/>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loss</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(3,185 )</w:t>
            </w: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(3,185 )</w:t>
            </w: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(1,242 )</w:t>
            </w: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(4,427 )</w:t>
            </w:r>
          </w:p>
        </w:tc>
      </w:tr>
      <w:tr>
        <w:trPr>
          <w:trHeight w:val="183"/>
        </w:trPr>
        <w:tc>
          <w:tcPr>
            <w:tcW w:w="26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1,719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1,719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(376 )</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1,343</w:t>
            </w:r>
          </w:p>
        </w:tc>
        <w:tc>
          <w:tcPr>
            <w:tcW w:w="100" w:type="dxa"/>
            <w:vAlign w:val="bottom"/>
          </w:tcPr>
          <w:p>
            <w:pPr>
              <w:spacing w:after="0"/>
              <w:rPr>
                <w:sz w:val="15"/>
                <w:szCs w:val="15"/>
                <w:color w:val="auto"/>
              </w:rPr>
            </w:pPr>
          </w:p>
        </w:tc>
      </w:tr>
      <w:tr>
        <w:trPr>
          <w:trHeight w:val="20"/>
        </w:trPr>
        <w:tc>
          <w:tcPr>
            <w:tcW w:w="2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 2022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29,681</w:t>
            </w: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69"/>
              <w:spacing w:after="0"/>
              <w:rPr>
                <w:sz w:val="20"/>
                <w:szCs w:val="20"/>
                <w:color w:val="auto"/>
              </w:rPr>
            </w:pPr>
            <w:r>
              <w:rPr>
                <w:rFonts w:ascii="Arial" w:cs="Arial" w:eastAsia="Arial" w:hAnsi="Arial"/>
                <w:sz w:val="10"/>
                <w:szCs w:val="10"/>
                <w:b w:val="1"/>
                <w:bCs w:val="1"/>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477,814</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(25,602 )</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824,832</w:t>
            </w:r>
          </w:p>
        </w:tc>
        <w:tc>
          <w:tcPr>
            <w:tcW w:w="380" w:type="dxa"/>
            <w:vAlign w:val="bottom"/>
            <w:gridSpan w:val="2"/>
            <w:shd w:val="clear" w:color="auto" w:fill="CFF0FC"/>
          </w:tcPr>
          <w:p>
            <w:pPr>
              <w:jc w:val="right"/>
              <w:ind w:right="22"/>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1,277,047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4,350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1,281,397</w:t>
            </w:r>
          </w:p>
        </w:tc>
        <w:tc>
          <w:tcPr>
            <w:tcW w:w="100" w:type="dxa"/>
            <w:vAlign w:val="bottom"/>
            <w:shd w:val="clear" w:color="auto" w:fill="CFF0FC"/>
          </w:tcPr>
          <w:p>
            <w:pPr>
              <w:spacing w:after="0"/>
              <w:rPr>
                <w:sz w:val="17"/>
                <w:szCs w:val="17"/>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-2999105</wp:posOffset>
            </wp:positionV>
            <wp:extent cx="76200" cy="1250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200" cy="12509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-2999105</wp:posOffset>
            </wp:positionV>
            <wp:extent cx="76200" cy="1250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200" cy="12509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-2999105</wp:posOffset>
            </wp:positionV>
            <wp:extent cx="76200" cy="1250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200" cy="125095"/>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-2999105</wp:posOffset>
            </wp:positionV>
            <wp:extent cx="69215" cy="1250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15" cy="1250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-2999105</wp:posOffset>
            </wp:positionV>
            <wp:extent cx="69215" cy="1250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15" cy="125095"/>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-2999105</wp:posOffset>
            </wp:positionV>
            <wp:extent cx="69215" cy="1250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15" cy="125095"/>
                    </a:xfrm>
                    <a:prstGeom prst="rect">
                      <a:avLst/>
                    </a:prstGeom>
                    <a:noFill/>
                  </pic:spPr>
                </pic:pic>
              </a:graphicData>
            </a:graphic>
          </wp:anchor>
        </w:drawing>
        <w:drawing>
          <wp:anchor simplePos="0" relativeHeight="251657728" behindDoc="1" locked="0" layoutInCell="0" allowOverlap="1">
            <wp:simplePos x="0" y="0"/>
            <wp:positionH relativeFrom="column">
              <wp:posOffset>6406515</wp:posOffset>
            </wp:positionH>
            <wp:positionV relativeFrom="paragraph">
              <wp:posOffset>-2999105</wp:posOffset>
            </wp:positionV>
            <wp:extent cx="69215" cy="1250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15" cy="12509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-2999105</wp:posOffset>
            </wp:positionV>
            <wp:extent cx="69215" cy="1250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15" cy="12509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-2179320</wp:posOffset>
            </wp:positionV>
            <wp:extent cx="7620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200" cy="14605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-2179320</wp:posOffset>
            </wp:positionV>
            <wp:extent cx="7620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200" cy="1460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-2179320</wp:posOffset>
            </wp:positionV>
            <wp:extent cx="7620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200" cy="146050"/>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-2179320</wp:posOffset>
            </wp:positionV>
            <wp:extent cx="6921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-2179320</wp:posOffset>
            </wp:positionV>
            <wp:extent cx="6921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-2179320</wp:posOffset>
            </wp:positionV>
            <wp:extent cx="6921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6406515</wp:posOffset>
            </wp:positionH>
            <wp:positionV relativeFrom="paragraph">
              <wp:posOffset>-2179320</wp:posOffset>
            </wp:positionV>
            <wp:extent cx="69215"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-2179320</wp:posOffset>
            </wp:positionV>
            <wp:extent cx="6921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-1103630</wp:posOffset>
            </wp:positionV>
            <wp:extent cx="7620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200" cy="14605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-1103630</wp:posOffset>
            </wp:positionV>
            <wp:extent cx="7620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200" cy="1460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-1103630</wp:posOffset>
            </wp:positionV>
            <wp:extent cx="7620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200" cy="146050"/>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-1103630</wp:posOffset>
            </wp:positionV>
            <wp:extent cx="6921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-1103630</wp:posOffset>
            </wp:positionV>
            <wp:extent cx="6921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-1103630</wp:posOffset>
            </wp:positionV>
            <wp:extent cx="69215"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6406515</wp:posOffset>
            </wp:positionH>
            <wp:positionV relativeFrom="paragraph">
              <wp:posOffset>-1103630</wp:posOffset>
            </wp:positionV>
            <wp:extent cx="69215"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-1103630</wp:posOffset>
            </wp:positionV>
            <wp:extent cx="6921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-20320</wp:posOffset>
            </wp:positionV>
            <wp:extent cx="7620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-6350</wp:posOffset>
            </wp:positionV>
            <wp:extent cx="7620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-20320</wp:posOffset>
            </wp:positionV>
            <wp:extent cx="7620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-6350</wp:posOffset>
            </wp:positionV>
            <wp:extent cx="7620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-20320</wp:posOffset>
            </wp:positionV>
            <wp:extent cx="7620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-6350</wp:posOffset>
            </wp:positionV>
            <wp:extent cx="7620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-20320</wp:posOffset>
            </wp:positionV>
            <wp:extent cx="6921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-6350</wp:posOffset>
            </wp:positionV>
            <wp:extent cx="6921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-20320</wp:posOffset>
            </wp:positionV>
            <wp:extent cx="6921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-6350</wp:posOffset>
            </wp:positionV>
            <wp:extent cx="6921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-20320</wp:posOffset>
            </wp:positionV>
            <wp:extent cx="6921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-6350</wp:posOffset>
            </wp:positionV>
            <wp:extent cx="6921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6406515</wp:posOffset>
            </wp:positionH>
            <wp:positionV relativeFrom="paragraph">
              <wp:posOffset>-20320</wp:posOffset>
            </wp:positionV>
            <wp:extent cx="6921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6406515</wp:posOffset>
            </wp:positionH>
            <wp:positionV relativeFrom="paragraph">
              <wp:posOffset>-6350</wp:posOffset>
            </wp:positionV>
            <wp:extent cx="6921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-20320</wp:posOffset>
            </wp:positionV>
            <wp:extent cx="6921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-6350</wp:posOffset>
            </wp:positionV>
            <wp:extent cx="6921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15" cy="698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5"/>
          <w:szCs w:val="15"/>
          <w:b w:val="1"/>
          <w:bCs w:val="1"/>
          <w:color w:val="auto"/>
        </w:rPr>
        <w:t>FULGENT GENETICS,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8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2"/>
                <w:szCs w:val="12"/>
                <w:b w:val="1"/>
                <w:bCs w:val="1"/>
                <w:color w:val="auto"/>
                <w:w w:val="90"/>
              </w:rPr>
              <w:t>Nine Months Ended September 30,</w:t>
            </w: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7080" w:type="dxa"/>
            <w:vAlign w:val="bottom"/>
          </w:tcPr>
          <w:p>
            <w:pPr>
              <w:spacing w:after="0"/>
              <w:rPr>
                <w:sz w:val="14"/>
                <w:szCs w:val="1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2"/>
                <w:szCs w:val="12"/>
                <w:b w:val="1"/>
                <w:bCs w:val="1"/>
                <w:color w:val="auto"/>
              </w:rPr>
              <w:t>2023</w:t>
            </w: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75"/>
              <w:spacing w:after="0"/>
              <w:rPr>
                <w:sz w:val="20"/>
                <w:szCs w:val="20"/>
                <w:color w:val="auto"/>
              </w:rPr>
            </w:pPr>
            <w:r>
              <w:rPr>
                <w:rFonts w:ascii="Arial" w:cs="Arial" w:eastAsia="Arial" w:hAnsi="Arial"/>
                <w:sz w:val="12"/>
                <w:szCs w:val="12"/>
                <w:b w:val="1"/>
                <w:bCs w:val="1"/>
                <w:color w:val="auto"/>
                <w:w w:val="97"/>
              </w:rPr>
              <w:t>2022</w:t>
            </w:r>
          </w:p>
        </w:tc>
        <w:tc>
          <w:tcPr>
            <w:tcW w:w="100" w:type="dxa"/>
            <w:vAlign w:val="bottom"/>
          </w:tcPr>
          <w:p>
            <w:pPr>
              <w:spacing w:after="0"/>
              <w:rPr>
                <w:sz w:val="14"/>
                <w:szCs w:val="14"/>
                <w:color w:val="auto"/>
              </w:rPr>
            </w:pPr>
          </w:p>
        </w:tc>
      </w:tr>
      <w:tr>
        <w:trPr>
          <w:trHeight w:val="177"/>
        </w:trPr>
        <w:tc>
          <w:tcPr>
            <w:tcW w:w="70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 from operating activities:</w:t>
            </w:r>
          </w:p>
        </w:tc>
        <w:tc>
          <w:tcPr>
            <w:tcW w:w="1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7080" w:type="dxa"/>
            <w:vAlign w:val="bottom"/>
          </w:tcPr>
          <w:p>
            <w:pPr>
              <w:ind w:left="20"/>
              <w:spacing w:after="0"/>
              <w:rPr>
                <w:sz w:val="20"/>
                <w:szCs w:val="20"/>
                <w:color w:val="auto"/>
              </w:rPr>
            </w:pPr>
            <w:r>
              <w:rPr>
                <w:rFonts w:ascii="Arial" w:cs="Arial" w:eastAsia="Arial" w:hAnsi="Arial"/>
                <w:sz w:val="13"/>
                <w:szCs w:val="13"/>
                <w:color w:val="auto"/>
              </w:rPr>
              <w:t>Net (loss) income from consolidated operations</w:t>
            </w:r>
          </w:p>
        </w:tc>
        <w:tc>
          <w:tcPr>
            <w:tcW w:w="1120" w:type="dxa"/>
            <w:vAlign w:val="bottom"/>
          </w:tcPr>
          <w:p>
            <w:pPr>
              <w:jc w:val="right"/>
              <w:ind w:right="10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(40,905 )</w:t>
            </w:r>
          </w:p>
        </w:tc>
        <w:tc>
          <w:tcPr>
            <w:tcW w:w="760" w:type="dxa"/>
            <w:vAlign w:val="bottom"/>
          </w:tcPr>
          <w:p>
            <w:pPr>
              <w:jc w:val="right"/>
              <w:ind w:right="65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165,999</w:t>
            </w:r>
          </w:p>
        </w:tc>
        <w:tc>
          <w:tcPr>
            <w:tcW w:w="100" w:type="dxa"/>
            <w:vAlign w:val="bottom"/>
          </w:tcPr>
          <w:p>
            <w:pPr>
              <w:spacing w:after="0"/>
              <w:rPr>
                <w:sz w:val="15"/>
                <w:szCs w:val="15"/>
                <w:color w:val="auto"/>
              </w:rPr>
            </w:pP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1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Equity-based compensation</w:t>
            </w:r>
          </w:p>
        </w:tc>
        <w:tc>
          <w:tcPr>
            <w:tcW w:w="1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31,490</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22,618</w:t>
            </w:r>
          </w:p>
        </w:tc>
        <w:tc>
          <w:tcPr>
            <w:tcW w:w="100" w:type="dxa"/>
            <w:vAlign w:val="bottom"/>
          </w:tcPr>
          <w:p>
            <w:pPr>
              <w:spacing w:after="0"/>
              <w:rPr>
                <w:sz w:val="15"/>
                <w:szCs w:val="15"/>
                <w:color w:val="auto"/>
              </w:rPr>
            </w:pP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Depreciation and amortization</w:t>
            </w:r>
          </w:p>
        </w:tc>
        <w:tc>
          <w:tcPr>
            <w:tcW w:w="1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19,610</w:t>
            </w: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22,860</w:t>
            </w:r>
          </w:p>
        </w:tc>
        <w:tc>
          <w:tcPr>
            <w:tcW w:w="100" w:type="dxa"/>
            <w:vAlign w:val="bottom"/>
            <w:shd w:val="clear" w:color="auto" w:fill="CFF0FC"/>
          </w:tcPr>
          <w:p>
            <w:pPr>
              <w:spacing w:after="0"/>
              <w:rPr>
                <w:sz w:val="16"/>
                <w:szCs w:val="16"/>
                <w:color w:val="auto"/>
              </w:rPr>
            </w:pP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Provision for credit losses</w:t>
            </w:r>
          </w:p>
        </w:tc>
        <w:tc>
          <w:tcPr>
            <w:tcW w:w="112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(4,331 )</w:t>
            </w:r>
          </w:p>
        </w:tc>
        <w:tc>
          <w:tcPr>
            <w:tcW w:w="7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25,256</w:t>
            </w:r>
          </w:p>
        </w:tc>
        <w:tc>
          <w:tcPr>
            <w:tcW w:w="100" w:type="dxa"/>
            <w:vAlign w:val="bottom"/>
          </w:tcPr>
          <w:p>
            <w:pPr>
              <w:spacing w:after="0"/>
              <w:rPr>
                <w:sz w:val="15"/>
                <w:szCs w:val="15"/>
                <w:color w:val="auto"/>
              </w:rPr>
            </w:pP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Noncash lease expense</w:t>
            </w:r>
          </w:p>
        </w:tc>
        <w:tc>
          <w:tcPr>
            <w:tcW w:w="1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4,895</w:t>
            </w: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3,311</w:t>
            </w:r>
          </w:p>
        </w:tc>
        <w:tc>
          <w:tcPr>
            <w:tcW w:w="100" w:type="dxa"/>
            <w:vAlign w:val="bottom"/>
            <w:shd w:val="clear" w:color="auto" w:fill="CFF0FC"/>
          </w:tcPr>
          <w:p>
            <w:pPr>
              <w:spacing w:after="0"/>
              <w:rPr>
                <w:sz w:val="16"/>
                <w:szCs w:val="16"/>
                <w:color w:val="auto"/>
              </w:rPr>
            </w:pP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Loss on disposal of fixed asset</w:t>
            </w:r>
          </w:p>
        </w:tc>
        <w:tc>
          <w:tcPr>
            <w:tcW w:w="1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429</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5"/>
                <w:szCs w:val="15"/>
                <w:color w:val="auto"/>
              </w:rPr>
            </w:pP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Amortization of (discount) premium of marketable securities</w:t>
            </w:r>
          </w:p>
        </w:tc>
        <w:tc>
          <w:tcPr>
            <w:tcW w:w="1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(2,382 )</w:t>
            </w: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4,230</w:t>
            </w:r>
          </w:p>
        </w:tc>
        <w:tc>
          <w:tcPr>
            <w:tcW w:w="100" w:type="dxa"/>
            <w:vAlign w:val="bottom"/>
            <w:shd w:val="clear" w:color="auto" w:fill="CFF0FC"/>
          </w:tcPr>
          <w:p>
            <w:pPr>
              <w:spacing w:after="0"/>
              <w:rPr>
                <w:sz w:val="16"/>
                <w:szCs w:val="16"/>
                <w:color w:val="auto"/>
              </w:rPr>
            </w:pP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Deferred taxes</w:t>
            </w:r>
          </w:p>
        </w:tc>
        <w:tc>
          <w:tcPr>
            <w:tcW w:w="1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10,964</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(4,934 )</w:t>
            </w: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Unrecognized tax benefits</w:t>
            </w:r>
          </w:p>
        </w:tc>
        <w:tc>
          <w:tcPr>
            <w:tcW w:w="1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(281 )</w:t>
            </w: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1,101</w:t>
            </w:r>
          </w:p>
        </w:tc>
        <w:tc>
          <w:tcPr>
            <w:tcW w:w="100" w:type="dxa"/>
            <w:vAlign w:val="bottom"/>
            <w:shd w:val="clear" w:color="auto" w:fill="CFF0FC"/>
          </w:tcPr>
          <w:p>
            <w:pPr>
              <w:spacing w:after="0"/>
              <w:rPr>
                <w:sz w:val="16"/>
                <w:szCs w:val="16"/>
                <w:color w:val="auto"/>
              </w:rPr>
            </w:pP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Net loss on marketable securities</w:t>
            </w:r>
          </w:p>
        </w:tc>
        <w:tc>
          <w:tcPr>
            <w:tcW w:w="112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626</w:t>
            </w:r>
          </w:p>
        </w:tc>
        <w:tc>
          <w:tcPr>
            <w:tcW w:w="100" w:type="dxa"/>
            <w:vAlign w:val="bottom"/>
          </w:tcPr>
          <w:p>
            <w:pPr>
              <w:spacing w:after="0"/>
              <w:rPr>
                <w:sz w:val="15"/>
                <w:szCs w:val="15"/>
                <w:color w:val="auto"/>
              </w:rPr>
            </w:pP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Other</w:t>
            </w:r>
          </w:p>
        </w:tc>
        <w:tc>
          <w:tcPr>
            <w:tcW w:w="1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(29 )</w:t>
            </w:r>
          </w:p>
        </w:tc>
        <w:tc>
          <w:tcPr>
            <w:tcW w:w="7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(23 )</w:t>
            </w: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Changes in operating assets and liabilities:</w:t>
            </w: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4"/>
        </w:trPr>
        <w:tc>
          <w:tcPr>
            <w:tcW w:w="70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Trade accounts receivable</w:t>
            </w:r>
          </w:p>
        </w:tc>
        <w:tc>
          <w:tcPr>
            <w:tcW w:w="1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7,596</w:t>
            </w: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24,214</w:t>
            </w:r>
          </w:p>
        </w:tc>
        <w:tc>
          <w:tcPr>
            <w:tcW w:w="100" w:type="dxa"/>
            <w:vAlign w:val="bottom"/>
            <w:shd w:val="clear" w:color="auto" w:fill="CFF0FC"/>
          </w:tcPr>
          <w:p>
            <w:pPr>
              <w:spacing w:after="0"/>
              <w:rPr>
                <w:sz w:val="16"/>
                <w:szCs w:val="16"/>
                <w:color w:val="auto"/>
              </w:rPr>
            </w:pPr>
          </w:p>
        </w:tc>
      </w:tr>
      <w:tr>
        <w:trPr>
          <w:trHeight w:val="178"/>
        </w:trPr>
        <w:tc>
          <w:tcPr>
            <w:tcW w:w="7080" w:type="dxa"/>
            <w:vAlign w:val="bottom"/>
          </w:tcPr>
          <w:p>
            <w:pPr>
              <w:ind w:left="300"/>
              <w:spacing w:after="0"/>
              <w:rPr>
                <w:sz w:val="20"/>
                <w:szCs w:val="20"/>
                <w:color w:val="auto"/>
              </w:rPr>
            </w:pPr>
            <w:r>
              <w:rPr>
                <w:rFonts w:ascii="Arial" w:cs="Arial" w:eastAsia="Arial" w:hAnsi="Arial"/>
                <w:sz w:val="13"/>
                <w:szCs w:val="13"/>
                <w:color w:val="auto"/>
              </w:rPr>
              <w:t>Other current and long-term assets</w:t>
            </w:r>
          </w:p>
        </w:tc>
        <w:tc>
          <w:tcPr>
            <w:tcW w:w="112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(2,876 )</w:t>
            </w:r>
          </w:p>
        </w:tc>
        <w:tc>
          <w:tcPr>
            <w:tcW w:w="7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3,722</w:t>
            </w:r>
          </w:p>
        </w:tc>
        <w:tc>
          <w:tcPr>
            <w:tcW w:w="100" w:type="dxa"/>
            <w:vAlign w:val="bottom"/>
          </w:tcPr>
          <w:p>
            <w:pPr>
              <w:spacing w:after="0"/>
              <w:rPr>
                <w:sz w:val="15"/>
                <w:szCs w:val="15"/>
                <w:color w:val="auto"/>
              </w:rPr>
            </w:pPr>
          </w:p>
        </w:tc>
      </w:tr>
      <w:tr>
        <w:trPr>
          <w:trHeight w:val="194"/>
        </w:trPr>
        <w:tc>
          <w:tcPr>
            <w:tcW w:w="70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Accounts payable</w:t>
            </w:r>
          </w:p>
        </w:tc>
        <w:tc>
          <w:tcPr>
            <w:tcW w:w="1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(7,025 )</w:t>
            </w:r>
          </w:p>
        </w:tc>
        <w:tc>
          <w:tcPr>
            <w:tcW w:w="7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(32,331 )</w:t>
            </w:r>
          </w:p>
        </w:tc>
      </w:tr>
      <w:tr>
        <w:trPr>
          <w:trHeight w:val="178"/>
        </w:trPr>
        <w:tc>
          <w:tcPr>
            <w:tcW w:w="7080" w:type="dxa"/>
            <w:vAlign w:val="bottom"/>
          </w:tcPr>
          <w:p>
            <w:pPr>
              <w:ind w:left="300"/>
              <w:spacing w:after="0"/>
              <w:rPr>
                <w:sz w:val="20"/>
                <w:szCs w:val="20"/>
                <w:color w:val="auto"/>
              </w:rPr>
            </w:pPr>
            <w:r>
              <w:rPr>
                <w:rFonts w:ascii="Arial" w:cs="Arial" w:eastAsia="Arial" w:hAnsi="Arial"/>
                <w:sz w:val="13"/>
                <w:szCs w:val="13"/>
                <w:color w:val="auto"/>
              </w:rPr>
              <w:t>Income tax payable</w:t>
            </w:r>
          </w:p>
        </w:tc>
        <w:tc>
          <w:tcPr>
            <w:tcW w:w="112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(400 )</w:t>
            </w:r>
          </w:p>
        </w:tc>
      </w:tr>
      <w:tr>
        <w:trPr>
          <w:trHeight w:val="194"/>
        </w:trPr>
        <w:tc>
          <w:tcPr>
            <w:tcW w:w="70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Accrued liabilities and other liabilities</w:t>
            </w:r>
          </w:p>
        </w:tc>
        <w:tc>
          <w:tcPr>
            <w:tcW w:w="1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(323 )</w:t>
            </w:r>
          </w:p>
        </w:tc>
        <w:tc>
          <w:tcPr>
            <w:tcW w:w="7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(12,905 )</w:t>
            </w:r>
          </w:p>
        </w:tc>
      </w:tr>
      <w:tr>
        <w:trPr>
          <w:trHeight w:val="178"/>
        </w:trPr>
        <w:tc>
          <w:tcPr>
            <w:tcW w:w="7080" w:type="dxa"/>
            <w:vAlign w:val="bottom"/>
          </w:tcPr>
          <w:p>
            <w:pPr>
              <w:ind w:left="300"/>
              <w:spacing w:after="0"/>
              <w:rPr>
                <w:sz w:val="20"/>
                <w:szCs w:val="20"/>
                <w:color w:val="auto"/>
              </w:rPr>
            </w:pPr>
            <w:r>
              <w:rPr>
                <w:rFonts w:ascii="Arial" w:cs="Arial" w:eastAsia="Arial" w:hAnsi="Arial"/>
                <w:sz w:val="13"/>
                <w:szCs w:val="13"/>
                <w:color w:val="auto"/>
              </w:rPr>
              <w:t>Operating lease liabilities</w:t>
            </w:r>
          </w:p>
        </w:tc>
        <w:tc>
          <w:tcPr>
            <w:tcW w:w="112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(4,762 )</w:t>
            </w:r>
          </w:p>
        </w:tc>
        <w:tc>
          <w:tcPr>
            <w:tcW w:w="76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(3,331 )</w:t>
            </w:r>
          </w:p>
        </w:tc>
      </w:tr>
      <w:tr>
        <w:trPr>
          <w:trHeight w:val="177"/>
        </w:trPr>
        <w:tc>
          <w:tcPr>
            <w:tcW w:w="70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Net cash provided by operating activities</w:t>
            </w:r>
          </w:p>
        </w:tc>
        <w:tc>
          <w:tcPr>
            <w:tcW w:w="1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12,070</w:t>
            </w:r>
          </w:p>
        </w:tc>
        <w:tc>
          <w:tcPr>
            <w:tcW w:w="3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220,313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7"/>
        </w:trPr>
        <w:tc>
          <w:tcPr>
            <w:tcW w:w="7080" w:type="dxa"/>
            <w:vAlign w:val="bottom"/>
          </w:tcPr>
          <w:p>
            <w:pPr>
              <w:ind w:left="20"/>
              <w:spacing w:after="0"/>
              <w:rPr>
                <w:sz w:val="20"/>
                <w:szCs w:val="20"/>
                <w:color w:val="auto"/>
              </w:rPr>
            </w:pPr>
            <w:r>
              <w:rPr>
                <w:rFonts w:ascii="Arial" w:cs="Arial" w:eastAsia="Arial" w:hAnsi="Arial"/>
                <w:sz w:val="13"/>
                <w:szCs w:val="13"/>
                <w:b w:val="1"/>
                <w:bCs w:val="1"/>
                <w:color w:val="auto"/>
              </w:rPr>
              <w:t>Cash flow from investing activities:</w:t>
            </w: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Purchase of marketable securities</w:t>
            </w:r>
          </w:p>
        </w:tc>
        <w:tc>
          <w:tcPr>
            <w:tcW w:w="1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(343,601 )</w:t>
            </w:r>
          </w:p>
        </w:tc>
        <w:tc>
          <w:tcPr>
            <w:tcW w:w="7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(257,267 )</w:t>
            </w: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Maturities of marketable securities</w:t>
            </w:r>
          </w:p>
        </w:tc>
        <w:tc>
          <w:tcPr>
            <w:tcW w:w="1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376,890</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131,713</w:t>
            </w:r>
          </w:p>
        </w:tc>
        <w:tc>
          <w:tcPr>
            <w:tcW w:w="100" w:type="dxa"/>
            <w:vAlign w:val="bottom"/>
          </w:tcPr>
          <w:p>
            <w:pPr>
              <w:spacing w:after="0"/>
              <w:rPr>
                <w:sz w:val="15"/>
                <w:szCs w:val="15"/>
                <w:color w:val="auto"/>
              </w:rPr>
            </w:pP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Proceeds from sale of marketable securities</w:t>
            </w:r>
          </w:p>
        </w:tc>
        <w:tc>
          <w:tcPr>
            <w:tcW w:w="1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133,407</w:t>
            </w:r>
          </w:p>
        </w:tc>
        <w:tc>
          <w:tcPr>
            <w:tcW w:w="100" w:type="dxa"/>
            <w:vAlign w:val="bottom"/>
            <w:shd w:val="clear" w:color="auto" w:fill="CFF0FC"/>
          </w:tcPr>
          <w:p>
            <w:pPr>
              <w:spacing w:after="0"/>
              <w:rPr>
                <w:sz w:val="16"/>
                <w:szCs w:val="16"/>
                <w:color w:val="auto"/>
              </w:rPr>
            </w:pP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Purchases of fixed assets</w:t>
            </w:r>
          </w:p>
        </w:tc>
        <w:tc>
          <w:tcPr>
            <w:tcW w:w="112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(19,101 )</w:t>
            </w:r>
          </w:p>
        </w:tc>
        <w:tc>
          <w:tcPr>
            <w:tcW w:w="76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(14,053 )</w:t>
            </w: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Proceeds from sale of fixed assets</w:t>
            </w:r>
          </w:p>
        </w:tc>
        <w:tc>
          <w:tcPr>
            <w:tcW w:w="1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440</w:t>
            </w: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FF0FC"/>
          </w:tcPr>
          <w:p>
            <w:pPr>
              <w:spacing w:after="0"/>
              <w:rPr>
                <w:sz w:val="16"/>
                <w:szCs w:val="16"/>
                <w:color w:val="auto"/>
              </w:rPr>
            </w:pP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Acquisition of businesses, net of cash acquired</w:t>
            </w:r>
          </w:p>
        </w:tc>
        <w:tc>
          <w:tcPr>
            <w:tcW w:w="112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(137,755 )</w:t>
            </w: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Investment in private equity securities</w:t>
            </w:r>
          </w:p>
        </w:tc>
        <w:tc>
          <w:tcPr>
            <w:tcW w:w="1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(15,000 )</w:t>
            </w: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Contingent consideration payout related to a business acquisition</w:t>
            </w:r>
          </w:p>
        </w:tc>
        <w:tc>
          <w:tcPr>
            <w:tcW w:w="1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(10,000 )</w:t>
            </w:r>
          </w:p>
        </w:tc>
      </w:tr>
      <w:tr>
        <w:trPr>
          <w:trHeight w:val="20"/>
        </w:trPr>
        <w:tc>
          <w:tcPr>
            <w:tcW w:w="7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7"/>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cash provided by (used in) investing activities</w:t>
            </w:r>
          </w:p>
        </w:tc>
        <w:tc>
          <w:tcPr>
            <w:tcW w:w="1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14,628</w:t>
            </w:r>
          </w:p>
        </w:tc>
        <w:tc>
          <w:tcPr>
            <w:tcW w:w="3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(168,715 )</w:t>
            </w:r>
          </w:p>
        </w:tc>
      </w:tr>
      <w:tr>
        <w:trPr>
          <w:trHeight w:val="177"/>
        </w:trPr>
        <w:tc>
          <w:tcPr>
            <w:tcW w:w="708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Cash flow from financing activities:</w:t>
            </w:r>
          </w:p>
        </w:tc>
        <w:tc>
          <w:tcPr>
            <w:tcW w:w="1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Repurchase of common stock</w:t>
            </w:r>
          </w:p>
        </w:tc>
        <w:tc>
          <w:tcPr>
            <w:tcW w:w="1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(2,198 )</w:t>
            </w:r>
          </w:p>
        </w:tc>
        <w:tc>
          <w:tcPr>
            <w:tcW w:w="7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(45,279 )</w:t>
            </w: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Common stock withholding for employee tax obligations</w:t>
            </w:r>
          </w:p>
        </w:tc>
        <w:tc>
          <w:tcPr>
            <w:tcW w:w="112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(1,618 )</w:t>
            </w:r>
          </w:p>
        </w:tc>
        <w:tc>
          <w:tcPr>
            <w:tcW w:w="76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(1,452 )</w:t>
            </w: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Repayment of notes payable</w:t>
            </w:r>
          </w:p>
        </w:tc>
        <w:tc>
          <w:tcPr>
            <w:tcW w:w="1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(2,429 )</w:t>
            </w:r>
          </w:p>
        </w:tc>
        <w:tc>
          <w:tcPr>
            <w:tcW w:w="7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(367 )</w:t>
            </w: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Repayment of investment margin loan</w:t>
            </w:r>
          </w:p>
        </w:tc>
        <w:tc>
          <w:tcPr>
            <w:tcW w:w="112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(15,000 )</w:t>
            </w:r>
          </w:p>
        </w:tc>
        <w:tc>
          <w:tcPr>
            <w:tcW w:w="76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Principal paid for finance lease</w:t>
            </w:r>
          </w:p>
        </w:tc>
        <w:tc>
          <w:tcPr>
            <w:tcW w:w="1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(592 )</w:t>
            </w:r>
          </w:p>
        </w:tc>
        <w:tc>
          <w:tcPr>
            <w:tcW w:w="7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(469 )</w:t>
            </w: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Proceeds from exercise of stock options</w:t>
            </w: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r>
      <w:tr>
        <w:trPr>
          <w:trHeight w:val="177"/>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cash used in financing activities</w:t>
            </w:r>
          </w:p>
        </w:tc>
        <w:tc>
          <w:tcPr>
            <w:tcW w:w="1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(21,834 )</w:t>
            </w:r>
          </w:p>
        </w:tc>
        <w:tc>
          <w:tcPr>
            <w:tcW w:w="7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(47,548 )</w:t>
            </w:r>
          </w:p>
        </w:tc>
      </w:tr>
      <w:tr>
        <w:trPr>
          <w:trHeight w:val="20"/>
        </w:trPr>
        <w:tc>
          <w:tcPr>
            <w:tcW w:w="70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7"/>
        </w:trPr>
        <w:tc>
          <w:tcPr>
            <w:tcW w:w="7080" w:type="dxa"/>
            <w:vAlign w:val="bottom"/>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112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(294 )</w:t>
            </w:r>
          </w:p>
        </w:tc>
        <w:tc>
          <w:tcPr>
            <w:tcW w:w="76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(174 )</w:t>
            </w:r>
          </w:p>
        </w:tc>
      </w:tr>
      <w:tr>
        <w:trPr>
          <w:trHeight w:val="185"/>
        </w:trPr>
        <w:tc>
          <w:tcPr>
            <w:tcW w:w="70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Net increase in cash and cash equivalents</w:t>
            </w:r>
          </w:p>
        </w:tc>
        <w:tc>
          <w:tcPr>
            <w:tcW w:w="11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4,570</w:t>
            </w:r>
          </w:p>
        </w:tc>
        <w:tc>
          <w:tcPr>
            <w:tcW w:w="320" w:type="dxa"/>
            <w:vAlign w:val="bottom"/>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3,876</w:t>
            </w:r>
          </w:p>
        </w:tc>
        <w:tc>
          <w:tcPr>
            <w:tcW w:w="100" w:type="dxa"/>
            <w:vAlign w:val="bottom"/>
            <w:shd w:val="clear" w:color="auto" w:fill="CFF0FC"/>
          </w:tcPr>
          <w:p>
            <w:pPr>
              <w:spacing w:after="0"/>
              <w:rPr>
                <w:sz w:val="16"/>
                <w:szCs w:val="16"/>
                <w:color w:val="auto"/>
              </w:rPr>
            </w:pPr>
          </w:p>
        </w:tc>
      </w:tr>
      <w:tr>
        <w:trPr>
          <w:trHeight w:val="178"/>
        </w:trPr>
        <w:tc>
          <w:tcPr>
            <w:tcW w:w="708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beginning of period</w:t>
            </w: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79,506</w:t>
            </w:r>
          </w:p>
        </w:tc>
        <w:tc>
          <w:tcPr>
            <w:tcW w:w="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164,894</w:t>
            </w:r>
          </w:p>
        </w:tc>
        <w:tc>
          <w:tcPr>
            <w:tcW w:w="100" w:type="dxa"/>
            <w:vAlign w:val="bottom"/>
          </w:tcPr>
          <w:p>
            <w:pPr>
              <w:spacing w:after="0"/>
              <w:rPr>
                <w:sz w:val="15"/>
                <w:szCs w:val="15"/>
                <w:color w:val="auto"/>
              </w:rPr>
            </w:pPr>
          </w:p>
        </w:tc>
      </w:tr>
      <w:tr>
        <w:trPr>
          <w:trHeight w:val="217"/>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12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84,076</w:t>
            </w:r>
          </w:p>
        </w:tc>
        <w:tc>
          <w:tcPr>
            <w:tcW w:w="3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65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168,770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9"/>
        </w:trPr>
        <w:tc>
          <w:tcPr>
            <w:tcW w:w="708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Income taxes paid</w:t>
            </w:r>
          </w:p>
        </w:tc>
        <w:tc>
          <w:tcPr>
            <w:tcW w:w="1120" w:type="dxa"/>
            <w:vAlign w:val="bottom"/>
            <w:shd w:val="clear" w:color="auto" w:fill="CFF0FC"/>
          </w:tcPr>
          <w:p>
            <w:pPr>
              <w:jc w:val="right"/>
              <w:ind w:right="10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2,698</w:t>
            </w: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5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56,181</w:t>
            </w:r>
          </w:p>
        </w:tc>
        <w:tc>
          <w:tcPr>
            <w:tcW w:w="100" w:type="dxa"/>
            <w:vAlign w:val="bottom"/>
            <w:shd w:val="clear" w:color="auto" w:fill="CFF0FC"/>
          </w:tcPr>
          <w:p>
            <w:pPr>
              <w:spacing w:after="0"/>
              <w:rPr>
                <w:sz w:val="16"/>
                <w:szCs w:val="16"/>
                <w:color w:val="auto"/>
              </w:rPr>
            </w:pP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Interest Paid</w:t>
            </w:r>
          </w:p>
        </w:tc>
        <w:tc>
          <w:tcPr>
            <w:tcW w:w="1120" w:type="dxa"/>
            <w:vAlign w:val="bottom"/>
          </w:tcPr>
          <w:p>
            <w:pPr>
              <w:jc w:val="right"/>
              <w:ind w:right="101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940</w:t>
            </w:r>
          </w:p>
        </w:tc>
        <w:tc>
          <w:tcPr>
            <w:tcW w:w="320" w:type="dxa"/>
            <w:vAlign w:val="bottom"/>
          </w:tcPr>
          <w:p>
            <w:pPr>
              <w:spacing w:after="0"/>
              <w:rPr>
                <w:sz w:val="15"/>
                <w:szCs w:val="15"/>
                <w:color w:val="auto"/>
              </w:rPr>
            </w:pPr>
          </w:p>
        </w:tc>
        <w:tc>
          <w:tcPr>
            <w:tcW w:w="760" w:type="dxa"/>
            <w:vAlign w:val="bottom"/>
          </w:tcPr>
          <w:p>
            <w:pPr>
              <w:jc w:val="right"/>
              <w:ind w:right="65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94"/>
        </w:trPr>
        <w:tc>
          <w:tcPr>
            <w:tcW w:w="70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disclosures of non-cash investing and financing activities:</w:t>
            </w:r>
          </w:p>
        </w:tc>
        <w:tc>
          <w:tcPr>
            <w:tcW w:w="1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Purchase of marketable securities in other current liabilities</w:t>
            </w:r>
          </w:p>
        </w:tc>
        <w:tc>
          <w:tcPr>
            <w:tcW w:w="1120" w:type="dxa"/>
            <w:vAlign w:val="bottom"/>
          </w:tcPr>
          <w:p>
            <w:pPr>
              <w:jc w:val="right"/>
              <w:ind w:right="10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65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12,905</w:t>
            </w:r>
          </w:p>
        </w:tc>
        <w:tc>
          <w:tcPr>
            <w:tcW w:w="100" w:type="dxa"/>
            <w:vAlign w:val="bottom"/>
          </w:tcPr>
          <w:p>
            <w:pPr>
              <w:spacing w:after="0"/>
              <w:rPr>
                <w:sz w:val="15"/>
                <w:szCs w:val="15"/>
                <w:color w:val="auto"/>
              </w:rPr>
            </w:pP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Purchases of fixed assets in accounts payable</w:t>
            </w:r>
          </w:p>
        </w:tc>
        <w:tc>
          <w:tcPr>
            <w:tcW w:w="1120" w:type="dxa"/>
            <w:vAlign w:val="bottom"/>
            <w:shd w:val="clear" w:color="auto" w:fill="CFF0FC"/>
          </w:tcPr>
          <w:p>
            <w:pPr>
              <w:jc w:val="right"/>
              <w:ind w:right="10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1,288</w:t>
            </w: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5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1,690</w:t>
            </w:r>
          </w:p>
        </w:tc>
        <w:tc>
          <w:tcPr>
            <w:tcW w:w="100" w:type="dxa"/>
            <w:vAlign w:val="bottom"/>
            <w:shd w:val="clear" w:color="auto" w:fill="CFF0FC"/>
          </w:tcPr>
          <w:p>
            <w:pPr>
              <w:spacing w:after="0"/>
              <w:rPr>
                <w:sz w:val="16"/>
                <w:szCs w:val="16"/>
                <w:color w:val="auto"/>
              </w:rPr>
            </w:pP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Purchases of fixed assets in notes payable</w:t>
            </w:r>
          </w:p>
        </w:tc>
        <w:tc>
          <w:tcPr>
            <w:tcW w:w="1120" w:type="dxa"/>
            <w:vAlign w:val="bottom"/>
          </w:tcPr>
          <w:p>
            <w:pPr>
              <w:jc w:val="right"/>
              <w:ind w:right="10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65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3,833</w:t>
            </w:r>
          </w:p>
        </w:tc>
        <w:tc>
          <w:tcPr>
            <w:tcW w:w="100" w:type="dxa"/>
            <w:vAlign w:val="bottom"/>
          </w:tcPr>
          <w:p>
            <w:pPr>
              <w:spacing w:after="0"/>
              <w:rPr>
                <w:sz w:val="15"/>
                <w:szCs w:val="15"/>
                <w:color w:val="auto"/>
              </w:rPr>
            </w:pP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Operating lease right-of-use assets obtained in exchange for lease liabilities</w:t>
            </w:r>
          </w:p>
        </w:tc>
        <w:tc>
          <w:tcPr>
            <w:tcW w:w="1120" w:type="dxa"/>
            <w:vAlign w:val="bottom"/>
            <w:shd w:val="clear" w:color="auto" w:fill="CFF0FC"/>
          </w:tcPr>
          <w:p>
            <w:pPr>
              <w:jc w:val="right"/>
              <w:ind w:right="10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2,661</w:t>
            </w: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5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FF0FC"/>
          </w:tcPr>
          <w:p>
            <w:pPr>
              <w:spacing w:after="0"/>
              <w:rPr>
                <w:sz w:val="16"/>
                <w:szCs w:val="16"/>
                <w:color w:val="auto"/>
              </w:rPr>
            </w:pPr>
          </w:p>
        </w:tc>
      </w:tr>
      <w:tr>
        <w:trPr>
          <w:trHeight w:val="178"/>
        </w:trPr>
        <w:tc>
          <w:tcPr>
            <w:tcW w:w="7080" w:type="dxa"/>
            <w:vAlign w:val="bottom"/>
          </w:tcPr>
          <w:p>
            <w:pPr>
              <w:ind w:left="160"/>
              <w:spacing w:after="0"/>
              <w:rPr>
                <w:sz w:val="20"/>
                <w:szCs w:val="20"/>
                <w:color w:val="auto"/>
              </w:rPr>
            </w:pPr>
            <w:r>
              <w:rPr>
                <w:rFonts w:ascii="Arial" w:cs="Arial" w:eastAsia="Arial" w:hAnsi="Arial"/>
                <w:sz w:val="13"/>
                <w:szCs w:val="13"/>
                <w:color w:val="auto"/>
              </w:rPr>
              <w:t>Finance lease right-of-use assets obtained in exchange for lease liabilities</w:t>
            </w:r>
          </w:p>
        </w:tc>
        <w:tc>
          <w:tcPr>
            <w:tcW w:w="1120" w:type="dxa"/>
            <w:vAlign w:val="bottom"/>
          </w:tcPr>
          <w:p>
            <w:pPr>
              <w:jc w:val="right"/>
              <w:ind w:right="10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65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573</w:t>
            </w:r>
          </w:p>
        </w:tc>
        <w:tc>
          <w:tcPr>
            <w:tcW w:w="100" w:type="dxa"/>
            <w:vAlign w:val="bottom"/>
          </w:tcPr>
          <w:p>
            <w:pPr>
              <w:spacing w:after="0"/>
              <w:rPr>
                <w:sz w:val="15"/>
                <w:szCs w:val="15"/>
                <w:color w:val="auto"/>
              </w:rPr>
            </w:pPr>
          </w:p>
        </w:tc>
      </w:tr>
      <w:tr>
        <w:trPr>
          <w:trHeight w:val="194"/>
        </w:trPr>
        <w:tc>
          <w:tcPr>
            <w:tcW w:w="70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Finance lease right-of-use assets reduced due to lease modification and termination</w:t>
            </w:r>
          </w:p>
        </w:tc>
        <w:tc>
          <w:tcPr>
            <w:tcW w:w="1120" w:type="dxa"/>
            <w:vAlign w:val="bottom"/>
            <w:shd w:val="clear" w:color="auto" w:fill="CFF0FC"/>
          </w:tcPr>
          <w:p>
            <w:pPr>
              <w:jc w:val="right"/>
              <w:ind w:right="10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696</w:t>
            </w: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9"/>
        </w:trPr>
        <w:tc>
          <w:tcPr>
            <w:tcW w:w="7080" w:type="dxa"/>
            <w:vAlign w:val="bottom"/>
          </w:tcPr>
          <w:p>
            <w:pPr>
              <w:ind w:left="160"/>
              <w:spacing w:after="0"/>
              <w:rPr>
                <w:sz w:val="20"/>
                <w:szCs w:val="20"/>
                <w:color w:val="auto"/>
              </w:rPr>
            </w:pPr>
            <w:r>
              <w:rPr>
                <w:rFonts w:ascii="Arial" w:cs="Arial" w:eastAsia="Arial" w:hAnsi="Arial"/>
                <w:sz w:val="13"/>
                <w:szCs w:val="13"/>
                <w:color w:val="auto"/>
              </w:rPr>
              <w:t>Operating lease right-of-use assets reduced due to lease modification and termination</w:t>
            </w:r>
          </w:p>
        </w:tc>
        <w:tc>
          <w:tcPr>
            <w:tcW w:w="1120" w:type="dxa"/>
            <w:vAlign w:val="bottom"/>
          </w:tcPr>
          <w:p>
            <w:pPr>
              <w:jc w:val="right"/>
              <w:ind w:right="10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65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-3953510</wp:posOffset>
            </wp:positionV>
            <wp:extent cx="69215" cy="1250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15" cy="12509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-3953510</wp:posOffset>
            </wp:positionV>
            <wp:extent cx="69215" cy="1250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15" cy="12509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-2759075</wp:posOffset>
            </wp:positionV>
            <wp:extent cx="69215" cy="1250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15" cy="12509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-2759075</wp:posOffset>
            </wp:positionV>
            <wp:extent cx="69215" cy="1250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215" cy="12509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-1800860</wp:posOffset>
            </wp:positionV>
            <wp:extent cx="69215" cy="1320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-1800860</wp:posOffset>
            </wp:positionV>
            <wp:extent cx="69215" cy="1320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-1308100</wp:posOffset>
            </wp:positionV>
            <wp:extent cx="1464945" cy="1390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64945" cy="13906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5"/>
          <w:szCs w:val="15"/>
          <w:b w:val="1"/>
          <w:bCs w:val="1"/>
          <w:color w:val="auto"/>
        </w:rPr>
        <w:t>FULGENT GENETICS,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Overview and Basis of Presentation</w:t>
      </w:r>
    </w:p>
    <w:p>
      <w:pPr>
        <w:spacing w:after="0" w:line="94" w:lineRule="exact"/>
        <w:rPr>
          <w:sz w:val="20"/>
          <w:szCs w:val="20"/>
          <w:color w:val="auto"/>
        </w:rPr>
      </w:pPr>
    </w:p>
    <w:p>
      <w:pPr>
        <w:ind w:right="80" w:firstLine="511"/>
        <w:spacing w:after="0" w:line="320" w:lineRule="auto"/>
        <w:rPr>
          <w:sz w:val="20"/>
          <w:szCs w:val="20"/>
          <w:color w:val="auto"/>
        </w:rPr>
      </w:pPr>
      <w:r>
        <w:rPr>
          <w:rFonts w:ascii="Arial" w:cs="Arial" w:eastAsia="Arial" w:hAnsi="Arial"/>
          <w:sz w:val="12"/>
          <w:szCs w:val="12"/>
          <w:color w:val="auto"/>
        </w:rPr>
        <w:t>The accompanying condensed consolidated financial statements have been prepared in accordance with accounting principles generally accepted in the United States of America,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condensed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Nature of the Business</w:t>
      </w:r>
    </w:p>
    <w:p>
      <w:pPr>
        <w:spacing w:after="0" w:line="90" w:lineRule="exact"/>
        <w:rPr>
          <w:sz w:val="20"/>
          <w:szCs w:val="20"/>
          <w:color w:val="auto"/>
        </w:rPr>
      </w:pPr>
    </w:p>
    <w:p>
      <w:pPr>
        <w:ind w:firstLine="511"/>
        <w:spacing w:after="0" w:line="268" w:lineRule="auto"/>
        <w:rPr>
          <w:sz w:val="20"/>
          <w:szCs w:val="20"/>
          <w:color w:val="auto"/>
        </w:rPr>
      </w:pPr>
      <w:r>
        <w:rPr>
          <w:rFonts w:ascii="Arial" w:cs="Arial" w:eastAsia="Arial" w:hAnsi="Arial"/>
          <w:sz w:val="14"/>
          <w:szCs w:val="14"/>
          <w:color w:val="auto"/>
        </w:rPr>
        <w:t>Fulgent Genetics, Inc., together with its subsidiaries and affiliated professional corporations (collectively referred to as the Company, unless otherwise noted or the context otherwise requires), is a technology-based company with a well-established clinical diagnostic business and a therapeutic development business. Its clinical diagnostic business offers molecular diagnostic testing services, comprehensive genetic testing, and high-quality anatomic pathology laboratory services designed to provide physicians and patients with clinically actionable diagnostic information to improve the quality of patient care. Its therapeutic development business is focused on developing drug candidates for treating a broad range of cancers using a novel nanoencapsulation and targeted therapy platform designed to improve the therapeutic window and pharmacokinetic profile of new and existing cancer drugs. The Company aims to transform from a genomic diagnostic business into a fully integrated precision medicine company.</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Unaudited Interim Financial Information</w:t>
      </w:r>
    </w:p>
    <w:p>
      <w:pPr>
        <w:spacing w:after="0" w:line="90" w:lineRule="exact"/>
        <w:rPr>
          <w:sz w:val="20"/>
          <w:szCs w:val="20"/>
          <w:color w:val="auto"/>
        </w:rPr>
      </w:pPr>
    </w:p>
    <w:p>
      <w:pPr>
        <w:ind w:right="20" w:firstLine="511"/>
        <w:spacing w:after="0" w:line="266" w:lineRule="auto"/>
        <w:rPr>
          <w:sz w:val="20"/>
          <w:szCs w:val="20"/>
          <w:color w:val="auto"/>
        </w:rPr>
      </w:pPr>
      <w:r>
        <w:rPr>
          <w:rFonts w:ascii="Arial" w:cs="Arial" w:eastAsia="Arial" w:hAnsi="Arial"/>
          <w:sz w:val="14"/>
          <w:szCs w:val="14"/>
          <w:color w:val="auto"/>
        </w:rPr>
        <w:t>The accompanying unaudited interim condensed consolidated financial statements have been prepared on the same basis as the Company’s audited consolidated financial statements as of and for the fiscal year ended December 31, 2022, which are included in the Company’s annual report on Form 10-K filed with the Securities and Exchange Commission, or SEC, on February 28, 2023, or the 2022 Annual Report, and, in the opinion of management, include all adjustments, which are normal and recurring in nature, necessary for a fair presentation of the Company’s financial position and results of operations. Operating results for interim periods are not necessarily indicative of the results that may be expected for a full fiscal year or any other period. The accompanying Condensed Consolidated Balance Sheet as of December 31, 2022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2022 Annual Report, including the notes thereto.</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Summary of Significant Accounting Policies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the summary of the Company’s significant accounting policies set forth in the notes to its consolidated financial statements included in the 2022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90" w:lineRule="exact"/>
        <w:rPr>
          <w:sz w:val="20"/>
          <w:szCs w:val="20"/>
          <w:color w:val="auto"/>
        </w:rPr>
      </w:pPr>
    </w:p>
    <w:p>
      <w:pPr>
        <w:ind w:right="20" w:firstLine="511"/>
        <w:spacing w:after="0" w:line="248" w:lineRule="auto"/>
        <w:rPr>
          <w:sz w:val="20"/>
          <w:szCs w:val="20"/>
          <w:color w:val="auto"/>
        </w:rPr>
      </w:pPr>
      <w:r>
        <w:rPr>
          <w:rFonts w:ascii="Arial" w:cs="Arial" w:eastAsia="Arial" w:hAnsi="Arial"/>
          <w:sz w:val="15"/>
          <w:szCs w:val="15"/>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spacing w:after="0" w:line="159" w:lineRule="exact"/>
        <w:rPr>
          <w:sz w:val="20"/>
          <w:szCs w:val="20"/>
          <w:color w:val="auto"/>
        </w:rPr>
      </w:pPr>
    </w:p>
    <w:p>
      <w:pPr>
        <w:jc w:val="both"/>
        <w:ind w:right="100" w:firstLine="511"/>
        <w:spacing w:after="0" w:line="252" w:lineRule="auto"/>
        <w:rPr>
          <w:sz w:val="20"/>
          <w:szCs w:val="20"/>
          <w:color w:val="auto"/>
        </w:rPr>
      </w:pPr>
      <w:r>
        <w:rPr>
          <w:rFonts w:ascii="Arial" w:cs="Arial" w:eastAsia="Arial" w:hAnsi="Arial"/>
          <w:sz w:val="15"/>
          <w:szCs w:val="15"/>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intangible assets and goodwill at time of acquisition and on a recurring basis, and (vi) valuation of investments.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44450</wp:posOffset>
            </wp:positionV>
            <wp:extent cx="7183755"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i w:val="1"/>
          <w:iCs w:val="1"/>
          <w:color w:val="auto"/>
        </w:rPr>
        <w:t>Trade Accounts Receivable and Allowance for Credit Losses</w:t>
      </w:r>
    </w:p>
    <w:p>
      <w:pPr>
        <w:spacing w:after="0" w:line="90" w:lineRule="exact"/>
        <w:rPr>
          <w:sz w:val="20"/>
          <w:szCs w:val="20"/>
          <w:color w:val="auto"/>
        </w:rPr>
      </w:pPr>
    </w:p>
    <w:p>
      <w:pPr>
        <w:ind w:right="60" w:firstLine="511"/>
        <w:spacing w:after="0" w:line="264" w:lineRule="auto"/>
        <w:rPr>
          <w:sz w:val="20"/>
          <w:szCs w:val="20"/>
          <w:color w:val="auto"/>
        </w:rPr>
      </w:pPr>
      <w:r>
        <w:rPr>
          <w:rFonts w:ascii="Arial" w:cs="Arial" w:eastAsia="Arial" w:hAnsi="Arial"/>
          <w:sz w:val="14"/>
          <w:szCs w:val="14"/>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loss rate model or probability-of-default and loss given default model. Following the loss rate method, expected credit losses are determined based on an estimated historical loss rate. The probability of default method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loss rate and factors annually to incorporate the most recent historical data and adjusts the quantitative portion of the reserve through its qualitative reserve overlay. The Company looks at qualitative factors such as general economic conditions in determining expected credit losses. During the three and nine months ended September 30, 2023, the Company recorded an adjustment of $(2.3) million and $(4.3) million, respectively, in provision for credit losses for trade accounts receivable due to decreased allowance for uncollectible accounts. During the three and nine months ended September 30, 2022, the Company recorded $6.5 million and $25.3 million, respectively, of provision for credit losses for trade accounts receivable.</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Redeemable Preferred Stock Investment</w:t>
      </w:r>
    </w:p>
    <w:p>
      <w:pPr>
        <w:spacing w:after="0" w:line="90" w:lineRule="exact"/>
        <w:rPr>
          <w:sz w:val="20"/>
          <w:szCs w:val="20"/>
          <w:color w:val="auto"/>
        </w:rPr>
      </w:pPr>
    </w:p>
    <w:p>
      <w:pPr>
        <w:ind w:firstLine="511"/>
        <w:spacing w:after="0" w:line="247" w:lineRule="auto"/>
        <w:rPr>
          <w:sz w:val="20"/>
          <w:szCs w:val="20"/>
          <w:color w:val="auto"/>
        </w:rPr>
      </w:pPr>
      <w:r>
        <w:rPr>
          <w:rFonts w:ascii="Arial" w:cs="Arial" w:eastAsia="Arial" w:hAnsi="Arial"/>
          <w:sz w:val="15"/>
          <w:szCs w:val="15"/>
          <w:color w:val="auto"/>
        </w:rPr>
        <w:t>The redeemable preferred stock investment of $15.2 million as of September 30, 2023 represents the fair value of redeemable preferred stock of a private company that the Company purchased in July 2021. The investment is classified as available-for-sale debt securities. The fair value of available-for-sale debt security is included in the Condensed Consolidated Statement of Balance Sheets. Unrealized gain of $2.3 million and $2.8 million is excluded from earnings and reported in other comprehensive income (loss) in the three and nine months ended September 30, 2023, respectively, and unrealized loss of $748,000 and $10.7 million were excluded from earnings and reported in other comprehensive income (loss) in the three and nine months ended September 30, 2022, respectively. Since the Company intends on holding the preferred stock, and the preferred stock is not redeemable until July 2027, the investment is recorded as a long-term investment.</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Currency Translation and Foreign Currency Transactions</w:t>
      </w:r>
    </w:p>
    <w:p>
      <w:pPr>
        <w:spacing w:after="0" w:line="90" w:lineRule="exact"/>
        <w:rPr>
          <w:sz w:val="20"/>
          <w:szCs w:val="20"/>
          <w:color w:val="auto"/>
        </w:rPr>
      </w:pPr>
    </w:p>
    <w:p>
      <w:pPr>
        <w:ind w:right="140" w:firstLine="511"/>
        <w:spacing w:after="0" w:line="320" w:lineRule="auto"/>
        <w:rPr>
          <w:sz w:val="20"/>
          <w:szCs w:val="20"/>
          <w:color w:val="auto"/>
        </w:rPr>
      </w:pPr>
      <w:r>
        <w:rPr>
          <w:rFonts w:ascii="Arial" w:cs="Arial" w:eastAsia="Arial" w:hAnsi="Arial"/>
          <w:sz w:val="12"/>
          <w:szCs w:val="12"/>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included in accumulated other comprehensive income (loss) in the accompanying Condensed Consolidated Statements of Stockholders’ Equity. The Company and its subsidiaries that use the U.S. dollar as their functional currency remeasure monetary assets and liabilities at exchange rates in effect at the end of each period, whereas reagents and supplies, property and nonmonetary assets and liabilities are measured at historical rates. Losses from these remeasurements were $230,000 and $2.0 million in the three and nine months ended September 30, 2023, respectively. Loss from these translations were $1.9 million and $3.7 million in the three and nine months ended September 30, 2022,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Comprehensive Income (Loss)</w:t>
      </w:r>
    </w:p>
    <w:p>
      <w:pPr>
        <w:spacing w:after="0" w:line="90" w:lineRule="exact"/>
        <w:rPr>
          <w:sz w:val="20"/>
          <w:szCs w:val="20"/>
          <w:color w:val="auto"/>
        </w:rPr>
      </w:pPr>
    </w:p>
    <w:p>
      <w:pPr>
        <w:ind w:firstLine="511"/>
        <w:spacing w:after="0" w:line="268" w:lineRule="auto"/>
        <w:rPr>
          <w:sz w:val="20"/>
          <w:szCs w:val="20"/>
          <w:color w:val="auto"/>
        </w:rPr>
      </w:pPr>
      <w:r>
        <w:rPr>
          <w:rFonts w:ascii="Arial" w:cs="Arial" w:eastAsia="Arial" w:hAnsi="Arial"/>
          <w:sz w:val="14"/>
          <w:szCs w:val="14"/>
          <w:color w:val="auto"/>
        </w:rPr>
        <w:t>Comprehensive income (loss) is comprised of net income (loss) and other comprehensive income (loss). Other comprehensive income (loss) consists of net unrealized gain or loss on available-for-sale debt securities, net of tax, and foreign currency translation adjustments from the Company's subsidiaries not using the U.S. dollar as their functional currency. There were no reclassifications from other comprehensive income (loss) to net loss in the three and nine months ended September 30, 2023, and reclassification from other comprehensive income (loss) to net earnings was not significant in the three and nine months ended September 30, 2022. The tax effects related to net unrealized loss on available-for-sale debt securities were $1.2 million and $2.4 million in the three and nine months ended September 30, 2023, respectively. The tax effects related to net unrealized loss on available-for-sale debt securities were $3.6 million and $9.4 million in the three and nine months ended September 30, 2022,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Concentration of Customers</w:t>
      </w:r>
    </w:p>
    <w:p>
      <w:pPr>
        <w:spacing w:after="0" w:line="90" w:lineRule="exact"/>
        <w:rPr>
          <w:sz w:val="20"/>
          <w:szCs w:val="20"/>
          <w:color w:val="auto"/>
        </w:rPr>
      </w:pPr>
    </w:p>
    <w:p>
      <w:pPr>
        <w:ind w:right="100" w:firstLine="511"/>
        <w:spacing w:after="0" w:line="252" w:lineRule="auto"/>
        <w:rPr>
          <w:sz w:val="20"/>
          <w:szCs w:val="20"/>
          <w:color w:val="auto"/>
        </w:rPr>
      </w:pPr>
      <w:r>
        <w:rPr>
          <w:rFonts w:ascii="Arial" w:cs="Arial" w:eastAsia="Arial" w:hAnsi="Arial"/>
          <w:sz w:val="15"/>
          <w:szCs w:val="15"/>
          <w:color w:val="auto"/>
        </w:rPr>
        <w:t>In certain periods, a small number of customers have accounted for a significant portion of the Company’s revenue. After aggregating customers that are under common control or affiliation, one customer contributed 14% and 11% of the Company's revenue for the three and nine months ended September 30, 2023, respectively. A different customer contributed 13% and 21% of the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44450</wp:posOffset>
            </wp:positionV>
            <wp:extent cx="7183755"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566" w:right="319" w:bottom="1440" w:gutter="0" w:footer="0" w:header="0"/>
        </w:sectPr>
      </w:pPr>
    </w:p>
    <w:bookmarkStart w:id="10" w:name="page11"/>
    <w:bookmarkEnd w:id="10"/>
    <w:p>
      <w:pPr>
        <w:ind w:right="80"/>
        <w:spacing w:after="0" w:line="262" w:lineRule="auto"/>
        <w:rPr>
          <w:sz w:val="20"/>
          <w:szCs w:val="20"/>
          <w:color w:val="auto"/>
        </w:rPr>
      </w:pPr>
      <w:r>
        <w:rPr>
          <w:rFonts w:ascii="Arial" w:cs="Arial" w:eastAsia="Arial" w:hAnsi="Arial"/>
          <w:sz w:val="15"/>
          <w:szCs w:val="15"/>
          <w:color w:val="auto"/>
        </w:rPr>
        <w:t>Company's revenue for the three and nine months ended September 30, 2022, respectively. No customer comprised 10% or more of total accounts receivable as of September 30, 2023, and one customer comprised 17% of total accounts receivable as of December 31, 2022.</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Disaggregation of Revenue</w:t>
      </w:r>
    </w:p>
    <w:p>
      <w:pPr>
        <w:spacing w:after="0" w:line="90" w:lineRule="exact"/>
        <w:rPr>
          <w:sz w:val="20"/>
          <w:szCs w:val="20"/>
          <w:color w:val="auto"/>
        </w:rPr>
      </w:pPr>
    </w:p>
    <w:p>
      <w:pPr>
        <w:ind w:right="100" w:firstLine="511"/>
        <w:spacing w:after="0" w:line="332" w:lineRule="auto"/>
        <w:rPr>
          <w:sz w:val="20"/>
          <w:szCs w:val="20"/>
          <w:color w:val="auto"/>
        </w:rPr>
      </w:pPr>
      <w:r>
        <w:rPr>
          <w:rFonts w:ascii="Arial" w:cs="Arial" w:eastAsia="Arial" w:hAnsi="Arial"/>
          <w:sz w:val="12"/>
          <w:szCs w:val="12"/>
          <w:color w:val="auto"/>
        </w:rPr>
        <w:t>The Company classifies its customers into three payor types: (i) Insurance, including claim reimbursement from the U.S. Health Resources and Services Administration, or HRSA, for uninsured individuals, (ii) Institutional customers, including hospitals, medical institutions, other laboratories, governmental bodies, municipalities, and large corporations, or (iii) Patients who pay directly; as the Company believes these classifications best depict how the nature, amount, timing, and uncertainty of its revenue and cash flows are affected by economic factors. The following table summarizes revenue from contracts with customers by payor type for the three and nine months ended September 30, 2023 and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24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2"/>
                <w:szCs w:val="12"/>
                <w:b w:val="1"/>
                <w:bCs w:val="1"/>
                <w:color w:val="auto"/>
              </w:rPr>
              <w:t>Three Months Ended September 30,</w:t>
            </w:r>
          </w:p>
        </w:tc>
        <w:tc>
          <w:tcPr>
            <w:tcW w:w="5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2"/>
                <w:szCs w:val="12"/>
                <w:b w:val="1"/>
                <w:bCs w:val="1"/>
                <w:color w:val="auto"/>
              </w:rPr>
              <w:t>Nine Months Ended September 30,</w:t>
            </w:r>
          </w:p>
        </w:tc>
        <w:tc>
          <w:tcPr>
            <w:tcW w:w="100" w:type="dxa"/>
            <w:vAlign w:val="bottom"/>
          </w:tcPr>
          <w:p>
            <w:pPr>
              <w:spacing w:after="0"/>
              <w:rPr>
                <w:sz w:val="12"/>
                <w:szCs w:val="12"/>
                <w:color w:val="auto"/>
              </w:rPr>
            </w:pPr>
          </w:p>
        </w:tc>
      </w:tr>
      <w:tr>
        <w:trPr>
          <w:trHeight w:val="199"/>
        </w:trPr>
        <w:tc>
          <w:tcPr>
            <w:tcW w:w="4780" w:type="dxa"/>
            <w:vAlign w:val="bottom"/>
          </w:tcPr>
          <w:p>
            <w:pPr>
              <w:spacing w:after="0"/>
              <w:rPr>
                <w:sz w:val="17"/>
                <w:szCs w:val="17"/>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2023</w:t>
            </w:r>
          </w:p>
        </w:tc>
        <w:tc>
          <w:tcPr>
            <w:tcW w:w="4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0"/>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7"/>
                <w:szCs w:val="17"/>
                <w:color w:val="auto"/>
              </w:rPr>
            </w:pPr>
          </w:p>
        </w:tc>
      </w:tr>
      <w:tr>
        <w:trPr>
          <w:trHeight w:val="141"/>
        </w:trPr>
        <w:tc>
          <w:tcPr>
            <w:tcW w:w="4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(in</w:t>
            </w:r>
          </w:p>
        </w:tc>
        <w:tc>
          <w:tcPr>
            <w:tcW w:w="70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w w:val="80"/>
              </w:rPr>
              <w:t>thousands)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47"/>
        </w:trPr>
        <w:tc>
          <w:tcPr>
            <w:tcW w:w="4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97"/>
        </w:trPr>
        <w:tc>
          <w:tcPr>
            <w:tcW w:w="478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Testing Services by payor</w:t>
            </w: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1"/>
        </w:trPr>
        <w:tc>
          <w:tcPr>
            <w:tcW w:w="4780" w:type="dxa"/>
            <w:vAlign w:val="bottom"/>
          </w:tcPr>
          <w:p>
            <w:pPr>
              <w:ind w:left="160"/>
              <w:spacing w:after="0"/>
              <w:rPr>
                <w:sz w:val="20"/>
                <w:szCs w:val="20"/>
                <w:color w:val="auto"/>
              </w:rPr>
            </w:pPr>
            <w:r>
              <w:rPr>
                <w:rFonts w:ascii="Arial" w:cs="Arial" w:eastAsia="Arial" w:hAnsi="Arial"/>
                <w:sz w:val="15"/>
                <w:szCs w:val="15"/>
                <w:color w:val="auto"/>
              </w:rPr>
              <w:t>Insurance</w:t>
            </w:r>
          </w:p>
        </w:tc>
        <w:tc>
          <w:tcPr>
            <w:tcW w:w="880" w:type="dxa"/>
            <w:vAlign w:val="bottom"/>
          </w:tcPr>
          <w:p>
            <w:pPr>
              <w:jc w:val="right"/>
              <w:ind w:right="734"/>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48,619</w:t>
            </w:r>
          </w:p>
        </w:tc>
        <w:tc>
          <w:tcPr>
            <w:tcW w:w="1120" w:type="dxa"/>
            <w:vAlign w:val="bottom"/>
            <w:gridSpan w:val="2"/>
          </w:tcPr>
          <w:p>
            <w:pPr>
              <w:jc w:val="right"/>
              <w:ind w:right="694"/>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63,030</w:t>
            </w:r>
          </w:p>
        </w:tc>
        <w:tc>
          <w:tcPr>
            <w:tcW w:w="700" w:type="dxa"/>
            <w:vAlign w:val="bottom"/>
            <w:gridSpan w:val="2"/>
          </w:tcPr>
          <w:p>
            <w:pPr>
              <w:jc w:val="right"/>
              <w:ind w:right="227"/>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116,231</w:t>
            </w:r>
          </w:p>
        </w:tc>
        <w:tc>
          <w:tcPr>
            <w:tcW w:w="600" w:type="dxa"/>
            <w:vAlign w:val="bottom"/>
            <w:gridSpan w:val="2"/>
          </w:tcPr>
          <w:p>
            <w:pPr>
              <w:jc w:val="right"/>
              <w:ind w:right="207"/>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337,497</w:t>
            </w:r>
          </w:p>
        </w:tc>
        <w:tc>
          <w:tcPr>
            <w:tcW w:w="100" w:type="dxa"/>
            <w:vAlign w:val="bottom"/>
          </w:tcPr>
          <w:p>
            <w:pPr>
              <w:spacing w:after="0"/>
              <w:rPr>
                <w:sz w:val="16"/>
                <w:szCs w:val="16"/>
                <w:color w:val="auto"/>
              </w:rPr>
            </w:pPr>
          </w:p>
        </w:tc>
      </w:tr>
      <w:tr>
        <w:trPr>
          <w:trHeight w:val="202"/>
        </w:trPr>
        <w:tc>
          <w:tcPr>
            <w:tcW w:w="4780" w:type="dxa"/>
            <w:vAlign w:val="bottom"/>
            <w:shd w:val="clear" w:color="auto" w:fill="CFF0FC"/>
          </w:tcPr>
          <w:p>
            <w:pPr>
              <w:ind w:left="160"/>
              <w:spacing w:after="0"/>
              <w:rPr>
                <w:sz w:val="20"/>
                <w:szCs w:val="20"/>
                <w:color w:val="auto"/>
              </w:rPr>
            </w:pPr>
            <w:r>
              <w:rPr>
                <w:rFonts w:ascii="Arial" w:cs="Arial" w:eastAsia="Arial" w:hAnsi="Arial"/>
                <w:sz w:val="15"/>
                <w:szCs w:val="15"/>
                <w:color w:val="auto"/>
              </w:rPr>
              <w:t>Institutional customers</w:t>
            </w: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35,164</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42,280</w:t>
            </w: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100,238</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212,980</w:t>
            </w:r>
          </w:p>
        </w:tc>
        <w:tc>
          <w:tcPr>
            <w:tcW w:w="100" w:type="dxa"/>
            <w:vAlign w:val="bottom"/>
            <w:shd w:val="clear" w:color="auto" w:fill="CFF0FC"/>
          </w:tcPr>
          <w:p>
            <w:pPr>
              <w:spacing w:after="0"/>
              <w:rPr>
                <w:sz w:val="17"/>
                <w:szCs w:val="17"/>
                <w:color w:val="auto"/>
              </w:rPr>
            </w:pPr>
          </w:p>
        </w:tc>
      </w:tr>
      <w:tr>
        <w:trPr>
          <w:trHeight w:val="197"/>
        </w:trPr>
        <w:tc>
          <w:tcPr>
            <w:tcW w:w="4780" w:type="dxa"/>
            <w:vAlign w:val="bottom"/>
          </w:tcPr>
          <w:p>
            <w:pPr>
              <w:ind w:left="160"/>
              <w:spacing w:after="0"/>
              <w:rPr>
                <w:sz w:val="20"/>
                <w:szCs w:val="20"/>
                <w:color w:val="auto"/>
              </w:rPr>
            </w:pPr>
            <w:r>
              <w:rPr>
                <w:rFonts w:ascii="Arial" w:cs="Arial" w:eastAsia="Arial" w:hAnsi="Arial"/>
                <w:sz w:val="15"/>
                <w:szCs w:val="15"/>
                <w:color w:val="auto"/>
              </w:rPr>
              <w:t>Patients</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904</w:t>
            </w:r>
          </w:p>
        </w:tc>
        <w:tc>
          <w:tcPr>
            <w:tcW w:w="2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345</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2,239</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787</w:t>
            </w:r>
          </w:p>
        </w:tc>
        <w:tc>
          <w:tcPr>
            <w:tcW w:w="100" w:type="dxa"/>
            <w:vAlign w:val="bottom"/>
          </w:tcPr>
          <w:p>
            <w:pPr>
              <w:spacing w:after="0"/>
              <w:rPr>
                <w:sz w:val="17"/>
                <w:szCs w:val="17"/>
                <w:color w:val="auto"/>
              </w:rPr>
            </w:pPr>
          </w:p>
        </w:tc>
      </w:tr>
      <w:tr>
        <w:trPr>
          <w:trHeight w:val="228"/>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b w:val="1"/>
                <w:bCs w:val="1"/>
                <w:color w:val="auto"/>
              </w:rPr>
              <w:t>Total Revenue</w:t>
            </w:r>
          </w:p>
        </w:tc>
        <w:tc>
          <w:tcPr>
            <w:tcW w:w="880" w:type="dxa"/>
            <w:vAlign w:val="bottom"/>
            <w:tcBorders>
              <w:bottom w:val="single" w:sz="8" w:color="auto"/>
            </w:tcBorders>
            <w:shd w:val="clear" w:color="auto" w:fill="CFF0FC"/>
          </w:tcPr>
          <w:p>
            <w:pPr>
              <w:jc w:val="right"/>
              <w:ind w:right="734"/>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84,687</w:t>
            </w:r>
          </w:p>
        </w:tc>
        <w:tc>
          <w:tcPr>
            <w:tcW w:w="2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9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2"/>
              </w:rPr>
              <w:t>105,655</w:t>
            </w:r>
          </w:p>
        </w:tc>
        <w:tc>
          <w:tcPr>
            <w:tcW w:w="3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218,708</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551,264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3900170</wp:posOffset>
            </wp:positionH>
            <wp:positionV relativeFrom="paragraph">
              <wp:posOffset>-20320</wp:posOffset>
            </wp:positionV>
            <wp:extent cx="7620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3900170</wp:posOffset>
            </wp:positionH>
            <wp:positionV relativeFrom="paragraph">
              <wp:posOffset>-6350</wp:posOffset>
            </wp:positionV>
            <wp:extent cx="7620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4941570</wp:posOffset>
            </wp:positionH>
            <wp:positionV relativeFrom="paragraph">
              <wp:posOffset>-20320</wp:posOffset>
            </wp:positionV>
            <wp:extent cx="6921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4941570</wp:posOffset>
            </wp:positionH>
            <wp:positionV relativeFrom="paragraph">
              <wp:posOffset>-6350</wp:posOffset>
            </wp:positionV>
            <wp:extent cx="6921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-20320</wp:posOffset>
            </wp:positionV>
            <wp:extent cx="6921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-6350</wp:posOffset>
            </wp:positionV>
            <wp:extent cx="6921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-20320</wp:posOffset>
            </wp:positionV>
            <wp:extent cx="6921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-6350</wp:posOffset>
            </wp:positionV>
            <wp:extent cx="6921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215" cy="6985"/>
                    </a:xfrm>
                    <a:prstGeom prst="rect">
                      <a:avLst/>
                    </a:prstGeom>
                    <a:noFill/>
                  </pic:spPr>
                </pic:pic>
              </a:graphicData>
            </a:graphic>
          </wp:anchor>
        </w:drawing>
      </w:r>
    </w:p>
    <w:p>
      <w:pPr>
        <w:spacing w:after="0" w:line="144" w:lineRule="exact"/>
        <w:rPr>
          <w:sz w:val="20"/>
          <w:szCs w:val="20"/>
          <w:color w:val="auto"/>
        </w:rPr>
      </w:pPr>
    </w:p>
    <w:p>
      <w:pPr>
        <w:ind w:right="100" w:firstLine="511"/>
        <w:spacing w:after="0" w:line="252" w:lineRule="auto"/>
        <w:rPr>
          <w:sz w:val="20"/>
          <w:szCs w:val="20"/>
          <w:color w:val="auto"/>
        </w:rPr>
      </w:pPr>
      <w:r>
        <w:rPr>
          <w:rFonts w:ascii="Arial" w:cs="Arial" w:eastAsia="Arial" w:hAnsi="Arial"/>
          <w:sz w:val="15"/>
          <w:szCs w:val="15"/>
          <w:color w:val="auto"/>
        </w:rPr>
        <w:t>The insurance revenue category above includes zero and $92.7 million for the three and nine months ended September 30, 2022, respectively, for services related to claims covered by the HRSA COVID-19 Uninsured Program. The Company did not recognize any insurance revenue under HRSA COVID-19 Uninsurance Program for the three and nine months ended September 30, 2023.</w:t>
      </w:r>
    </w:p>
    <w:p>
      <w:pPr>
        <w:spacing w:after="0" w:line="156" w:lineRule="exact"/>
        <w:rPr>
          <w:sz w:val="20"/>
          <w:szCs w:val="20"/>
          <w:color w:val="auto"/>
        </w:rPr>
      </w:pPr>
    </w:p>
    <w:p>
      <w:pPr>
        <w:ind w:right="280" w:firstLine="511"/>
        <w:spacing w:after="0" w:line="273" w:lineRule="auto"/>
        <w:rPr>
          <w:sz w:val="20"/>
          <w:szCs w:val="20"/>
          <w:color w:val="auto"/>
        </w:rPr>
      </w:pPr>
      <w:r>
        <w:rPr>
          <w:rFonts w:ascii="Arial" w:cs="Arial" w:eastAsia="Arial" w:hAnsi="Arial"/>
          <w:sz w:val="14"/>
          <w:szCs w:val="14"/>
          <w:color w:val="auto"/>
        </w:rPr>
        <w:t>$18.9 million variable consideration was recognized in the three months ended September 30, 2023 that related to COVID-19 tests completed in the prior periods due to the recent collection efforts, which was included as revenue from insurance in the table above. During the quarter ended September 30, 2023, the Company experienced a change in estimate related to variable consideration. This change resulted in a cumulative catch-up adjustment of $18.9 million. The Company estimates variable consideration using the expected value method. Any changes in variable consideration estimates that affect transactions are accounted for on a cumulative catch-up basis.</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Contract Balances</w:t>
      </w:r>
    </w:p>
    <w:p>
      <w:pPr>
        <w:spacing w:after="0" w:line="90" w:lineRule="exact"/>
        <w:rPr>
          <w:sz w:val="20"/>
          <w:szCs w:val="20"/>
          <w:color w:val="auto"/>
        </w:rPr>
      </w:pPr>
    </w:p>
    <w:p>
      <w:pPr>
        <w:ind w:right="120" w:firstLine="511"/>
        <w:spacing w:after="0" w:line="252" w:lineRule="auto"/>
        <w:rPr>
          <w:sz w:val="20"/>
          <w:szCs w:val="20"/>
          <w:color w:val="auto"/>
        </w:rPr>
      </w:pPr>
      <w:r>
        <w:rPr>
          <w:rFonts w:ascii="Arial" w:cs="Arial" w:eastAsia="Arial" w:hAnsi="Arial"/>
          <w:sz w:val="15"/>
          <w:szCs w:val="15"/>
          <w:i w:val="1"/>
          <w:iCs w:val="1"/>
          <w:color w:val="auto"/>
        </w:rPr>
        <w:t xml:space="preserve">Receivables from contracts with customers - </w:t>
      </w:r>
      <w:r>
        <w:rPr>
          <w:rFonts w:ascii="Arial" w:cs="Arial" w:eastAsia="Arial" w:hAnsi="Arial"/>
          <w:sz w:val="15"/>
          <w:szCs w:val="15"/>
          <w:color w:val="auto"/>
        </w:rPr>
        <w:t>Receivables from contracts with customers are included within trade accounts receivable on the Condensed Consolidated Balance Sheets.</w:t>
      </w:r>
      <w:r>
        <w:rPr>
          <w:rFonts w:ascii="Arial" w:cs="Arial" w:eastAsia="Arial" w:hAnsi="Arial"/>
          <w:sz w:val="15"/>
          <w:szCs w:val="15"/>
          <w:i w:val="1"/>
          <w:iCs w:val="1"/>
          <w:color w:val="auto"/>
        </w:rPr>
        <w:t xml:space="preserve"> </w:t>
      </w:r>
      <w:r>
        <w:rPr>
          <w:rFonts w:ascii="Arial" w:cs="Arial" w:eastAsia="Arial" w:hAnsi="Arial"/>
          <w:sz w:val="15"/>
          <w:szCs w:val="15"/>
          <w:color w:val="auto"/>
        </w:rPr>
        <w:t>Net receivable from Insurance and Institutional customers represented 41% and 59%, respectively, as of September 30, 2023. Net receivable from Insurance and Institutional customers represented 14% and 86%, respectively, as of December 31, 2022.</w:t>
      </w:r>
    </w:p>
    <w:p>
      <w:pPr>
        <w:spacing w:after="0" w:line="156" w:lineRule="exact"/>
        <w:rPr>
          <w:sz w:val="20"/>
          <w:szCs w:val="20"/>
          <w:color w:val="auto"/>
        </w:rPr>
      </w:pPr>
    </w:p>
    <w:p>
      <w:pPr>
        <w:ind w:right="160" w:firstLine="511"/>
        <w:spacing w:after="0" w:line="325" w:lineRule="auto"/>
        <w:rPr>
          <w:sz w:val="20"/>
          <w:szCs w:val="20"/>
          <w:color w:val="auto"/>
        </w:rPr>
      </w:pPr>
      <w:r>
        <w:rPr>
          <w:rFonts w:ascii="Arial" w:cs="Arial" w:eastAsia="Arial" w:hAnsi="Arial"/>
          <w:sz w:val="12"/>
          <w:szCs w:val="12"/>
          <w:i w:val="1"/>
          <w:iCs w:val="1"/>
          <w:color w:val="auto"/>
        </w:rPr>
        <w:t xml:space="preserve">Contracts assets and liabilities </w:t>
      </w:r>
      <w:r>
        <w:rPr>
          <w:rFonts w:ascii="Arial" w:cs="Arial" w:eastAsia="Arial" w:hAnsi="Arial"/>
          <w:sz w:val="12"/>
          <w:szCs w:val="12"/>
          <w:color w:val="auto"/>
        </w:rPr>
        <w:t>- Contract assets from contracts with customers associated with contract execution and certain costs to fulfill a contract are included in other current</w:t>
      </w:r>
      <w:r>
        <w:rPr>
          <w:rFonts w:ascii="Arial" w:cs="Arial" w:eastAsia="Arial" w:hAnsi="Arial"/>
          <w:sz w:val="12"/>
          <w:szCs w:val="12"/>
          <w:i w:val="1"/>
          <w:iCs w:val="1"/>
          <w:color w:val="auto"/>
        </w:rPr>
        <w:t xml:space="preserve"> </w:t>
      </w:r>
      <w:r>
        <w:rPr>
          <w:rFonts w:ascii="Arial" w:cs="Arial" w:eastAsia="Arial" w:hAnsi="Arial"/>
          <w:sz w:val="12"/>
          <w:szCs w:val="12"/>
          <w:color w:val="auto"/>
        </w:rPr>
        <w:t>assets in the accompanying Condensed Consolidated Balance Sheets. The Company did not have any contract assets as of September 30, 2023 and December 31, 2022. Contract liabilities are recorded when the Company receives payment prior to completing its obligation to transfer goods or services to a customer. Contract liabilities are included in the Condensed Consolidated Balance Sheets. Revenues of $731,000 and $8.5 million were recognized for the three months ended September 30, 2023 and 2022, respectively, and $2.2 million and $14.4 million were recognized for the nine months ended September 30, 2023 and 2022, respectively, related to contract liabilities at the beginning of the respective periods.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Customer Deposit</w:t>
      </w:r>
    </w:p>
    <w:p>
      <w:pPr>
        <w:spacing w:after="0" w:line="90" w:lineRule="exact"/>
        <w:rPr>
          <w:sz w:val="20"/>
          <w:szCs w:val="20"/>
          <w:color w:val="auto"/>
        </w:rPr>
      </w:pPr>
    </w:p>
    <w:p>
      <w:pPr>
        <w:ind w:right="100" w:firstLine="511"/>
        <w:spacing w:after="0" w:line="262" w:lineRule="auto"/>
        <w:rPr>
          <w:sz w:val="20"/>
          <w:szCs w:val="20"/>
          <w:color w:val="auto"/>
        </w:rPr>
      </w:pPr>
      <w:r>
        <w:rPr>
          <w:rFonts w:ascii="Arial" w:cs="Arial" w:eastAsia="Arial" w:hAnsi="Arial"/>
          <w:sz w:val="15"/>
          <w:szCs w:val="15"/>
          <w:color w:val="auto"/>
        </w:rPr>
        <w:t>Customer deposit in the accompanying Condensed Consolidated Balance Sheets consists of payments received from customers in excess of their outstanding trade accounts receivable balances. These deposits will be offset against future testing receivables or refunded to the customers.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44450</wp:posOffset>
            </wp:positionV>
            <wp:extent cx="7183755"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91" w:right="319" w:bottom="1440" w:gutter="0" w:footer="0" w:header="0"/>
        </w:sectPr>
      </w:pPr>
    </w:p>
    <w:bookmarkStart w:id="11" w:name="page12"/>
    <w:bookmarkEnd w:id="11"/>
    <w:p>
      <w:pPr>
        <w:ind w:right="100" w:firstLine="511"/>
        <w:spacing w:after="0" w:line="252" w:lineRule="auto"/>
        <w:rPr>
          <w:sz w:val="20"/>
          <w:szCs w:val="20"/>
          <w:color w:val="auto"/>
        </w:rPr>
      </w:pPr>
      <w:r>
        <w:rPr>
          <w:rFonts w:ascii="Arial" w:cs="Arial" w:eastAsia="Arial" w:hAnsi="Arial"/>
          <w:sz w:val="15"/>
          <w:szCs w:val="15"/>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Equity and Debt Securities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Company’s equity and debt securities consisted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 2023</w:t>
            </w:r>
          </w:p>
        </w:tc>
        <w:tc>
          <w:tcPr>
            <w:tcW w:w="10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05"/>
        </w:trPr>
        <w:tc>
          <w:tcPr>
            <w:tcW w:w="4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gridSpan w:val="2"/>
          </w:tcPr>
          <w:p>
            <w:pPr>
              <w:jc w:val="right"/>
              <w:ind w:right="720"/>
              <w:spacing w:after="0" w:line="105" w:lineRule="exact"/>
              <w:rPr>
                <w:sz w:val="20"/>
                <w:szCs w:val="20"/>
                <w:color w:val="auto"/>
              </w:rPr>
            </w:pPr>
            <w:r>
              <w:rPr>
                <w:rFonts w:ascii="Arial" w:cs="Arial" w:eastAsia="Arial" w:hAnsi="Arial"/>
                <w:sz w:val="12"/>
                <w:szCs w:val="12"/>
                <w:b w:val="1"/>
                <w:bCs w:val="1"/>
                <w:color w:val="auto"/>
              </w:rPr>
              <w:t>Amortized</w:t>
            </w:r>
          </w:p>
        </w:tc>
        <w:tc>
          <w:tcPr>
            <w:tcW w:w="240" w:type="dxa"/>
            <w:vAlign w:val="bottom"/>
          </w:tcPr>
          <w:p>
            <w:pPr>
              <w:spacing w:after="0"/>
              <w:rPr>
                <w:sz w:val="9"/>
                <w:szCs w:val="9"/>
                <w:color w:val="auto"/>
              </w:rPr>
            </w:pPr>
          </w:p>
        </w:tc>
        <w:tc>
          <w:tcPr>
            <w:tcW w:w="1140" w:type="dxa"/>
            <w:vAlign w:val="bottom"/>
          </w:tcPr>
          <w:p>
            <w:pPr>
              <w:jc w:val="right"/>
              <w:ind w:right="349"/>
              <w:spacing w:after="0" w:line="105" w:lineRule="exact"/>
              <w:rPr>
                <w:sz w:val="20"/>
                <w:szCs w:val="20"/>
                <w:color w:val="auto"/>
              </w:rPr>
            </w:pPr>
            <w:r>
              <w:rPr>
                <w:rFonts w:ascii="Arial" w:cs="Arial" w:eastAsia="Arial" w:hAnsi="Arial"/>
                <w:sz w:val="12"/>
                <w:szCs w:val="12"/>
                <w:b w:val="1"/>
                <w:bCs w:val="1"/>
                <w:color w:val="auto"/>
              </w:rPr>
              <w:t>Unrealized</w:t>
            </w: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gridSpan w:val="2"/>
          </w:tcPr>
          <w:p>
            <w:pPr>
              <w:jc w:val="right"/>
              <w:ind w:right="680"/>
              <w:spacing w:after="0" w:line="105" w:lineRule="exact"/>
              <w:rPr>
                <w:sz w:val="20"/>
                <w:szCs w:val="20"/>
                <w:color w:val="auto"/>
              </w:rPr>
            </w:pPr>
            <w:r>
              <w:rPr>
                <w:rFonts w:ascii="Arial" w:cs="Arial" w:eastAsia="Arial" w:hAnsi="Arial"/>
                <w:sz w:val="12"/>
                <w:szCs w:val="12"/>
                <w:b w:val="1"/>
                <w:bCs w:val="1"/>
                <w:color w:val="auto"/>
                <w:w w:val="92"/>
              </w:rPr>
              <w:t>Unrealized</w:t>
            </w:r>
          </w:p>
        </w:tc>
        <w:tc>
          <w:tcPr>
            <w:tcW w:w="260" w:type="dxa"/>
            <w:vAlign w:val="bottom"/>
          </w:tcPr>
          <w:p>
            <w:pPr>
              <w:spacing w:after="0"/>
              <w:rPr>
                <w:sz w:val="9"/>
                <w:szCs w:val="9"/>
                <w:color w:val="auto"/>
              </w:rPr>
            </w:pPr>
          </w:p>
        </w:tc>
        <w:tc>
          <w:tcPr>
            <w:tcW w:w="1120" w:type="dxa"/>
            <w:vAlign w:val="bottom"/>
          </w:tcPr>
          <w:p>
            <w:pPr>
              <w:jc w:val="right"/>
              <w:ind w:right="368"/>
              <w:spacing w:after="0" w:line="105" w:lineRule="exact"/>
              <w:rPr>
                <w:sz w:val="20"/>
                <w:szCs w:val="20"/>
                <w:color w:val="auto"/>
              </w:rPr>
            </w:pPr>
            <w:r>
              <w:rPr>
                <w:rFonts w:ascii="Arial" w:cs="Arial" w:eastAsia="Arial" w:hAnsi="Arial"/>
                <w:sz w:val="12"/>
                <w:szCs w:val="12"/>
                <w:b w:val="1"/>
                <w:bCs w:val="1"/>
                <w:color w:val="auto"/>
              </w:rPr>
              <w:t>Aggregate</w:t>
            </w:r>
          </w:p>
        </w:tc>
        <w:tc>
          <w:tcPr>
            <w:tcW w:w="100" w:type="dxa"/>
            <w:vAlign w:val="bottom"/>
          </w:tcPr>
          <w:p>
            <w:pPr>
              <w:spacing w:after="0"/>
              <w:rPr>
                <w:sz w:val="9"/>
                <w:szCs w:val="9"/>
                <w:color w:val="auto"/>
              </w:rPr>
            </w:pPr>
          </w:p>
        </w:tc>
      </w:tr>
      <w:tr>
        <w:trPr>
          <w:trHeight w:val="149"/>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Cost Basis</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69"/>
              <w:spacing w:after="0"/>
              <w:rPr>
                <w:sz w:val="20"/>
                <w:szCs w:val="20"/>
                <w:color w:val="auto"/>
              </w:rPr>
            </w:pPr>
            <w:r>
              <w:rPr>
                <w:rFonts w:ascii="Arial" w:cs="Arial" w:eastAsia="Arial" w:hAnsi="Arial"/>
                <w:sz w:val="12"/>
                <w:szCs w:val="12"/>
                <w:b w:val="1"/>
                <w:bCs w:val="1"/>
                <w:color w:val="auto"/>
              </w:rPr>
              <w:t>Gains</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Losses</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2"/>
                <w:szCs w:val="12"/>
                <w:color w:val="auto"/>
              </w:rPr>
            </w:pPr>
          </w:p>
        </w:tc>
      </w:tr>
      <w:tr>
        <w:trPr>
          <w:trHeight w:val="133"/>
        </w:trPr>
        <w:tc>
          <w:tcPr>
            <w:tcW w:w="4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right"/>
              <w:ind w:right="49"/>
              <w:spacing w:after="0" w:line="133" w:lineRule="exact"/>
              <w:rPr>
                <w:sz w:val="20"/>
                <w:szCs w:val="20"/>
                <w:color w:val="auto"/>
              </w:rPr>
            </w:pPr>
            <w:r>
              <w:rPr>
                <w:rFonts w:ascii="Arial" w:cs="Arial" w:eastAsia="Arial" w:hAnsi="Arial"/>
                <w:sz w:val="12"/>
                <w:szCs w:val="12"/>
                <w:b w:val="1"/>
                <w:bCs w:val="1"/>
                <w:color w:val="auto"/>
              </w:rPr>
              <w:t>(in</w:t>
            </w:r>
          </w:p>
        </w:tc>
        <w:tc>
          <w:tcPr>
            <w:tcW w:w="640" w:type="dxa"/>
            <w:vAlign w:val="bottom"/>
            <w:gridSpan w:val="2"/>
          </w:tcPr>
          <w:p>
            <w:pPr>
              <w:jc w:val="right"/>
              <w:ind w:right="107"/>
              <w:spacing w:after="0"/>
              <w:rPr>
                <w:sz w:val="20"/>
                <w:szCs w:val="20"/>
                <w:color w:val="auto"/>
              </w:rPr>
            </w:pPr>
            <w:r>
              <w:rPr>
                <w:rFonts w:ascii="Arial" w:cs="Arial" w:eastAsia="Arial" w:hAnsi="Arial"/>
                <w:sz w:val="10"/>
                <w:szCs w:val="10"/>
                <w:b w:val="1"/>
                <w:bCs w:val="1"/>
                <w:color w:val="auto"/>
                <w:w w:val="81"/>
              </w:rPr>
              <w:t>thousands)</w:t>
            </w: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7"/>
        </w:trPr>
        <w:tc>
          <w:tcPr>
            <w:tcW w:w="48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Equity securities: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160"/>
              <w:spacing w:after="0"/>
              <w:rPr>
                <w:sz w:val="20"/>
                <w:szCs w:val="20"/>
                <w:color w:val="auto"/>
              </w:rPr>
            </w:pPr>
            <w:r>
              <w:rPr>
                <w:rFonts w:ascii="Arial" w:cs="Arial" w:eastAsia="Arial" w:hAnsi="Arial"/>
                <w:sz w:val="15"/>
                <w:szCs w:val="15"/>
                <w:color w:val="auto"/>
              </w:rPr>
              <w:t>Long-term</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48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5"/>
                <w:szCs w:val="15"/>
                <w:color w:val="auto"/>
              </w:rPr>
              <w:t>Preferred stock of privately held company</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15,000</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8"/>
        </w:trPr>
        <w:tc>
          <w:tcPr>
            <w:tcW w:w="4840" w:type="dxa"/>
            <w:vAlign w:val="bottom"/>
          </w:tcPr>
          <w:p>
            <w:pPr>
              <w:ind w:left="460"/>
              <w:spacing w:after="0"/>
              <w:rPr>
                <w:sz w:val="20"/>
                <w:szCs w:val="20"/>
                <w:color w:val="auto"/>
              </w:rPr>
            </w:pPr>
            <w:r>
              <w:rPr>
                <w:rFonts w:ascii="Arial" w:cs="Arial" w:eastAsia="Arial" w:hAnsi="Arial"/>
                <w:sz w:val="15"/>
                <w:szCs w:val="15"/>
                <w:color w:val="auto"/>
              </w:rPr>
              <w:t>Total equity securities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15,000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r>
      <w:tr>
        <w:trPr>
          <w:trHeight w:val="188"/>
        </w:trPr>
        <w:tc>
          <w:tcPr>
            <w:tcW w:w="48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Available-for-sale debt securities</w:t>
            </w:r>
          </w:p>
        </w:tc>
        <w:tc>
          <w:tcPr>
            <w:tcW w:w="2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1"/>
        </w:trPr>
        <w:tc>
          <w:tcPr>
            <w:tcW w:w="4840" w:type="dxa"/>
            <w:vAlign w:val="bottom"/>
          </w:tcPr>
          <w:p>
            <w:pPr>
              <w:ind w:left="160"/>
              <w:spacing w:after="0"/>
              <w:rPr>
                <w:sz w:val="20"/>
                <w:szCs w:val="20"/>
                <w:color w:val="auto"/>
              </w:rPr>
            </w:pPr>
            <w:r>
              <w:rPr>
                <w:rFonts w:ascii="Arial" w:cs="Arial" w:eastAsia="Arial" w:hAnsi="Arial"/>
                <w:sz w:val="15"/>
                <w:szCs w:val="15"/>
                <w:color w:val="auto"/>
              </w:rPr>
              <w:t>Short-term</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U.S. government debt securities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165,357</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(3,162 )</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162,195</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300"/>
              <w:spacing w:after="0"/>
              <w:rPr>
                <w:sz w:val="20"/>
                <w:szCs w:val="20"/>
                <w:color w:val="auto"/>
              </w:rPr>
            </w:pPr>
            <w:r>
              <w:rPr>
                <w:rFonts w:ascii="Arial" w:cs="Arial" w:eastAsia="Arial" w:hAnsi="Arial"/>
                <w:sz w:val="15"/>
                <w:szCs w:val="15"/>
                <w:color w:val="auto"/>
              </w:rPr>
              <w:t>Corporate debt securities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85,674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(1,701 )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83,973</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U.S. agency debt securities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71,498</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(742 )</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70,756</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300"/>
              <w:spacing w:after="0"/>
              <w:rPr>
                <w:sz w:val="20"/>
                <w:szCs w:val="20"/>
                <w:color w:val="auto"/>
              </w:rPr>
            </w:pPr>
            <w:r>
              <w:rPr>
                <w:rFonts w:ascii="Arial" w:cs="Arial" w:eastAsia="Arial" w:hAnsi="Arial"/>
                <w:sz w:val="15"/>
                <w:szCs w:val="15"/>
                <w:color w:val="auto"/>
              </w:rPr>
              <w:t>U.S. treasury bills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61,756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(18 )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61,738</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Money market accounts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33,318</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33,318</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300"/>
              <w:spacing w:after="0"/>
              <w:rPr>
                <w:sz w:val="20"/>
                <w:szCs w:val="20"/>
                <w:color w:val="auto"/>
              </w:rPr>
            </w:pPr>
            <w:r>
              <w:rPr>
                <w:rFonts w:ascii="Arial" w:cs="Arial" w:eastAsia="Arial" w:hAnsi="Arial"/>
                <w:sz w:val="15"/>
                <w:szCs w:val="15"/>
                <w:color w:val="auto"/>
              </w:rPr>
              <w:t>Municipal bonds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5,117</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(53 )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5,064</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Less: Cash equivalents</w:t>
            </w:r>
          </w:p>
        </w:tc>
        <w:tc>
          <w:tcPr>
            <w:tcW w:w="2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(33,318 )</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(33,318 )</w:t>
            </w:r>
          </w:p>
        </w:tc>
      </w:tr>
      <w:tr>
        <w:trPr>
          <w:trHeight w:val="20"/>
        </w:trPr>
        <w:tc>
          <w:tcPr>
            <w:tcW w:w="4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8"/>
        </w:trPr>
        <w:tc>
          <w:tcPr>
            <w:tcW w:w="4840" w:type="dxa"/>
            <w:vAlign w:val="bottom"/>
          </w:tcPr>
          <w:p>
            <w:pPr>
              <w:ind w:left="460"/>
              <w:spacing w:after="0"/>
              <w:rPr>
                <w:sz w:val="20"/>
                <w:szCs w:val="20"/>
                <w:color w:val="auto"/>
              </w:rPr>
            </w:pPr>
            <w:r>
              <w:rPr>
                <w:rFonts w:ascii="Arial" w:cs="Arial" w:eastAsia="Arial" w:hAnsi="Arial"/>
                <w:sz w:val="15"/>
                <w:szCs w:val="15"/>
                <w:color w:val="auto"/>
              </w:rPr>
              <w:t>Total debt securities due within 1 year</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389,402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(5,676 )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383,726</w:t>
            </w:r>
          </w:p>
        </w:tc>
        <w:tc>
          <w:tcPr>
            <w:tcW w:w="100" w:type="dxa"/>
            <w:vAlign w:val="bottom"/>
          </w:tcPr>
          <w:p>
            <w:pPr>
              <w:spacing w:after="0"/>
              <w:rPr>
                <w:sz w:val="16"/>
                <w:szCs w:val="16"/>
                <w:color w:val="auto"/>
              </w:rPr>
            </w:pPr>
          </w:p>
        </w:tc>
      </w:tr>
      <w:tr>
        <w:trPr>
          <w:trHeight w:val="188"/>
        </w:trPr>
        <w:tc>
          <w:tcPr>
            <w:tcW w:w="4840" w:type="dxa"/>
            <w:vAlign w:val="bottom"/>
            <w:shd w:val="clear" w:color="auto" w:fill="CFF0FC"/>
          </w:tcPr>
          <w:p>
            <w:pPr>
              <w:ind w:left="160"/>
              <w:spacing w:after="0"/>
              <w:rPr>
                <w:sz w:val="20"/>
                <w:szCs w:val="20"/>
                <w:color w:val="auto"/>
              </w:rPr>
            </w:pPr>
            <w:r>
              <w:rPr>
                <w:rFonts w:ascii="Arial" w:cs="Arial" w:eastAsia="Arial" w:hAnsi="Arial"/>
                <w:sz w:val="15"/>
                <w:szCs w:val="15"/>
                <w:color w:val="auto"/>
              </w:rPr>
              <w:t>After 1 year through 5 years</w:t>
            </w:r>
          </w:p>
        </w:tc>
        <w:tc>
          <w:tcPr>
            <w:tcW w:w="2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1"/>
        </w:trPr>
        <w:tc>
          <w:tcPr>
            <w:tcW w:w="4840" w:type="dxa"/>
            <w:vAlign w:val="bottom"/>
          </w:tcPr>
          <w:p>
            <w:pPr>
              <w:ind w:left="300"/>
              <w:spacing w:after="0"/>
              <w:rPr>
                <w:sz w:val="20"/>
                <w:szCs w:val="20"/>
                <w:color w:val="auto"/>
              </w:rPr>
            </w:pPr>
            <w:r>
              <w:rPr>
                <w:rFonts w:ascii="Arial" w:cs="Arial" w:eastAsia="Arial" w:hAnsi="Arial"/>
                <w:sz w:val="15"/>
                <w:szCs w:val="15"/>
                <w:color w:val="auto"/>
              </w:rPr>
              <w:t>U.S. government debt securities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202,084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(3,297 )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198,793</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U.S. agency debt securities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163,842</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(3,910 )</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159,932</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300"/>
              <w:spacing w:after="0"/>
              <w:rPr>
                <w:sz w:val="20"/>
                <w:szCs w:val="20"/>
                <w:color w:val="auto"/>
              </w:rPr>
            </w:pPr>
            <w:r>
              <w:rPr>
                <w:rFonts w:ascii="Arial" w:cs="Arial" w:eastAsia="Arial" w:hAnsi="Arial"/>
                <w:sz w:val="15"/>
                <w:szCs w:val="15"/>
                <w:color w:val="auto"/>
              </w:rPr>
              <w:t>Corporate debt securities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16,208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(1,176 )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15,032</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Municipal bonds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7,517</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(149 )</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7,369</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300"/>
              <w:spacing w:after="0"/>
              <w:rPr>
                <w:sz w:val="20"/>
                <w:szCs w:val="20"/>
                <w:color w:val="auto"/>
              </w:rPr>
            </w:pPr>
            <w:r>
              <w:rPr>
                <w:rFonts w:ascii="Arial" w:cs="Arial" w:eastAsia="Arial" w:hAnsi="Arial"/>
                <w:sz w:val="15"/>
                <w:szCs w:val="15"/>
                <w:color w:val="auto"/>
              </w:rPr>
              <w:t>Yankee debt securities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752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(84 )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668</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Redeemable preferred stock investment</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20,000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(4,842 )</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15,158</w:t>
            </w:r>
          </w:p>
        </w:tc>
        <w:tc>
          <w:tcPr>
            <w:tcW w:w="100" w:type="dxa"/>
            <w:vAlign w:val="bottom"/>
            <w:shd w:val="clear" w:color="auto" w:fill="CFF0FC"/>
          </w:tcPr>
          <w:p>
            <w:pPr>
              <w:spacing w:after="0"/>
              <w:rPr>
                <w:sz w:val="17"/>
                <w:szCs w:val="17"/>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8"/>
        </w:trPr>
        <w:tc>
          <w:tcPr>
            <w:tcW w:w="4840" w:type="dxa"/>
            <w:vAlign w:val="bottom"/>
          </w:tcPr>
          <w:p>
            <w:pPr>
              <w:ind w:left="460"/>
              <w:spacing w:after="0"/>
              <w:rPr>
                <w:sz w:val="20"/>
                <w:szCs w:val="20"/>
                <w:color w:val="auto"/>
              </w:rPr>
            </w:pPr>
            <w:r>
              <w:rPr>
                <w:rFonts w:ascii="Arial" w:cs="Arial" w:eastAsia="Arial" w:hAnsi="Arial"/>
                <w:sz w:val="15"/>
                <w:szCs w:val="15"/>
                <w:color w:val="auto"/>
              </w:rPr>
              <w:t>Total debt securities due after 1 year through 5 years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410,403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(13,458 )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396,952</w:t>
            </w:r>
          </w:p>
        </w:tc>
        <w:tc>
          <w:tcPr>
            <w:tcW w:w="100" w:type="dxa"/>
            <w:vAlign w:val="bottom"/>
          </w:tcPr>
          <w:p>
            <w:pPr>
              <w:spacing w:after="0"/>
              <w:rPr>
                <w:sz w:val="16"/>
                <w:szCs w:val="16"/>
                <w:color w:val="auto"/>
              </w:rPr>
            </w:pPr>
          </w:p>
        </w:tc>
      </w:tr>
      <w:tr>
        <w:trPr>
          <w:trHeight w:val="188"/>
        </w:trPr>
        <w:tc>
          <w:tcPr>
            <w:tcW w:w="4840" w:type="dxa"/>
            <w:vAlign w:val="bottom"/>
            <w:shd w:val="clear" w:color="auto" w:fill="CFF0FC"/>
          </w:tcPr>
          <w:p>
            <w:pPr>
              <w:ind w:left="160"/>
              <w:spacing w:after="0"/>
              <w:rPr>
                <w:sz w:val="20"/>
                <w:szCs w:val="20"/>
                <w:color w:val="auto"/>
              </w:rPr>
            </w:pPr>
            <w:r>
              <w:rPr>
                <w:rFonts w:ascii="Arial" w:cs="Arial" w:eastAsia="Arial" w:hAnsi="Arial"/>
                <w:sz w:val="15"/>
                <w:szCs w:val="15"/>
                <w:color w:val="auto"/>
              </w:rPr>
              <w:t>After 5 years through 10 years</w:t>
            </w:r>
          </w:p>
        </w:tc>
        <w:tc>
          <w:tcPr>
            <w:tcW w:w="2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7"/>
        </w:trPr>
        <w:tc>
          <w:tcPr>
            <w:tcW w:w="4840" w:type="dxa"/>
            <w:vAlign w:val="bottom"/>
          </w:tcPr>
          <w:p>
            <w:pPr>
              <w:ind w:left="300"/>
              <w:spacing w:after="0"/>
              <w:rPr>
                <w:sz w:val="20"/>
                <w:szCs w:val="20"/>
                <w:color w:val="auto"/>
              </w:rPr>
            </w:pPr>
            <w:r>
              <w:rPr>
                <w:rFonts w:ascii="Arial" w:cs="Arial" w:eastAsia="Arial" w:hAnsi="Arial"/>
                <w:sz w:val="15"/>
                <w:szCs w:val="15"/>
                <w:color w:val="auto"/>
              </w:rPr>
              <w:t>Municipal bonds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1,905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(40 )</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1,865</w:t>
            </w:r>
          </w:p>
        </w:tc>
        <w:tc>
          <w:tcPr>
            <w:tcW w:w="10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4840" w:type="dxa"/>
            <w:vAlign w:val="bottom"/>
            <w:shd w:val="clear" w:color="auto" w:fill="CFF0FC"/>
          </w:tcPr>
          <w:p>
            <w:pPr>
              <w:ind w:left="460"/>
              <w:spacing w:after="0"/>
              <w:rPr>
                <w:sz w:val="20"/>
                <w:szCs w:val="20"/>
                <w:color w:val="auto"/>
              </w:rPr>
            </w:pPr>
            <w:r>
              <w:rPr>
                <w:rFonts w:ascii="Arial" w:cs="Arial" w:eastAsia="Arial" w:hAnsi="Arial"/>
                <w:sz w:val="15"/>
                <w:szCs w:val="15"/>
                <w:color w:val="auto"/>
              </w:rPr>
              <w:t>Total debt securities due after 5 years through 10 years</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1,905</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(40 )</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1,865</w:t>
            </w:r>
          </w:p>
        </w:tc>
        <w:tc>
          <w:tcPr>
            <w:tcW w:w="100" w:type="dxa"/>
            <w:vAlign w:val="bottom"/>
            <w:shd w:val="clear" w:color="auto" w:fill="CFF0FC"/>
          </w:tcPr>
          <w:p>
            <w:pPr>
              <w:spacing w:after="0"/>
              <w:rPr>
                <w:sz w:val="16"/>
                <w:szCs w:val="16"/>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8"/>
        </w:trPr>
        <w:tc>
          <w:tcPr>
            <w:tcW w:w="4840" w:type="dxa"/>
            <w:vAlign w:val="bottom"/>
          </w:tcPr>
          <w:p>
            <w:pPr>
              <w:ind w:left="600"/>
              <w:spacing w:after="0"/>
              <w:rPr>
                <w:sz w:val="20"/>
                <w:szCs w:val="20"/>
                <w:color w:val="auto"/>
              </w:rPr>
            </w:pPr>
            <w:r>
              <w:rPr>
                <w:rFonts w:ascii="Arial" w:cs="Arial" w:eastAsia="Arial" w:hAnsi="Arial"/>
                <w:sz w:val="15"/>
                <w:szCs w:val="15"/>
                <w:color w:val="auto"/>
              </w:rPr>
              <w:t>Total available-for-sale debt securities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801,710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(19,174 )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782,543</w:t>
            </w:r>
          </w:p>
        </w:tc>
        <w:tc>
          <w:tcPr>
            <w:tcW w:w="100" w:type="dxa"/>
            <w:vAlign w:val="bottom"/>
          </w:tcPr>
          <w:p>
            <w:pPr>
              <w:spacing w:after="0"/>
              <w:rPr>
                <w:sz w:val="16"/>
                <w:szCs w:val="16"/>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840" w:type="dxa"/>
            <w:vAlign w:val="bottom"/>
            <w:shd w:val="clear" w:color="auto" w:fill="CFF0FC"/>
          </w:tcPr>
          <w:p>
            <w:pPr>
              <w:ind w:left="600"/>
              <w:spacing w:after="0"/>
              <w:rPr>
                <w:sz w:val="20"/>
                <w:szCs w:val="20"/>
                <w:color w:val="auto"/>
              </w:rPr>
            </w:pPr>
            <w:r>
              <w:rPr>
                <w:rFonts w:ascii="Arial" w:cs="Arial" w:eastAsia="Arial" w:hAnsi="Arial"/>
                <w:sz w:val="15"/>
                <w:szCs w:val="15"/>
                <w:color w:val="auto"/>
              </w:rPr>
              <w:t>Total equity and debt securities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816,710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(19,174 )</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797,543</w:t>
            </w:r>
          </w:p>
        </w:tc>
        <w:tc>
          <w:tcPr>
            <w:tcW w:w="100" w:type="dxa"/>
            <w:vAlign w:val="bottom"/>
            <w:shd w:val="clear" w:color="auto" w:fill="CFF0FC"/>
          </w:tcPr>
          <w:p>
            <w:pPr>
              <w:spacing w:after="0"/>
              <w:rPr>
                <w:sz w:val="19"/>
                <w:szCs w:val="19"/>
                <w:color w:val="auto"/>
              </w:rPr>
            </w:pPr>
          </w:p>
        </w:tc>
      </w:tr>
      <w:tr>
        <w:trPr>
          <w:trHeight w:val="498"/>
        </w:trPr>
        <w:tc>
          <w:tcPr>
            <w:tcW w:w="48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428"/>
              <w:spacing w:after="0"/>
              <w:rPr>
                <w:sz w:val="20"/>
                <w:szCs w:val="20"/>
                <w:color w:val="auto"/>
              </w:rPr>
            </w:pPr>
            <w:r>
              <w:rPr>
                <w:rFonts w:ascii="Arial" w:cs="Arial" w:eastAsia="Arial" w:hAnsi="Arial"/>
                <w:sz w:val="15"/>
                <w:szCs w:val="15"/>
                <w:color w:val="auto"/>
              </w:rPr>
              <w:t>10</w:t>
            </w:r>
          </w:p>
        </w:tc>
        <w:tc>
          <w:tcPr>
            <w:tcW w:w="3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8"/>
        </w:trPr>
        <w:tc>
          <w:tcPr>
            <w:tcW w:w="48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-3477895</wp:posOffset>
            </wp:positionV>
            <wp:extent cx="76200" cy="139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-3477895</wp:posOffset>
            </wp:positionV>
            <wp:extent cx="76200" cy="1390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-3477895</wp:posOffset>
            </wp:positionV>
            <wp:extent cx="69215" cy="1390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-3477895</wp:posOffset>
            </wp:positionV>
            <wp:extent cx="69215" cy="1390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-2214245</wp:posOffset>
            </wp:positionV>
            <wp:extent cx="76200" cy="139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-2214245</wp:posOffset>
            </wp:positionV>
            <wp:extent cx="76200" cy="1390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-2214245</wp:posOffset>
            </wp:positionV>
            <wp:extent cx="69215" cy="1390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-2214245</wp:posOffset>
            </wp:positionV>
            <wp:extent cx="69215" cy="1390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-1200785</wp:posOffset>
            </wp:positionV>
            <wp:extent cx="76200" cy="1390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-1200785</wp:posOffset>
            </wp:positionV>
            <wp:extent cx="76200" cy="1390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-1200785</wp:posOffset>
            </wp:positionV>
            <wp:extent cx="69215" cy="1390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-1200785</wp:posOffset>
            </wp:positionV>
            <wp:extent cx="69215" cy="1390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-680085</wp:posOffset>
            </wp:positionV>
            <wp:extent cx="76200" cy="1390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-680085</wp:posOffset>
            </wp:positionV>
            <wp:extent cx="76200" cy="1390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-680085</wp:posOffset>
            </wp:positionV>
            <wp:extent cx="69215" cy="1390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-680085</wp:posOffset>
            </wp:positionV>
            <wp:extent cx="69215" cy="1390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-415925</wp:posOffset>
            </wp:positionV>
            <wp:extent cx="7620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-401955</wp:posOffset>
            </wp:positionV>
            <wp:extent cx="7620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-415925</wp:posOffset>
            </wp:positionV>
            <wp:extent cx="7620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-401955</wp:posOffset>
            </wp:positionV>
            <wp:extent cx="7620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-415925</wp:posOffset>
            </wp:positionV>
            <wp:extent cx="6921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-401955</wp:posOffset>
            </wp:positionV>
            <wp:extent cx="6921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-415925</wp:posOffset>
            </wp:positionV>
            <wp:extent cx="6921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-401955</wp:posOffset>
            </wp:positionV>
            <wp:extent cx="6921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391"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2022</w:t>
            </w:r>
          </w:p>
        </w:tc>
        <w:tc>
          <w:tcPr>
            <w:tcW w:w="10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05"/>
        </w:trPr>
        <w:tc>
          <w:tcPr>
            <w:tcW w:w="4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gridSpan w:val="2"/>
          </w:tcPr>
          <w:p>
            <w:pPr>
              <w:jc w:val="right"/>
              <w:ind w:right="720"/>
              <w:spacing w:after="0" w:line="105" w:lineRule="exact"/>
              <w:rPr>
                <w:sz w:val="20"/>
                <w:szCs w:val="20"/>
                <w:color w:val="auto"/>
              </w:rPr>
            </w:pPr>
            <w:r>
              <w:rPr>
                <w:rFonts w:ascii="Arial" w:cs="Arial" w:eastAsia="Arial" w:hAnsi="Arial"/>
                <w:sz w:val="12"/>
                <w:szCs w:val="12"/>
                <w:b w:val="1"/>
                <w:bCs w:val="1"/>
                <w:color w:val="auto"/>
              </w:rPr>
              <w:t>Amortized</w:t>
            </w:r>
          </w:p>
        </w:tc>
        <w:tc>
          <w:tcPr>
            <w:tcW w:w="240" w:type="dxa"/>
            <w:vAlign w:val="bottom"/>
          </w:tcPr>
          <w:p>
            <w:pPr>
              <w:spacing w:after="0"/>
              <w:rPr>
                <w:sz w:val="9"/>
                <w:szCs w:val="9"/>
                <w:color w:val="auto"/>
              </w:rPr>
            </w:pPr>
          </w:p>
        </w:tc>
        <w:tc>
          <w:tcPr>
            <w:tcW w:w="1140" w:type="dxa"/>
            <w:vAlign w:val="bottom"/>
          </w:tcPr>
          <w:p>
            <w:pPr>
              <w:jc w:val="right"/>
              <w:ind w:right="349"/>
              <w:spacing w:after="0" w:line="105" w:lineRule="exact"/>
              <w:rPr>
                <w:sz w:val="20"/>
                <w:szCs w:val="20"/>
                <w:color w:val="auto"/>
              </w:rPr>
            </w:pPr>
            <w:r>
              <w:rPr>
                <w:rFonts w:ascii="Arial" w:cs="Arial" w:eastAsia="Arial" w:hAnsi="Arial"/>
                <w:sz w:val="12"/>
                <w:szCs w:val="12"/>
                <w:b w:val="1"/>
                <w:bCs w:val="1"/>
                <w:color w:val="auto"/>
              </w:rPr>
              <w:t>Unrealized</w:t>
            </w: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gridSpan w:val="2"/>
          </w:tcPr>
          <w:p>
            <w:pPr>
              <w:jc w:val="right"/>
              <w:ind w:right="680"/>
              <w:spacing w:after="0" w:line="105" w:lineRule="exact"/>
              <w:rPr>
                <w:sz w:val="20"/>
                <w:szCs w:val="20"/>
                <w:color w:val="auto"/>
              </w:rPr>
            </w:pPr>
            <w:r>
              <w:rPr>
                <w:rFonts w:ascii="Arial" w:cs="Arial" w:eastAsia="Arial" w:hAnsi="Arial"/>
                <w:sz w:val="12"/>
                <w:szCs w:val="12"/>
                <w:b w:val="1"/>
                <w:bCs w:val="1"/>
                <w:color w:val="auto"/>
                <w:w w:val="92"/>
              </w:rPr>
              <w:t>Unrealized</w:t>
            </w:r>
          </w:p>
        </w:tc>
        <w:tc>
          <w:tcPr>
            <w:tcW w:w="260" w:type="dxa"/>
            <w:vAlign w:val="bottom"/>
          </w:tcPr>
          <w:p>
            <w:pPr>
              <w:spacing w:after="0"/>
              <w:rPr>
                <w:sz w:val="9"/>
                <w:szCs w:val="9"/>
                <w:color w:val="auto"/>
              </w:rPr>
            </w:pPr>
          </w:p>
        </w:tc>
        <w:tc>
          <w:tcPr>
            <w:tcW w:w="1120" w:type="dxa"/>
            <w:vAlign w:val="bottom"/>
          </w:tcPr>
          <w:p>
            <w:pPr>
              <w:jc w:val="right"/>
              <w:ind w:right="368"/>
              <w:spacing w:after="0" w:line="105" w:lineRule="exact"/>
              <w:rPr>
                <w:sz w:val="20"/>
                <w:szCs w:val="20"/>
                <w:color w:val="auto"/>
              </w:rPr>
            </w:pPr>
            <w:r>
              <w:rPr>
                <w:rFonts w:ascii="Arial" w:cs="Arial" w:eastAsia="Arial" w:hAnsi="Arial"/>
                <w:sz w:val="12"/>
                <w:szCs w:val="12"/>
                <w:b w:val="1"/>
                <w:bCs w:val="1"/>
                <w:color w:val="auto"/>
              </w:rPr>
              <w:t>Aggregate</w:t>
            </w:r>
          </w:p>
        </w:tc>
        <w:tc>
          <w:tcPr>
            <w:tcW w:w="100" w:type="dxa"/>
            <w:vAlign w:val="bottom"/>
          </w:tcPr>
          <w:p>
            <w:pPr>
              <w:spacing w:after="0"/>
              <w:rPr>
                <w:sz w:val="9"/>
                <w:szCs w:val="9"/>
                <w:color w:val="auto"/>
              </w:rPr>
            </w:pPr>
          </w:p>
        </w:tc>
      </w:tr>
      <w:tr>
        <w:trPr>
          <w:trHeight w:val="149"/>
        </w:trPr>
        <w:tc>
          <w:tcPr>
            <w:tcW w:w="4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Cost Basis</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69"/>
              <w:spacing w:after="0"/>
              <w:rPr>
                <w:sz w:val="20"/>
                <w:szCs w:val="20"/>
                <w:color w:val="auto"/>
              </w:rPr>
            </w:pPr>
            <w:r>
              <w:rPr>
                <w:rFonts w:ascii="Arial" w:cs="Arial" w:eastAsia="Arial" w:hAnsi="Arial"/>
                <w:sz w:val="12"/>
                <w:szCs w:val="12"/>
                <w:b w:val="1"/>
                <w:bCs w:val="1"/>
                <w:color w:val="auto"/>
              </w:rPr>
              <w:t>Gains</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Losses</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2"/>
                <w:szCs w:val="12"/>
                <w:color w:val="auto"/>
              </w:rPr>
            </w:pPr>
          </w:p>
        </w:tc>
      </w:tr>
      <w:tr>
        <w:trPr>
          <w:trHeight w:val="133"/>
        </w:trPr>
        <w:tc>
          <w:tcPr>
            <w:tcW w:w="4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right"/>
              <w:ind w:right="49"/>
              <w:spacing w:after="0" w:line="133" w:lineRule="exact"/>
              <w:rPr>
                <w:sz w:val="20"/>
                <w:szCs w:val="20"/>
                <w:color w:val="auto"/>
              </w:rPr>
            </w:pPr>
            <w:r>
              <w:rPr>
                <w:rFonts w:ascii="Arial" w:cs="Arial" w:eastAsia="Arial" w:hAnsi="Arial"/>
                <w:sz w:val="12"/>
                <w:szCs w:val="12"/>
                <w:b w:val="1"/>
                <w:bCs w:val="1"/>
                <w:color w:val="auto"/>
              </w:rPr>
              <w:t>(in</w:t>
            </w:r>
          </w:p>
        </w:tc>
        <w:tc>
          <w:tcPr>
            <w:tcW w:w="640" w:type="dxa"/>
            <w:vAlign w:val="bottom"/>
            <w:gridSpan w:val="2"/>
          </w:tcPr>
          <w:p>
            <w:pPr>
              <w:jc w:val="right"/>
              <w:ind w:right="107"/>
              <w:spacing w:after="0"/>
              <w:rPr>
                <w:sz w:val="20"/>
                <w:szCs w:val="20"/>
                <w:color w:val="auto"/>
              </w:rPr>
            </w:pPr>
            <w:r>
              <w:rPr>
                <w:rFonts w:ascii="Arial" w:cs="Arial" w:eastAsia="Arial" w:hAnsi="Arial"/>
                <w:sz w:val="10"/>
                <w:szCs w:val="10"/>
                <w:b w:val="1"/>
                <w:bCs w:val="1"/>
                <w:color w:val="auto"/>
                <w:w w:val="81"/>
              </w:rPr>
              <w:t>thousands)</w:t>
            </w: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7"/>
        </w:trPr>
        <w:tc>
          <w:tcPr>
            <w:tcW w:w="48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Equity securities: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160"/>
              <w:spacing w:after="0"/>
              <w:rPr>
                <w:sz w:val="20"/>
                <w:szCs w:val="20"/>
                <w:color w:val="auto"/>
              </w:rPr>
            </w:pPr>
            <w:r>
              <w:rPr>
                <w:rFonts w:ascii="Arial" w:cs="Arial" w:eastAsia="Arial" w:hAnsi="Arial"/>
                <w:sz w:val="15"/>
                <w:szCs w:val="15"/>
                <w:color w:val="auto"/>
              </w:rPr>
              <w:t>Long-term</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48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5"/>
                <w:szCs w:val="15"/>
                <w:color w:val="auto"/>
              </w:rPr>
              <w:t>Preferred stock of privately held company</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15,000</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8"/>
        </w:trPr>
        <w:tc>
          <w:tcPr>
            <w:tcW w:w="4840" w:type="dxa"/>
            <w:vAlign w:val="bottom"/>
          </w:tcPr>
          <w:p>
            <w:pPr>
              <w:ind w:left="460"/>
              <w:spacing w:after="0"/>
              <w:rPr>
                <w:sz w:val="20"/>
                <w:szCs w:val="20"/>
                <w:color w:val="auto"/>
              </w:rPr>
            </w:pPr>
            <w:r>
              <w:rPr>
                <w:rFonts w:ascii="Arial" w:cs="Arial" w:eastAsia="Arial" w:hAnsi="Arial"/>
                <w:sz w:val="15"/>
                <w:szCs w:val="15"/>
                <w:color w:val="auto"/>
              </w:rPr>
              <w:t>Total equity securities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15,000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r>
      <w:tr>
        <w:trPr>
          <w:trHeight w:val="188"/>
        </w:trPr>
        <w:tc>
          <w:tcPr>
            <w:tcW w:w="48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Available-for-sale debt securities</w:t>
            </w:r>
          </w:p>
        </w:tc>
        <w:tc>
          <w:tcPr>
            <w:tcW w:w="2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1"/>
        </w:trPr>
        <w:tc>
          <w:tcPr>
            <w:tcW w:w="4840" w:type="dxa"/>
            <w:vAlign w:val="bottom"/>
          </w:tcPr>
          <w:p>
            <w:pPr>
              <w:ind w:left="160"/>
              <w:spacing w:after="0"/>
              <w:rPr>
                <w:sz w:val="20"/>
                <w:szCs w:val="20"/>
                <w:color w:val="auto"/>
              </w:rPr>
            </w:pPr>
            <w:r>
              <w:rPr>
                <w:rFonts w:ascii="Arial" w:cs="Arial" w:eastAsia="Arial" w:hAnsi="Arial"/>
                <w:sz w:val="15"/>
                <w:szCs w:val="15"/>
                <w:color w:val="auto"/>
              </w:rPr>
              <w:t>Short-term</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U.S. government debt securities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189,333</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(3,373 )</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185,960</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300"/>
              <w:spacing w:after="0"/>
              <w:rPr>
                <w:sz w:val="20"/>
                <w:szCs w:val="20"/>
                <w:color w:val="auto"/>
              </w:rPr>
            </w:pPr>
            <w:r>
              <w:rPr>
                <w:rFonts w:ascii="Arial" w:cs="Arial" w:eastAsia="Arial" w:hAnsi="Arial"/>
                <w:sz w:val="15"/>
                <w:szCs w:val="15"/>
                <w:color w:val="auto"/>
              </w:rPr>
              <w:t>Corporate debt securities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120,480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(2,222 )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118,258</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U.S. treasury bills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69,991</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(193 )</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69,798</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300"/>
              <w:spacing w:after="0"/>
              <w:rPr>
                <w:sz w:val="20"/>
                <w:szCs w:val="20"/>
                <w:color w:val="auto"/>
              </w:rPr>
            </w:pPr>
            <w:r>
              <w:rPr>
                <w:rFonts w:ascii="Arial" w:cs="Arial" w:eastAsia="Arial" w:hAnsi="Arial"/>
                <w:sz w:val="15"/>
                <w:szCs w:val="15"/>
                <w:color w:val="auto"/>
              </w:rPr>
              <w:t>U.S. agency debt securities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68,411</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(342 )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68,069</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Money market accounts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27,455</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27,455</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300"/>
              <w:spacing w:after="0"/>
              <w:rPr>
                <w:sz w:val="20"/>
                <w:szCs w:val="20"/>
                <w:color w:val="auto"/>
              </w:rPr>
            </w:pPr>
            <w:r>
              <w:rPr>
                <w:rFonts w:ascii="Arial" w:cs="Arial" w:eastAsia="Arial" w:hAnsi="Arial"/>
                <w:sz w:val="15"/>
                <w:szCs w:val="15"/>
                <w:color w:val="auto"/>
              </w:rPr>
              <w:t>Municipal bonds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7,371</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(80 )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7,291</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Yankee debt securities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2,347</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(5 )</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2,342</w:t>
            </w:r>
          </w:p>
        </w:tc>
        <w:tc>
          <w:tcPr>
            <w:tcW w:w="100" w:type="dxa"/>
            <w:vAlign w:val="bottom"/>
            <w:shd w:val="clear" w:color="auto" w:fill="CFF0FC"/>
          </w:tcPr>
          <w:p>
            <w:pPr>
              <w:spacing w:after="0"/>
              <w:rPr>
                <w:sz w:val="17"/>
                <w:szCs w:val="17"/>
                <w:color w:val="auto"/>
              </w:rPr>
            </w:pPr>
          </w:p>
        </w:tc>
      </w:tr>
      <w:tr>
        <w:trPr>
          <w:trHeight w:val="197"/>
        </w:trPr>
        <w:tc>
          <w:tcPr>
            <w:tcW w:w="4840" w:type="dxa"/>
            <w:vAlign w:val="bottom"/>
          </w:tcPr>
          <w:p>
            <w:pPr>
              <w:ind w:left="300"/>
              <w:spacing w:after="0"/>
              <w:rPr>
                <w:sz w:val="20"/>
                <w:szCs w:val="20"/>
                <w:color w:val="auto"/>
              </w:rPr>
            </w:pPr>
            <w:r>
              <w:rPr>
                <w:rFonts w:ascii="Arial" w:cs="Arial" w:eastAsia="Arial" w:hAnsi="Arial"/>
                <w:sz w:val="15"/>
                <w:szCs w:val="15"/>
                <w:color w:val="auto"/>
              </w:rPr>
              <w:t>Less: Cash equivalents</w:t>
            </w:r>
          </w:p>
        </w:tc>
        <w:tc>
          <w:tcPr>
            <w:tcW w:w="260" w:type="dxa"/>
            <w:vAlign w:val="bottom"/>
          </w:tcPr>
          <w:p>
            <w:pPr>
              <w:spacing w:after="0"/>
              <w:rPr>
                <w:sz w:val="17"/>
                <w:szCs w:val="17"/>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5"/>
                <w:szCs w:val="15"/>
                <w:color w:val="auto"/>
              </w:rPr>
              <w:t>(32,444 )</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5"/>
                <w:szCs w:val="15"/>
                <w:color w:val="auto"/>
              </w:rPr>
              <w:t>(32,444 )</w:t>
            </w:r>
          </w:p>
        </w:tc>
      </w:tr>
      <w:tr>
        <w:trPr>
          <w:trHeight w:val="20"/>
        </w:trPr>
        <w:tc>
          <w:tcPr>
            <w:tcW w:w="4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4840" w:type="dxa"/>
            <w:vAlign w:val="bottom"/>
            <w:shd w:val="clear" w:color="auto" w:fill="CFF0FC"/>
          </w:tcPr>
          <w:p>
            <w:pPr>
              <w:ind w:left="460"/>
              <w:spacing w:after="0"/>
              <w:rPr>
                <w:sz w:val="20"/>
                <w:szCs w:val="20"/>
                <w:color w:val="auto"/>
              </w:rPr>
            </w:pPr>
            <w:r>
              <w:rPr>
                <w:rFonts w:ascii="Arial" w:cs="Arial" w:eastAsia="Arial" w:hAnsi="Arial"/>
                <w:sz w:val="15"/>
                <w:szCs w:val="15"/>
                <w:color w:val="auto"/>
              </w:rPr>
              <w:t>Total debt securities due within 1 year</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452,944</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(6,215 )</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446,729</w:t>
            </w:r>
          </w:p>
        </w:tc>
        <w:tc>
          <w:tcPr>
            <w:tcW w:w="100" w:type="dxa"/>
            <w:vAlign w:val="bottom"/>
            <w:shd w:val="clear" w:color="auto" w:fill="CFF0FC"/>
          </w:tcPr>
          <w:p>
            <w:pPr>
              <w:spacing w:after="0"/>
              <w:rPr>
                <w:sz w:val="16"/>
                <w:szCs w:val="16"/>
                <w:color w:val="auto"/>
              </w:rPr>
            </w:pPr>
          </w:p>
        </w:tc>
      </w:tr>
      <w:tr>
        <w:trPr>
          <w:trHeight w:val="182"/>
        </w:trPr>
        <w:tc>
          <w:tcPr>
            <w:tcW w:w="4840" w:type="dxa"/>
            <w:vAlign w:val="bottom"/>
            <w:tcBorders>
              <w:top w:val="single" w:sz="8" w:color="CFF0FC"/>
            </w:tcBorders>
          </w:tcPr>
          <w:p>
            <w:pPr>
              <w:ind w:left="160"/>
              <w:spacing w:after="0"/>
              <w:rPr>
                <w:sz w:val="20"/>
                <w:szCs w:val="20"/>
                <w:color w:val="auto"/>
              </w:rPr>
            </w:pPr>
            <w:r>
              <w:rPr>
                <w:rFonts w:ascii="Arial" w:cs="Arial" w:eastAsia="Arial" w:hAnsi="Arial"/>
                <w:sz w:val="15"/>
                <w:szCs w:val="15"/>
                <w:color w:val="auto"/>
              </w:rPr>
              <w:t>After 1 year through 5 years</w:t>
            </w: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U.S. government debt securities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152,435</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(6,349 )</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146,088</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300"/>
              <w:spacing w:after="0"/>
              <w:rPr>
                <w:sz w:val="20"/>
                <w:szCs w:val="20"/>
                <w:color w:val="auto"/>
              </w:rPr>
            </w:pPr>
            <w:r>
              <w:rPr>
                <w:rFonts w:ascii="Arial" w:cs="Arial" w:eastAsia="Arial" w:hAnsi="Arial"/>
                <w:sz w:val="15"/>
                <w:szCs w:val="15"/>
                <w:color w:val="auto"/>
              </w:rPr>
              <w:t>U.S. agency debt securities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92,054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(3,435 )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88,619</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Corporate debt securities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80,647</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(4,756 )</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75,891</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300"/>
              <w:spacing w:after="0"/>
              <w:rPr>
                <w:sz w:val="20"/>
                <w:szCs w:val="20"/>
                <w:color w:val="auto"/>
              </w:rPr>
            </w:pPr>
            <w:r>
              <w:rPr>
                <w:rFonts w:ascii="Arial" w:cs="Arial" w:eastAsia="Arial" w:hAnsi="Arial"/>
                <w:sz w:val="15"/>
                <w:szCs w:val="15"/>
                <w:color w:val="auto"/>
              </w:rPr>
              <w:t>Municipal bonds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12,065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(217 )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11,848</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Yankee debt securities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753</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(85 )</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668</w:t>
            </w:r>
          </w:p>
        </w:tc>
        <w:tc>
          <w:tcPr>
            <w:tcW w:w="100" w:type="dxa"/>
            <w:vAlign w:val="bottom"/>
            <w:shd w:val="clear" w:color="auto" w:fill="CFF0FC"/>
          </w:tcPr>
          <w:p>
            <w:pPr>
              <w:spacing w:after="0"/>
              <w:rPr>
                <w:sz w:val="17"/>
                <w:szCs w:val="17"/>
                <w:color w:val="auto"/>
              </w:rPr>
            </w:pPr>
          </w:p>
        </w:tc>
      </w:tr>
      <w:tr>
        <w:trPr>
          <w:trHeight w:val="197"/>
        </w:trPr>
        <w:tc>
          <w:tcPr>
            <w:tcW w:w="4840" w:type="dxa"/>
            <w:vAlign w:val="bottom"/>
          </w:tcPr>
          <w:p>
            <w:pPr>
              <w:ind w:left="300"/>
              <w:spacing w:after="0"/>
              <w:rPr>
                <w:sz w:val="20"/>
                <w:szCs w:val="20"/>
                <w:color w:val="auto"/>
              </w:rPr>
            </w:pPr>
            <w:r>
              <w:rPr>
                <w:rFonts w:ascii="Arial" w:cs="Arial" w:eastAsia="Arial" w:hAnsi="Arial"/>
                <w:sz w:val="15"/>
                <w:szCs w:val="15"/>
                <w:color w:val="auto"/>
              </w:rPr>
              <w:t>Redeemable preferred stock investment</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20,000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(7,615 )</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12,385</w:t>
            </w:r>
          </w:p>
        </w:tc>
        <w:tc>
          <w:tcPr>
            <w:tcW w:w="10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4840" w:type="dxa"/>
            <w:vAlign w:val="bottom"/>
            <w:shd w:val="clear" w:color="auto" w:fill="CFF0FC"/>
          </w:tcPr>
          <w:p>
            <w:pPr>
              <w:ind w:left="460"/>
              <w:spacing w:after="0"/>
              <w:rPr>
                <w:sz w:val="20"/>
                <w:szCs w:val="20"/>
                <w:color w:val="auto"/>
              </w:rPr>
            </w:pPr>
            <w:r>
              <w:rPr>
                <w:rFonts w:ascii="Arial" w:cs="Arial" w:eastAsia="Arial" w:hAnsi="Arial"/>
                <w:sz w:val="15"/>
                <w:szCs w:val="15"/>
                <w:color w:val="auto"/>
              </w:rPr>
              <w:t>Total debt securities due after 1 year through 5 years</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357,954</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(22,457 )</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335,499</w:t>
            </w:r>
          </w:p>
        </w:tc>
        <w:tc>
          <w:tcPr>
            <w:tcW w:w="100" w:type="dxa"/>
            <w:vAlign w:val="bottom"/>
            <w:shd w:val="clear" w:color="auto" w:fill="CFF0FC"/>
          </w:tcPr>
          <w:p>
            <w:pPr>
              <w:spacing w:after="0"/>
              <w:rPr>
                <w:sz w:val="16"/>
                <w:szCs w:val="16"/>
                <w:color w:val="auto"/>
              </w:rPr>
            </w:pPr>
          </w:p>
        </w:tc>
      </w:tr>
      <w:tr>
        <w:trPr>
          <w:trHeight w:val="182"/>
        </w:trPr>
        <w:tc>
          <w:tcPr>
            <w:tcW w:w="4840" w:type="dxa"/>
            <w:vAlign w:val="bottom"/>
            <w:tcBorders>
              <w:top w:val="single" w:sz="8" w:color="CFF0FC"/>
            </w:tcBorders>
          </w:tcPr>
          <w:p>
            <w:pPr>
              <w:ind w:left="160"/>
              <w:spacing w:after="0"/>
              <w:rPr>
                <w:sz w:val="20"/>
                <w:szCs w:val="20"/>
                <w:color w:val="auto"/>
              </w:rPr>
            </w:pPr>
            <w:r>
              <w:rPr>
                <w:rFonts w:ascii="Arial" w:cs="Arial" w:eastAsia="Arial" w:hAnsi="Arial"/>
                <w:sz w:val="15"/>
                <w:szCs w:val="15"/>
                <w:color w:val="auto"/>
              </w:rPr>
              <w:t>After 5 years through 10 years</w:t>
            </w: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2"/>
        </w:trPr>
        <w:tc>
          <w:tcPr>
            <w:tcW w:w="48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Municipal bonds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3,617</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(83 )</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3,534</w:t>
            </w:r>
          </w:p>
        </w:tc>
        <w:tc>
          <w:tcPr>
            <w:tcW w:w="100" w:type="dxa"/>
            <w:vAlign w:val="bottom"/>
            <w:shd w:val="clear" w:color="auto" w:fill="CFF0FC"/>
          </w:tcPr>
          <w:p>
            <w:pPr>
              <w:spacing w:after="0"/>
              <w:rPr>
                <w:sz w:val="17"/>
                <w:szCs w:val="17"/>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8"/>
        </w:trPr>
        <w:tc>
          <w:tcPr>
            <w:tcW w:w="4840" w:type="dxa"/>
            <w:vAlign w:val="bottom"/>
          </w:tcPr>
          <w:p>
            <w:pPr>
              <w:ind w:left="460"/>
              <w:spacing w:after="0"/>
              <w:rPr>
                <w:sz w:val="20"/>
                <w:szCs w:val="20"/>
                <w:color w:val="auto"/>
              </w:rPr>
            </w:pPr>
            <w:r>
              <w:rPr>
                <w:rFonts w:ascii="Arial" w:cs="Arial" w:eastAsia="Arial" w:hAnsi="Arial"/>
                <w:sz w:val="15"/>
                <w:szCs w:val="15"/>
                <w:color w:val="auto"/>
              </w:rPr>
              <w:t>Total debt securities due after 5 years through 10 years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3,617</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(83 )</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3,534</w:t>
            </w:r>
          </w:p>
        </w:tc>
        <w:tc>
          <w:tcPr>
            <w:tcW w:w="100" w:type="dxa"/>
            <w:vAlign w:val="bottom"/>
          </w:tcPr>
          <w:p>
            <w:pPr>
              <w:spacing w:after="0"/>
              <w:rPr>
                <w:sz w:val="16"/>
                <w:szCs w:val="16"/>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4840" w:type="dxa"/>
            <w:vAlign w:val="bottom"/>
            <w:shd w:val="clear" w:color="auto" w:fill="CFF0FC"/>
          </w:tcPr>
          <w:p>
            <w:pPr>
              <w:ind w:left="600"/>
              <w:spacing w:after="0"/>
              <w:rPr>
                <w:sz w:val="20"/>
                <w:szCs w:val="20"/>
                <w:color w:val="auto"/>
              </w:rPr>
            </w:pPr>
            <w:r>
              <w:rPr>
                <w:rFonts w:ascii="Arial" w:cs="Arial" w:eastAsia="Arial" w:hAnsi="Arial"/>
                <w:sz w:val="15"/>
                <w:szCs w:val="15"/>
                <w:color w:val="auto"/>
              </w:rPr>
              <w:t>Total available-for-sale debt securities</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814,515</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(28,755 )</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785,762</w:t>
            </w:r>
          </w:p>
        </w:tc>
        <w:tc>
          <w:tcPr>
            <w:tcW w:w="100" w:type="dxa"/>
            <w:vAlign w:val="bottom"/>
            <w:shd w:val="clear" w:color="auto" w:fill="CFF0FC"/>
          </w:tcPr>
          <w:p>
            <w:pPr>
              <w:spacing w:after="0"/>
              <w:rPr>
                <w:sz w:val="16"/>
                <w:szCs w:val="16"/>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8"/>
        </w:trPr>
        <w:tc>
          <w:tcPr>
            <w:tcW w:w="4840" w:type="dxa"/>
            <w:vAlign w:val="bottom"/>
          </w:tcPr>
          <w:p>
            <w:pPr>
              <w:ind w:left="600"/>
              <w:spacing w:after="0"/>
              <w:rPr>
                <w:sz w:val="20"/>
                <w:szCs w:val="20"/>
                <w:color w:val="auto"/>
              </w:rPr>
            </w:pPr>
            <w:r>
              <w:rPr>
                <w:rFonts w:ascii="Arial" w:cs="Arial" w:eastAsia="Arial" w:hAnsi="Arial"/>
                <w:sz w:val="15"/>
                <w:szCs w:val="15"/>
                <w:color w:val="auto"/>
              </w:rPr>
              <w:t>Total equity and debt securities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829,515</w:t>
            </w:r>
          </w:p>
        </w:tc>
        <w:tc>
          <w:tcPr>
            <w:tcW w:w="30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w:t>
            </w:r>
          </w:p>
        </w:tc>
        <w:tc>
          <w:tcPr>
            <w:tcW w:w="280" w:type="dxa"/>
            <w:vAlign w:val="bottom"/>
          </w:tcPr>
          <w:p>
            <w:pPr>
              <w:spacing w:after="0"/>
              <w:rPr>
                <w:sz w:val="16"/>
                <w:szCs w:val="16"/>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(28,755 )</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800,762</w:t>
            </w:r>
          </w:p>
        </w:tc>
        <w:tc>
          <w:tcPr>
            <w:tcW w:w="100" w:type="dxa"/>
            <w:vAlign w:val="bottom"/>
          </w:tcPr>
          <w:p>
            <w:pPr>
              <w:spacing w:after="0"/>
              <w:rPr>
                <w:sz w:val="16"/>
                <w:szCs w:val="16"/>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-3207385</wp:posOffset>
            </wp:positionV>
            <wp:extent cx="76200" cy="1390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-3207385</wp:posOffset>
            </wp:positionV>
            <wp:extent cx="76200" cy="1390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-3207385</wp:posOffset>
            </wp:positionV>
            <wp:extent cx="69215" cy="1390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-3207385</wp:posOffset>
            </wp:positionV>
            <wp:extent cx="69215" cy="1390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-1686560</wp:posOffset>
            </wp:positionV>
            <wp:extent cx="76200" cy="1320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200" cy="13208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-1686560</wp:posOffset>
            </wp:positionV>
            <wp:extent cx="76200" cy="1320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200" cy="132080"/>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-1686560</wp:posOffset>
            </wp:positionV>
            <wp:extent cx="69215" cy="1320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-1686560</wp:posOffset>
            </wp:positionV>
            <wp:extent cx="69215" cy="1320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-673100</wp:posOffset>
            </wp:positionV>
            <wp:extent cx="76200" cy="1320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200" cy="13208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-673100</wp:posOffset>
            </wp:positionV>
            <wp:extent cx="76200" cy="1320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200" cy="132080"/>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-673100</wp:posOffset>
            </wp:positionV>
            <wp:extent cx="69215" cy="1320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-673100</wp:posOffset>
            </wp:positionV>
            <wp:extent cx="69215" cy="1320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-415925</wp:posOffset>
            </wp:positionV>
            <wp:extent cx="76200" cy="1390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-415925</wp:posOffset>
            </wp:positionV>
            <wp:extent cx="76200" cy="1390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-415925</wp:posOffset>
            </wp:positionV>
            <wp:extent cx="69215" cy="1390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-415925</wp:posOffset>
            </wp:positionV>
            <wp:extent cx="69215" cy="1390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-152400</wp:posOffset>
            </wp:positionV>
            <wp:extent cx="76200" cy="153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200" cy="15303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-152400</wp:posOffset>
            </wp:positionV>
            <wp:extent cx="76200" cy="153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200" cy="15303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-152400</wp:posOffset>
            </wp:positionV>
            <wp:extent cx="69215" cy="153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15" cy="15303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-152400</wp:posOffset>
            </wp:positionV>
            <wp:extent cx="69215" cy="153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215" cy="153035"/>
                    </a:xfrm>
                    <a:prstGeom prst="rect">
                      <a:avLst/>
                    </a:prstGeom>
                    <a:noFill/>
                  </pic:spPr>
                </pic:pic>
              </a:graphicData>
            </a:graphic>
          </wp:anchor>
        </w:drawing>
      </w:r>
    </w:p>
    <w:p>
      <w:pPr>
        <w:spacing w:after="0" w:line="144" w:lineRule="exact"/>
        <w:rPr>
          <w:sz w:val="20"/>
          <w:szCs w:val="20"/>
          <w:color w:val="auto"/>
        </w:rPr>
      </w:pPr>
    </w:p>
    <w:p>
      <w:pPr>
        <w:ind w:right="540" w:firstLine="511"/>
        <w:spacing w:after="0" w:line="387" w:lineRule="auto"/>
        <w:rPr>
          <w:sz w:val="20"/>
          <w:szCs w:val="20"/>
          <w:color w:val="auto"/>
        </w:rPr>
      </w:pPr>
      <w:r>
        <w:rPr>
          <w:rFonts w:ascii="Arial" w:cs="Arial" w:eastAsia="Arial" w:hAnsi="Arial"/>
          <w:sz w:val="12"/>
          <w:szCs w:val="12"/>
          <w:color w:val="auto"/>
        </w:rPr>
        <w:t>Gross unrealized losses on the Company’s equity and debt securities were $19.2 million and $28.8 million as of September 30, 2023 and December 31, 2022, respectively. The Company did not recognize any credit losses for its available-for-sale debt securities during the three and nine months ended September 30, 2023 and 2022.</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 Fair Value Measurements</w:t>
      </w:r>
    </w:p>
    <w:p>
      <w:pPr>
        <w:spacing w:after="0" w:line="94" w:lineRule="exact"/>
        <w:rPr>
          <w:sz w:val="20"/>
          <w:szCs w:val="20"/>
          <w:color w:val="auto"/>
        </w:rPr>
      </w:pPr>
    </w:p>
    <w:p>
      <w:pPr>
        <w:ind w:firstLine="511"/>
        <w:spacing w:after="0" w:line="246" w:lineRule="auto"/>
        <w:rPr>
          <w:sz w:val="20"/>
          <w:szCs w:val="20"/>
          <w:color w:val="auto"/>
        </w:rPr>
      </w:pPr>
      <w:r>
        <w:rPr>
          <w:rFonts w:ascii="Arial" w:cs="Arial" w:eastAsia="Arial" w:hAnsi="Arial"/>
          <w:sz w:val="15"/>
          <w:szCs w:val="15"/>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85" w:lineRule="exact"/>
        <w:rPr>
          <w:sz w:val="20"/>
          <w:szCs w:val="20"/>
          <w:color w:val="auto"/>
        </w:rPr>
      </w:pPr>
    </w:p>
    <w:p>
      <w:pPr>
        <w:ind w:left="580"/>
        <w:spacing w:after="0"/>
        <w:tabs>
          <w:tab w:leader="none" w:pos="1600" w:val="left"/>
        </w:tabs>
        <w:rPr>
          <w:sz w:val="20"/>
          <w:szCs w:val="20"/>
          <w:color w:val="auto"/>
        </w:rPr>
      </w:pPr>
      <w:r>
        <w:rPr>
          <w:rFonts w:ascii="Arial" w:cs="Arial" w:eastAsia="Arial" w:hAnsi="Arial"/>
          <w:sz w:val="15"/>
          <w:szCs w:val="15"/>
          <w:color w:val="auto"/>
        </w:rPr>
        <w:t>Level 1:</w:t>
      </w:r>
      <w:r>
        <w:rPr>
          <w:sz w:val="20"/>
          <w:szCs w:val="20"/>
          <w:color w:val="auto"/>
        </w:rPr>
        <w:tab/>
      </w:r>
      <w:r>
        <w:rPr>
          <w:rFonts w:ascii="Arial" w:cs="Arial" w:eastAsia="Arial" w:hAnsi="Arial"/>
          <w:sz w:val="12"/>
          <w:szCs w:val="12"/>
          <w:color w:val="auto"/>
        </w:rPr>
        <w:t>Inputs are quoted prices (unadjusted) in active markets for identical assets or liabilities that the reporting entity can access at the measurement date.</w:t>
      </w:r>
    </w:p>
    <w:p>
      <w:pPr>
        <w:spacing w:after="0" w:line="276" w:lineRule="exact"/>
        <w:rPr>
          <w:sz w:val="20"/>
          <w:szCs w:val="20"/>
          <w:color w:val="auto"/>
        </w:rPr>
      </w:pPr>
    </w:p>
    <w:p>
      <w:pPr>
        <w:ind w:left="580"/>
        <w:spacing w:after="0"/>
        <w:tabs>
          <w:tab w:leader="none" w:pos="1600" w:val="left"/>
        </w:tabs>
        <w:rPr>
          <w:sz w:val="20"/>
          <w:szCs w:val="20"/>
          <w:color w:val="auto"/>
        </w:rPr>
      </w:pPr>
      <w:r>
        <w:rPr>
          <w:rFonts w:ascii="Arial" w:cs="Arial" w:eastAsia="Arial" w:hAnsi="Arial"/>
          <w:sz w:val="15"/>
          <w:szCs w:val="15"/>
          <w:color w:val="auto"/>
        </w:rPr>
        <w:t>Level 2:</w:t>
      </w:r>
      <w:r>
        <w:rPr>
          <w:sz w:val="20"/>
          <w:szCs w:val="20"/>
          <w:color w:val="auto"/>
        </w:rPr>
        <w:tab/>
      </w:r>
      <w:r>
        <w:rPr>
          <w:rFonts w:ascii="Arial" w:cs="Arial" w:eastAsia="Arial" w:hAnsi="Arial"/>
          <w:sz w:val="12"/>
          <w:szCs w:val="12"/>
          <w:color w:val="auto"/>
        </w:rPr>
        <w:t>Inputs are inputs other than quoted prices included within Level 1 that are observable for the asset or liability, either directly or indirectly.</w:t>
      </w:r>
    </w:p>
    <w:p>
      <w:pPr>
        <w:spacing w:after="0" w:line="287" w:lineRule="exact"/>
        <w:rPr>
          <w:sz w:val="20"/>
          <w:szCs w:val="20"/>
          <w:color w:val="auto"/>
        </w:rPr>
      </w:pPr>
    </w:p>
    <w:p>
      <w:pPr>
        <w:ind w:left="580"/>
        <w:spacing w:after="0"/>
        <w:tabs>
          <w:tab w:leader="none" w:pos="1600" w:val="left"/>
        </w:tabs>
        <w:rPr>
          <w:sz w:val="20"/>
          <w:szCs w:val="20"/>
          <w:color w:val="auto"/>
        </w:rPr>
      </w:pPr>
      <w:r>
        <w:rPr>
          <w:rFonts w:ascii="Arial" w:cs="Arial" w:eastAsia="Arial" w:hAnsi="Arial"/>
          <w:sz w:val="15"/>
          <w:szCs w:val="15"/>
          <w:color w:val="auto"/>
        </w:rPr>
        <w:t>Level 3:</w:t>
      </w:r>
      <w:r>
        <w:rPr>
          <w:sz w:val="20"/>
          <w:szCs w:val="20"/>
          <w:color w:val="auto"/>
        </w:rPr>
        <w:tab/>
      </w:r>
      <w:r>
        <w:rPr>
          <w:rFonts w:ascii="Arial" w:cs="Arial" w:eastAsia="Arial" w:hAnsi="Arial"/>
          <w:sz w:val="12"/>
          <w:szCs w:val="12"/>
          <w:color w:val="auto"/>
        </w:rPr>
        <w:t>Inputs are unobservable for the asset or liability.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44450</wp:posOffset>
            </wp:positionV>
            <wp:extent cx="7183755" cy="39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13" w:name="page14"/>
    <w:bookmarkEnd w:id="13"/>
    <w:p>
      <w:pPr>
        <w:ind w:left="520"/>
        <w:spacing w:after="0"/>
        <w:rPr>
          <w:sz w:val="20"/>
          <w:szCs w:val="20"/>
          <w:color w:val="auto"/>
        </w:rPr>
      </w:pPr>
      <w:r>
        <w:rPr>
          <w:rFonts w:ascii="Arial" w:cs="Arial" w:eastAsia="Arial" w:hAnsi="Arial"/>
          <w:sz w:val="14"/>
          <w:szCs w:val="14"/>
          <w:color w:val="auto"/>
        </w:rPr>
        <w:t>The following tables present information about the Company’s financial assets measured at fair value on a recurring basis, based on the above three-tier fair value hierarchy: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2"/>
                <w:szCs w:val="12"/>
                <w:b w:val="1"/>
                <w:bCs w:val="1"/>
                <w:color w:val="auto"/>
                <w:w w:val="92"/>
              </w:rPr>
              <w:t>September 30, 2023</w:t>
            </w:r>
          </w:p>
        </w:tc>
        <w:tc>
          <w:tcPr>
            <w:tcW w:w="9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4840" w:type="dxa"/>
            <w:vAlign w:val="bottom"/>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Total</w:t>
            </w:r>
          </w:p>
        </w:tc>
        <w:tc>
          <w:tcPr>
            <w:tcW w:w="5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Level 1</w:t>
            </w: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28"/>
              <w:spacing w:after="0" w:line="133" w:lineRule="exact"/>
              <w:rPr>
                <w:sz w:val="20"/>
                <w:szCs w:val="20"/>
                <w:color w:val="auto"/>
              </w:rPr>
            </w:pPr>
            <w:r>
              <w:rPr>
                <w:rFonts w:ascii="Arial" w:cs="Arial" w:eastAsia="Arial" w:hAnsi="Arial"/>
                <w:sz w:val="12"/>
                <w:szCs w:val="12"/>
                <w:b w:val="1"/>
                <w:bCs w:val="1"/>
                <w:color w:val="auto"/>
              </w:rPr>
              <w:t>Level 2</w:t>
            </w:r>
          </w:p>
        </w:tc>
        <w:tc>
          <w:tcPr>
            <w:tcW w:w="2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48"/>
              <w:spacing w:after="0" w:line="133" w:lineRule="exact"/>
              <w:rPr>
                <w:sz w:val="20"/>
                <w:szCs w:val="20"/>
                <w:color w:val="auto"/>
              </w:rPr>
            </w:pPr>
            <w:r>
              <w:rPr>
                <w:rFonts w:ascii="Arial" w:cs="Arial" w:eastAsia="Arial" w:hAnsi="Arial"/>
                <w:sz w:val="12"/>
                <w:szCs w:val="12"/>
                <w:b w:val="1"/>
                <w:bCs w:val="1"/>
                <w:color w:val="auto"/>
              </w:rPr>
              <w:t>Level 3</w:t>
            </w:r>
          </w:p>
        </w:tc>
        <w:tc>
          <w:tcPr>
            <w:tcW w:w="100" w:type="dxa"/>
            <w:vAlign w:val="bottom"/>
          </w:tcPr>
          <w:p>
            <w:pPr>
              <w:spacing w:after="0"/>
              <w:rPr>
                <w:sz w:val="11"/>
                <w:szCs w:val="11"/>
                <w:color w:val="auto"/>
              </w:rPr>
            </w:pPr>
          </w:p>
        </w:tc>
      </w:tr>
      <w:tr>
        <w:trPr>
          <w:trHeight w:val="133"/>
        </w:trPr>
        <w:tc>
          <w:tcPr>
            <w:tcW w:w="4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jc w:val="right"/>
              <w:ind w:right="50"/>
              <w:spacing w:after="0" w:line="133" w:lineRule="exact"/>
              <w:rPr>
                <w:sz w:val="20"/>
                <w:szCs w:val="20"/>
                <w:color w:val="auto"/>
              </w:rPr>
            </w:pPr>
            <w:r>
              <w:rPr>
                <w:rFonts w:ascii="Arial" w:cs="Arial" w:eastAsia="Arial" w:hAnsi="Arial"/>
                <w:sz w:val="12"/>
                <w:szCs w:val="12"/>
                <w:b w:val="1"/>
                <w:bCs w:val="1"/>
                <w:color w:val="auto"/>
              </w:rPr>
              <w:t>(in</w:t>
            </w:r>
          </w:p>
        </w:tc>
        <w:tc>
          <w:tcPr>
            <w:tcW w:w="680" w:type="dxa"/>
            <w:vAlign w:val="bottom"/>
            <w:gridSpan w:val="2"/>
          </w:tcPr>
          <w:p>
            <w:pPr>
              <w:jc w:val="right"/>
              <w:ind w:right="147"/>
              <w:spacing w:after="0"/>
              <w:rPr>
                <w:sz w:val="20"/>
                <w:szCs w:val="20"/>
                <w:color w:val="auto"/>
              </w:rPr>
            </w:pPr>
            <w:r>
              <w:rPr>
                <w:rFonts w:ascii="Arial" w:cs="Arial" w:eastAsia="Arial" w:hAnsi="Arial"/>
                <w:sz w:val="10"/>
                <w:szCs w:val="10"/>
                <w:b w:val="1"/>
                <w:bCs w:val="1"/>
                <w:color w:val="auto"/>
                <w:w w:val="81"/>
              </w:rPr>
              <w:t>thousands)</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7"/>
        </w:trPr>
        <w:tc>
          <w:tcPr>
            <w:tcW w:w="48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Equity securities, debt securities and cash equivalents:</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160"/>
              <w:spacing w:after="0"/>
              <w:rPr>
                <w:sz w:val="20"/>
                <w:szCs w:val="20"/>
                <w:color w:val="auto"/>
              </w:rPr>
            </w:pPr>
            <w:r>
              <w:rPr>
                <w:rFonts w:ascii="Arial" w:cs="Arial" w:eastAsia="Arial" w:hAnsi="Arial"/>
                <w:sz w:val="15"/>
                <w:szCs w:val="15"/>
                <w:color w:val="auto"/>
              </w:rPr>
              <w:t>U.S. government debt securities</w:t>
            </w:r>
          </w:p>
        </w:tc>
        <w:tc>
          <w:tcPr>
            <w:tcW w:w="860" w:type="dxa"/>
            <w:vAlign w:val="bottom"/>
          </w:tcPr>
          <w:p>
            <w:pPr>
              <w:jc w:val="right"/>
              <w:ind w:right="712"/>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2"/>
              </w:rPr>
              <w:t>360,988</w:t>
            </w:r>
          </w:p>
        </w:tc>
        <w:tc>
          <w:tcPr>
            <w:tcW w:w="1220" w:type="dxa"/>
            <w:vAlign w:val="bottom"/>
            <w:gridSpan w:val="2"/>
          </w:tcPr>
          <w:p>
            <w:pPr>
              <w:jc w:val="right"/>
              <w:ind w:right="774"/>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47"/>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360,988</w:t>
            </w:r>
          </w:p>
        </w:tc>
        <w:tc>
          <w:tcPr>
            <w:tcW w:w="560" w:type="dxa"/>
            <w:vAlign w:val="bottom"/>
            <w:gridSpan w:val="2"/>
          </w:tcPr>
          <w:p>
            <w:pPr>
              <w:jc w:val="right"/>
              <w:ind w:right="147"/>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160"/>
              <w:spacing w:after="0"/>
              <w:rPr>
                <w:sz w:val="20"/>
                <w:szCs w:val="20"/>
                <w:color w:val="auto"/>
              </w:rPr>
            </w:pPr>
            <w:r>
              <w:rPr>
                <w:rFonts w:ascii="Arial" w:cs="Arial" w:eastAsia="Arial" w:hAnsi="Arial"/>
                <w:sz w:val="15"/>
                <w:szCs w:val="15"/>
                <w:color w:val="auto"/>
              </w:rPr>
              <w:t>U.S. agency debt securities</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2"/>
              </w:rPr>
              <w:t>230,688</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230,688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160"/>
              <w:spacing w:after="0"/>
              <w:rPr>
                <w:sz w:val="20"/>
                <w:szCs w:val="20"/>
                <w:color w:val="auto"/>
              </w:rPr>
            </w:pPr>
            <w:r>
              <w:rPr>
                <w:rFonts w:ascii="Arial" w:cs="Arial" w:eastAsia="Arial" w:hAnsi="Arial"/>
                <w:sz w:val="15"/>
                <w:szCs w:val="15"/>
                <w:color w:val="auto"/>
              </w:rPr>
              <w:t>Corporate debt securities</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99,005</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99,005</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160"/>
              <w:spacing w:after="0"/>
              <w:rPr>
                <w:sz w:val="20"/>
                <w:szCs w:val="20"/>
                <w:color w:val="auto"/>
              </w:rPr>
            </w:pPr>
            <w:r>
              <w:rPr>
                <w:rFonts w:ascii="Arial" w:cs="Arial" w:eastAsia="Arial" w:hAnsi="Arial"/>
                <w:sz w:val="15"/>
                <w:szCs w:val="15"/>
                <w:color w:val="auto"/>
              </w:rPr>
              <w:t>U.S. treasury bills</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61,738</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61,738</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160"/>
              <w:spacing w:after="0"/>
              <w:rPr>
                <w:sz w:val="20"/>
                <w:szCs w:val="20"/>
                <w:color w:val="auto"/>
              </w:rPr>
            </w:pPr>
            <w:r>
              <w:rPr>
                <w:rFonts w:ascii="Arial" w:cs="Arial" w:eastAsia="Arial" w:hAnsi="Arial"/>
                <w:sz w:val="15"/>
                <w:szCs w:val="15"/>
                <w:color w:val="auto"/>
              </w:rPr>
              <w:t>Money market accounts</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33,318</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33,318</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160"/>
              <w:spacing w:after="0"/>
              <w:rPr>
                <w:sz w:val="20"/>
                <w:szCs w:val="20"/>
                <w:color w:val="auto"/>
              </w:rPr>
            </w:pPr>
            <w:r>
              <w:rPr>
                <w:rFonts w:ascii="Arial" w:cs="Arial" w:eastAsia="Arial" w:hAnsi="Arial"/>
                <w:sz w:val="15"/>
                <w:szCs w:val="15"/>
                <w:color w:val="auto"/>
              </w:rPr>
              <w:t>Municipal bonds</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14,298</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14,298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160"/>
              <w:spacing w:after="0"/>
              <w:rPr>
                <w:sz w:val="20"/>
                <w:szCs w:val="20"/>
                <w:color w:val="auto"/>
              </w:rPr>
            </w:pPr>
            <w:r>
              <w:rPr>
                <w:rFonts w:ascii="Arial" w:cs="Arial" w:eastAsia="Arial" w:hAnsi="Arial"/>
                <w:sz w:val="15"/>
                <w:szCs w:val="15"/>
                <w:color w:val="auto"/>
              </w:rPr>
              <w:t>Preferred stock of privately held company</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15,000</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160"/>
              <w:spacing w:after="0"/>
              <w:rPr>
                <w:sz w:val="20"/>
                <w:szCs w:val="20"/>
                <w:color w:val="auto"/>
              </w:rPr>
            </w:pPr>
            <w:r>
              <w:rPr>
                <w:rFonts w:ascii="Arial" w:cs="Arial" w:eastAsia="Arial" w:hAnsi="Arial"/>
                <w:sz w:val="15"/>
                <w:szCs w:val="15"/>
                <w:color w:val="auto"/>
              </w:rPr>
              <w:t>Redeemable preferred stock investment</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15,158</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15,158</w:t>
            </w:r>
          </w:p>
        </w:tc>
        <w:tc>
          <w:tcPr>
            <w:tcW w:w="100" w:type="dxa"/>
            <w:vAlign w:val="bottom"/>
            <w:shd w:val="clear" w:color="auto" w:fill="CFF0FC"/>
          </w:tcPr>
          <w:p>
            <w:pPr>
              <w:spacing w:after="0"/>
              <w:rPr>
                <w:sz w:val="17"/>
                <w:szCs w:val="17"/>
                <w:color w:val="auto"/>
              </w:rPr>
            </w:pPr>
          </w:p>
        </w:tc>
      </w:tr>
      <w:tr>
        <w:trPr>
          <w:trHeight w:val="197"/>
        </w:trPr>
        <w:tc>
          <w:tcPr>
            <w:tcW w:w="4840" w:type="dxa"/>
            <w:vAlign w:val="bottom"/>
          </w:tcPr>
          <w:p>
            <w:pPr>
              <w:ind w:left="160"/>
              <w:spacing w:after="0"/>
              <w:rPr>
                <w:sz w:val="20"/>
                <w:szCs w:val="20"/>
                <w:color w:val="auto"/>
              </w:rPr>
            </w:pPr>
            <w:r>
              <w:rPr>
                <w:rFonts w:ascii="Arial" w:cs="Arial" w:eastAsia="Arial" w:hAnsi="Arial"/>
                <w:sz w:val="15"/>
                <w:szCs w:val="15"/>
                <w:color w:val="auto"/>
              </w:rPr>
              <w:t>Yankee debt securities</w:t>
            </w: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668</w:t>
            </w:r>
          </w:p>
        </w:tc>
        <w:tc>
          <w:tcPr>
            <w:tcW w:w="3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668</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r>
      <w:tr>
        <w:trPr>
          <w:trHeight w:val="228"/>
        </w:trPr>
        <w:tc>
          <w:tcPr>
            <w:tcW w:w="48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5"/>
                <w:szCs w:val="15"/>
                <w:color w:val="auto"/>
              </w:rPr>
              <w:t>Total equity securities, debt securities and cash equivalents</w:t>
            </w:r>
          </w:p>
        </w:tc>
        <w:tc>
          <w:tcPr>
            <w:tcW w:w="860" w:type="dxa"/>
            <w:vAlign w:val="bottom"/>
            <w:tcBorders>
              <w:bottom w:val="single" w:sz="8" w:color="auto"/>
            </w:tcBorders>
            <w:shd w:val="clear" w:color="auto" w:fill="CFF0FC"/>
          </w:tcPr>
          <w:p>
            <w:pPr>
              <w:jc w:val="right"/>
              <w:ind w:right="712"/>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2"/>
              </w:rPr>
              <w:t>830,861</w:t>
            </w:r>
          </w:p>
        </w:tc>
        <w:tc>
          <w:tcPr>
            <w:tcW w:w="3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95,056</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705,647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30,158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90"/>
        </w:trPr>
        <w:tc>
          <w:tcPr>
            <w:tcW w:w="48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2"/>
                <w:szCs w:val="12"/>
                <w:b w:val="1"/>
                <w:bCs w:val="1"/>
                <w:color w:val="auto"/>
                <w:w w:val="94"/>
              </w:rPr>
              <w:t>December 31, 2022</w:t>
            </w: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4840" w:type="dxa"/>
            <w:vAlign w:val="bottom"/>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Total</w:t>
            </w:r>
          </w:p>
        </w:tc>
        <w:tc>
          <w:tcPr>
            <w:tcW w:w="5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Level 1</w:t>
            </w: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28"/>
              <w:spacing w:after="0" w:line="133" w:lineRule="exact"/>
              <w:rPr>
                <w:sz w:val="20"/>
                <w:szCs w:val="20"/>
                <w:color w:val="auto"/>
              </w:rPr>
            </w:pPr>
            <w:r>
              <w:rPr>
                <w:rFonts w:ascii="Arial" w:cs="Arial" w:eastAsia="Arial" w:hAnsi="Arial"/>
                <w:sz w:val="12"/>
                <w:szCs w:val="12"/>
                <w:b w:val="1"/>
                <w:bCs w:val="1"/>
                <w:color w:val="auto"/>
              </w:rPr>
              <w:t>Level 2</w:t>
            </w:r>
          </w:p>
        </w:tc>
        <w:tc>
          <w:tcPr>
            <w:tcW w:w="2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48"/>
              <w:spacing w:after="0" w:line="133" w:lineRule="exact"/>
              <w:rPr>
                <w:sz w:val="20"/>
                <w:szCs w:val="20"/>
                <w:color w:val="auto"/>
              </w:rPr>
            </w:pPr>
            <w:r>
              <w:rPr>
                <w:rFonts w:ascii="Arial" w:cs="Arial" w:eastAsia="Arial" w:hAnsi="Arial"/>
                <w:sz w:val="12"/>
                <w:szCs w:val="12"/>
                <w:b w:val="1"/>
                <w:bCs w:val="1"/>
                <w:color w:val="auto"/>
              </w:rPr>
              <w:t>Level 3</w:t>
            </w:r>
          </w:p>
        </w:tc>
        <w:tc>
          <w:tcPr>
            <w:tcW w:w="100" w:type="dxa"/>
            <w:vAlign w:val="bottom"/>
          </w:tcPr>
          <w:p>
            <w:pPr>
              <w:spacing w:after="0"/>
              <w:rPr>
                <w:sz w:val="11"/>
                <w:szCs w:val="11"/>
                <w:color w:val="auto"/>
              </w:rPr>
            </w:pPr>
          </w:p>
        </w:tc>
      </w:tr>
      <w:tr>
        <w:trPr>
          <w:trHeight w:val="133"/>
        </w:trPr>
        <w:tc>
          <w:tcPr>
            <w:tcW w:w="4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jc w:val="right"/>
              <w:ind w:right="50"/>
              <w:spacing w:after="0" w:line="133" w:lineRule="exact"/>
              <w:rPr>
                <w:sz w:val="20"/>
                <w:szCs w:val="20"/>
                <w:color w:val="auto"/>
              </w:rPr>
            </w:pPr>
            <w:r>
              <w:rPr>
                <w:rFonts w:ascii="Arial" w:cs="Arial" w:eastAsia="Arial" w:hAnsi="Arial"/>
                <w:sz w:val="12"/>
                <w:szCs w:val="12"/>
                <w:b w:val="1"/>
                <w:bCs w:val="1"/>
                <w:color w:val="auto"/>
              </w:rPr>
              <w:t>(in</w:t>
            </w:r>
          </w:p>
        </w:tc>
        <w:tc>
          <w:tcPr>
            <w:tcW w:w="680" w:type="dxa"/>
            <w:vAlign w:val="bottom"/>
            <w:gridSpan w:val="2"/>
          </w:tcPr>
          <w:p>
            <w:pPr>
              <w:jc w:val="right"/>
              <w:ind w:right="147"/>
              <w:spacing w:after="0"/>
              <w:rPr>
                <w:sz w:val="20"/>
                <w:szCs w:val="20"/>
                <w:color w:val="auto"/>
              </w:rPr>
            </w:pPr>
            <w:r>
              <w:rPr>
                <w:rFonts w:ascii="Arial" w:cs="Arial" w:eastAsia="Arial" w:hAnsi="Arial"/>
                <w:sz w:val="10"/>
                <w:szCs w:val="10"/>
                <w:b w:val="1"/>
                <w:bCs w:val="1"/>
                <w:color w:val="auto"/>
                <w:w w:val="81"/>
              </w:rPr>
              <w:t>thousands)</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7"/>
        </w:trPr>
        <w:tc>
          <w:tcPr>
            <w:tcW w:w="48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Equity securities, debt securities and cash equivalents:</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160"/>
              <w:spacing w:after="0"/>
              <w:rPr>
                <w:sz w:val="20"/>
                <w:szCs w:val="20"/>
                <w:color w:val="auto"/>
              </w:rPr>
            </w:pPr>
            <w:r>
              <w:rPr>
                <w:rFonts w:ascii="Arial" w:cs="Arial" w:eastAsia="Arial" w:hAnsi="Arial"/>
                <w:sz w:val="15"/>
                <w:szCs w:val="15"/>
                <w:color w:val="auto"/>
              </w:rPr>
              <w:t>U.S. government debt securities</w:t>
            </w:r>
          </w:p>
        </w:tc>
        <w:tc>
          <w:tcPr>
            <w:tcW w:w="860" w:type="dxa"/>
            <w:vAlign w:val="bottom"/>
          </w:tcPr>
          <w:p>
            <w:pPr>
              <w:jc w:val="right"/>
              <w:ind w:right="712"/>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2"/>
              </w:rPr>
              <w:t>332,048</w:t>
            </w:r>
          </w:p>
        </w:tc>
        <w:tc>
          <w:tcPr>
            <w:tcW w:w="1220" w:type="dxa"/>
            <w:vAlign w:val="bottom"/>
            <w:gridSpan w:val="2"/>
          </w:tcPr>
          <w:p>
            <w:pPr>
              <w:jc w:val="right"/>
              <w:ind w:right="774"/>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47"/>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332,048</w:t>
            </w:r>
          </w:p>
        </w:tc>
        <w:tc>
          <w:tcPr>
            <w:tcW w:w="560" w:type="dxa"/>
            <w:vAlign w:val="bottom"/>
            <w:gridSpan w:val="2"/>
          </w:tcPr>
          <w:p>
            <w:pPr>
              <w:jc w:val="right"/>
              <w:ind w:right="147"/>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160"/>
              <w:spacing w:after="0"/>
              <w:rPr>
                <w:sz w:val="20"/>
                <w:szCs w:val="20"/>
                <w:color w:val="auto"/>
              </w:rPr>
            </w:pPr>
            <w:r>
              <w:rPr>
                <w:rFonts w:ascii="Arial" w:cs="Arial" w:eastAsia="Arial" w:hAnsi="Arial"/>
                <w:sz w:val="15"/>
                <w:szCs w:val="15"/>
                <w:color w:val="auto"/>
              </w:rPr>
              <w:t>Corporate debt securities</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2"/>
              </w:rPr>
              <w:t>194,149</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194,149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160"/>
              <w:spacing w:after="0"/>
              <w:rPr>
                <w:sz w:val="20"/>
                <w:szCs w:val="20"/>
                <w:color w:val="auto"/>
              </w:rPr>
            </w:pPr>
            <w:r>
              <w:rPr>
                <w:rFonts w:ascii="Arial" w:cs="Arial" w:eastAsia="Arial" w:hAnsi="Arial"/>
                <w:sz w:val="15"/>
                <w:szCs w:val="15"/>
                <w:color w:val="auto"/>
              </w:rPr>
              <w:t>U.S. agency debt securities</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2"/>
              </w:rPr>
              <w:t>156,688</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156,688</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160"/>
              <w:spacing w:after="0"/>
              <w:rPr>
                <w:sz w:val="20"/>
                <w:szCs w:val="20"/>
                <w:color w:val="auto"/>
              </w:rPr>
            </w:pPr>
            <w:r>
              <w:rPr>
                <w:rFonts w:ascii="Arial" w:cs="Arial" w:eastAsia="Arial" w:hAnsi="Arial"/>
                <w:sz w:val="15"/>
                <w:szCs w:val="15"/>
                <w:color w:val="auto"/>
              </w:rPr>
              <w:t>U.S. treasury bills</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69,798</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69,798</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160"/>
              <w:spacing w:after="0"/>
              <w:rPr>
                <w:sz w:val="20"/>
                <w:szCs w:val="20"/>
                <w:color w:val="auto"/>
              </w:rPr>
            </w:pPr>
            <w:r>
              <w:rPr>
                <w:rFonts w:ascii="Arial" w:cs="Arial" w:eastAsia="Arial" w:hAnsi="Arial"/>
                <w:sz w:val="15"/>
                <w:szCs w:val="15"/>
                <w:color w:val="auto"/>
              </w:rPr>
              <w:t>Money market accounts</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27,455</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27,455</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160"/>
              <w:spacing w:after="0"/>
              <w:rPr>
                <w:sz w:val="20"/>
                <w:szCs w:val="20"/>
                <w:color w:val="auto"/>
              </w:rPr>
            </w:pPr>
            <w:r>
              <w:rPr>
                <w:rFonts w:ascii="Arial" w:cs="Arial" w:eastAsia="Arial" w:hAnsi="Arial"/>
                <w:sz w:val="15"/>
                <w:szCs w:val="15"/>
                <w:color w:val="auto"/>
              </w:rPr>
              <w:t>Municipal bonds</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22,673</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22,673</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r>
      <w:tr>
        <w:trPr>
          <w:trHeight w:val="191"/>
        </w:trPr>
        <w:tc>
          <w:tcPr>
            <w:tcW w:w="4840" w:type="dxa"/>
            <w:vAlign w:val="bottom"/>
          </w:tcPr>
          <w:p>
            <w:pPr>
              <w:ind w:left="160"/>
              <w:spacing w:after="0"/>
              <w:rPr>
                <w:sz w:val="20"/>
                <w:szCs w:val="20"/>
                <w:color w:val="auto"/>
              </w:rPr>
            </w:pPr>
            <w:r>
              <w:rPr>
                <w:rFonts w:ascii="Arial" w:cs="Arial" w:eastAsia="Arial" w:hAnsi="Arial"/>
                <w:sz w:val="15"/>
                <w:szCs w:val="15"/>
                <w:color w:val="auto"/>
              </w:rPr>
              <w:t>Preferred stock of privately held company</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15,000</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r>
      <w:tr>
        <w:trPr>
          <w:trHeight w:val="202"/>
        </w:trPr>
        <w:tc>
          <w:tcPr>
            <w:tcW w:w="4840" w:type="dxa"/>
            <w:vAlign w:val="bottom"/>
            <w:shd w:val="clear" w:color="auto" w:fill="CFF0FC"/>
          </w:tcPr>
          <w:p>
            <w:pPr>
              <w:ind w:left="160"/>
              <w:spacing w:after="0"/>
              <w:rPr>
                <w:sz w:val="20"/>
                <w:szCs w:val="20"/>
                <w:color w:val="auto"/>
              </w:rPr>
            </w:pPr>
            <w:r>
              <w:rPr>
                <w:rFonts w:ascii="Arial" w:cs="Arial" w:eastAsia="Arial" w:hAnsi="Arial"/>
                <w:sz w:val="15"/>
                <w:szCs w:val="15"/>
                <w:color w:val="auto"/>
              </w:rPr>
              <w:t>Redeemable preferred stock investment</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12,385</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12,385</w:t>
            </w:r>
          </w:p>
        </w:tc>
        <w:tc>
          <w:tcPr>
            <w:tcW w:w="100" w:type="dxa"/>
            <w:vAlign w:val="bottom"/>
            <w:shd w:val="clear" w:color="auto" w:fill="CFF0FC"/>
          </w:tcPr>
          <w:p>
            <w:pPr>
              <w:spacing w:after="0"/>
              <w:rPr>
                <w:sz w:val="17"/>
                <w:szCs w:val="17"/>
                <w:color w:val="auto"/>
              </w:rPr>
            </w:pPr>
          </w:p>
        </w:tc>
      </w:tr>
      <w:tr>
        <w:trPr>
          <w:trHeight w:val="197"/>
        </w:trPr>
        <w:tc>
          <w:tcPr>
            <w:tcW w:w="4840" w:type="dxa"/>
            <w:vAlign w:val="bottom"/>
          </w:tcPr>
          <w:p>
            <w:pPr>
              <w:ind w:left="160"/>
              <w:spacing w:after="0"/>
              <w:rPr>
                <w:sz w:val="20"/>
                <w:szCs w:val="20"/>
                <w:color w:val="auto"/>
              </w:rPr>
            </w:pPr>
            <w:r>
              <w:rPr>
                <w:rFonts w:ascii="Arial" w:cs="Arial" w:eastAsia="Arial" w:hAnsi="Arial"/>
                <w:sz w:val="15"/>
                <w:szCs w:val="15"/>
                <w:color w:val="auto"/>
              </w:rPr>
              <w:t>Yankee debt securities</w:t>
            </w: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3,010</w:t>
            </w:r>
          </w:p>
        </w:tc>
        <w:tc>
          <w:tcPr>
            <w:tcW w:w="3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3,010</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r>
      <w:tr>
        <w:trPr>
          <w:trHeight w:val="228"/>
        </w:trPr>
        <w:tc>
          <w:tcPr>
            <w:tcW w:w="48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5"/>
                <w:szCs w:val="15"/>
                <w:color w:val="auto"/>
              </w:rPr>
              <w:t>Total equity securities, debt securities and cash equivalents</w:t>
            </w:r>
          </w:p>
        </w:tc>
        <w:tc>
          <w:tcPr>
            <w:tcW w:w="860" w:type="dxa"/>
            <w:vAlign w:val="bottom"/>
            <w:tcBorders>
              <w:bottom w:val="single" w:sz="8" w:color="auto"/>
            </w:tcBorders>
            <w:shd w:val="clear" w:color="auto" w:fill="CFF0FC"/>
          </w:tcPr>
          <w:p>
            <w:pPr>
              <w:jc w:val="right"/>
              <w:ind w:right="712"/>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2"/>
              </w:rPr>
              <w:t>833,206</w:t>
            </w:r>
          </w:p>
        </w:tc>
        <w:tc>
          <w:tcPr>
            <w:tcW w:w="3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97,253</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708,568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27,385</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-1818640</wp:posOffset>
            </wp:positionV>
            <wp:extent cx="7620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-1804670</wp:posOffset>
            </wp:positionV>
            <wp:extent cx="7620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-1818640</wp:posOffset>
            </wp:positionV>
            <wp:extent cx="7620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-1804670</wp:posOffset>
            </wp:positionV>
            <wp:extent cx="7620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-1818640</wp:posOffset>
            </wp:positionV>
            <wp:extent cx="6921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-1804670</wp:posOffset>
            </wp:positionV>
            <wp:extent cx="6921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-1818640</wp:posOffset>
            </wp:positionV>
            <wp:extent cx="6921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-1804670</wp:posOffset>
            </wp:positionV>
            <wp:extent cx="6921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-20320</wp:posOffset>
            </wp:positionV>
            <wp:extent cx="7620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-6350</wp:posOffset>
            </wp:positionV>
            <wp:extent cx="7620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-20320</wp:posOffset>
            </wp:positionV>
            <wp:extent cx="7620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-6350</wp:posOffset>
            </wp:positionV>
            <wp:extent cx="7620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-20320</wp:posOffset>
            </wp:positionV>
            <wp:extent cx="6921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-6350</wp:posOffset>
            </wp:positionV>
            <wp:extent cx="6921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-20320</wp:posOffset>
            </wp:positionV>
            <wp:extent cx="6921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-6350</wp:posOffset>
            </wp:positionV>
            <wp:extent cx="6921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215" cy="6985"/>
                    </a:xfrm>
                    <a:prstGeom prst="rect">
                      <a:avLst/>
                    </a:prstGeom>
                    <a:noFill/>
                  </pic:spPr>
                </pic:pic>
              </a:graphicData>
            </a:graphic>
          </wp:anchor>
        </w:drawing>
      </w:r>
    </w:p>
    <w:p>
      <w:pPr>
        <w:spacing w:after="0" w:line="144" w:lineRule="exact"/>
        <w:rPr>
          <w:sz w:val="20"/>
          <w:szCs w:val="20"/>
          <w:color w:val="auto"/>
        </w:rPr>
      </w:pPr>
    </w:p>
    <w:p>
      <w:pPr>
        <w:ind w:right="80" w:firstLine="511"/>
        <w:spacing w:after="0" w:line="318" w:lineRule="auto"/>
        <w:rPr>
          <w:sz w:val="20"/>
          <w:szCs w:val="20"/>
          <w:color w:val="auto"/>
        </w:rPr>
      </w:pPr>
      <w:r>
        <w:rPr>
          <w:rFonts w:ascii="Arial" w:cs="Arial" w:eastAsia="Arial" w:hAnsi="Arial"/>
          <w:sz w:val="12"/>
          <w:szCs w:val="12"/>
          <w:color w:val="auto"/>
        </w:rPr>
        <w:t>The Company’s Level 1 assets include U.S. treasury bills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September 30, 2023, the Company had preferred stock of a privately held company, which was included in other long-term assets in the accompanying Condensed Consolidated Balance Sheets, and redeemable preferred stock of a private company that were measured using unobservable (Level 3) inputs. The fair value of redeemable preferred stock as of September 30, 2023 and December 31, 2022 was based on valuation performed by a third-party valuation company utilizing the guideline public company method under market approach and the discounted cash flow method under income approach. For the value of the investment in private equity securities, the Company elected to measure it at cost minus impairment, as the preferred stock of the privately held company did not have a readily determinable fair value, and no impairment loss was recorded as of September 30, 2023.</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There were no transfers between fair value measurement levels during the three and nine months ended September 30, 2023 and 2022.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t>Note 5. Fixed Assets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Major classes of fixed assets consisted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September 30,</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December 31,</w:t>
            </w:r>
          </w:p>
        </w:tc>
      </w:tr>
      <w:tr>
        <w:trPr>
          <w:trHeight w:val="133"/>
        </w:trPr>
        <w:tc>
          <w:tcPr>
            <w:tcW w:w="3140" w:type="dxa"/>
            <w:vAlign w:val="bottom"/>
          </w:tcPr>
          <w:p>
            <w:pPr>
              <w:spacing w:after="0"/>
              <w:rPr>
                <w:sz w:val="11"/>
                <w:szCs w:val="11"/>
                <w:color w:val="auto"/>
              </w:rPr>
            </w:pPr>
          </w:p>
        </w:tc>
        <w:tc>
          <w:tcPr>
            <w:tcW w:w="420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4"/>
              </w:rPr>
              <w:t>Useful Lives</w:t>
            </w:r>
          </w:p>
        </w:tc>
        <w:tc>
          <w:tcPr>
            <w:tcW w:w="1260" w:type="dxa"/>
            <w:vAlign w:val="bottom"/>
            <w:tcBorders>
              <w:top w:val="single" w:sz="8" w:color="auto"/>
              <w:bottom w:val="single" w:sz="8" w:color="auto"/>
            </w:tcBorders>
          </w:tcPr>
          <w:p>
            <w:pPr>
              <w:jc w:val="right"/>
              <w:ind w:right="194"/>
              <w:spacing w:after="0" w:line="133" w:lineRule="exact"/>
              <w:rPr>
                <w:sz w:val="20"/>
                <w:szCs w:val="20"/>
                <w:color w:val="auto"/>
              </w:rPr>
            </w:pPr>
            <w:r>
              <w:rPr>
                <w:rFonts w:ascii="Arial" w:cs="Arial" w:eastAsia="Arial" w:hAnsi="Arial"/>
                <w:sz w:val="12"/>
                <w:szCs w:val="12"/>
                <w:b w:val="1"/>
                <w:bCs w:val="1"/>
                <w:color w:val="auto"/>
              </w:rPr>
              <w:t>2023</w:t>
            </w:r>
          </w:p>
        </w:tc>
        <w:tc>
          <w:tcPr>
            <w:tcW w:w="520" w:type="dxa"/>
            <w:vAlign w:val="bottom"/>
            <w:tcBorders>
              <w:top w:val="single" w:sz="8" w:color="auto"/>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jc w:val="right"/>
              <w:ind w:right="709"/>
              <w:spacing w:after="0" w:line="133" w:lineRule="exact"/>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1"/>
                <w:szCs w:val="11"/>
                <w:color w:val="auto"/>
              </w:rPr>
            </w:pPr>
          </w:p>
        </w:tc>
      </w:tr>
      <w:tr>
        <w:trPr>
          <w:trHeight w:val="133"/>
        </w:trPr>
        <w:tc>
          <w:tcPr>
            <w:tcW w:w="31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jc w:val="right"/>
              <w:ind w:right="8"/>
              <w:spacing w:after="0" w:line="133" w:lineRule="exact"/>
              <w:rPr>
                <w:sz w:val="20"/>
                <w:szCs w:val="20"/>
                <w:color w:val="auto"/>
              </w:rPr>
            </w:pPr>
            <w:r>
              <w:rPr>
                <w:rFonts w:ascii="Arial" w:cs="Arial" w:eastAsia="Arial" w:hAnsi="Arial"/>
                <w:sz w:val="12"/>
                <w:szCs w:val="12"/>
                <w:b w:val="1"/>
                <w:bCs w:val="1"/>
                <w:color w:val="auto"/>
              </w:rPr>
              <w:t>(in</w:t>
            </w:r>
          </w:p>
        </w:tc>
        <w:tc>
          <w:tcPr>
            <w:tcW w:w="660" w:type="dxa"/>
            <w:vAlign w:val="bottom"/>
            <w:gridSpan w:val="2"/>
          </w:tcPr>
          <w:p>
            <w:pPr>
              <w:jc w:val="right"/>
              <w:ind w:right="87"/>
              <w:spacing w:after="0" w:line="133" w:lineRule="exact"/>
              <w:rPr>
                <w:sz w:val="20"/>
                <w:szCs w:val="20"/>
                <w:color w:val="auto"/>
              </w:rPr>
            </w:pPr>
            <w:r>
              <w:rPr>
                <w:rFonts w:ascii="Arial" w:cs="Arial" w:eastAsia="Arial" w:hAnsi="Arial"/>
                <w:sz w:val="12"/>
                <w:szCs w:val="12"/>
                <w:b w:val="1"/>
                <w:bCs w:val="1"/>
                <w:color w:val="auto"/>
                <w:w w:val="74"/>
              </w:rPr>
              <w:t>thousands)</w:t>
            </w: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7"/>
        </w:trPr>
        <w:tc>
          <w:tcPr>
            <w:tcW w:w="3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Medical lab equipment</w:t>
            </w:r>
          </w:p>
        </w:tc>
        <w:tc>
          <w:tcPr>
            <w:tcW w:w="420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6"/>
              </w:rPr>
              <w:t>5 months to 12 Years</w:t>
            </w:r>
          </w:p>
        </w:tc>
        <w:tc>
          <w:tcPr>
            <w:tcW w:w="1260" w:type="dxa"/>
            <w:vAlign w:val="bottom"/>
            <w:shd w:val="clear" w:color="auto" w:fill="CFF0FC"/>
          </w:tcPr>
          <w:p>
            <w:pPr>
              <w:jc w:val="right"/>
              <w:ind w:right="111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50,898</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53,503</w:t>
            </w:r>
          </w:p>
        </w:tc>
        <w:tc>
          <w:tcPr>
            <w:tcW w:w="100" w:type="dxa"/>
            <w:vAlign w:val="bottom"/>
            <w:shd w:val="clear" w:color="auto" w:fill="CFF0FC"/>
          </w:tcPr>
          <w:p>
            <w:pPr>
              <w:spacing w:after="0"/>
              <w:rPr>
                <w:sz w:val="17"/>
                <w:szCs w:val="17"/>
                <w:color w:val="auto"/>
              </w:rPr>
            </w:pPr>
          </w:p>
        </w:tc>
      </w:tr>
      <w:tr>
        <w:trPr>
          <w:trHeight w:val="191"/>
        </w:trPr>
        <w:tc>
          <w:tcPr>
            <w:tcW w:w="3140" w:type="dxa"/>
            <w:vAlign w:val="bottom"/>
          </w:tcPr>
          <w:p>
            <w:pPr>
              <w:ind w:left="20"/>
              <w:spacing w:after="0"/>
              <w:rPr>
                <w:sz w:val="20"/>
                <w:szCs w:val="20"/>
                <w:color w:val="auto"/>
              </w:rPr>
            </w:pPr>
            <w:r>
              <w:rPr>
                <w:rFonts w:ascii="Arial" w:cs="Arial" w:eastAsia="Arial" w:hAnsi="Arial"/>
                <w:sz w:val="15"/>
                <w:szCs w:val="15"/>
                <w:color w:val="auto"/>
              </w:rPr>
              <w:t>Leasehold improvements</w:t>
            </w:r>
          </w:p>
        </w:tc>
        <w:tc>
          <w:tcPr>
            <w:tcW w:w="4200" w:type="dxa"/>
            <w:vAlign w:val="bottom"/>
          </w:tcPr>
          <w:p>
            <w:pPr>
              <w:jc w:val="center"/>
              <w:spacing w:after="0"/>
              <w:rPr>
                <w:sz w:val="20"/>
                <w:szCs w:val="20"/>
                <w:color w:val="auto"/>
              </w:rPr>
            </w:pPr>
            <w:r>
              <w:rPr>
                <w:rFonts w:ascii="Arial" w:cs="Arial" w:eastAsia="Arial" w:hAnsi="Arial"/>
                <w:sz w:val="15"/>
                <w:szCs w:val="15"/>
                <w:color w:val="auto"/>
                <w:w w:val="88"/>
              </w:rPr>
              <w:t>Shorter of lease term or estimated useful life</w:t>
            </w:r>
          </w:p>
        </w:tc>
        <w:tc>
          <w:tcPr>
            <w:tcW w:w="1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11,065</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11,804</w:t>
            </w:r>
          </w:p>
        </w:tc>
        <w:tc>
          <w:tcPr>
            <w:tcW w:w="100" w:type="dxa"/>
            <w:vAlign w:val="bottom"/>
          </w:tcPr>
          <w:p>
            <w:pPr>
              <w:spacing w:after="0"/>
              <w:rPr>
                <w:sz w:val="16"/>
                <w:szCs w:val="16"/>
                <w:color w:val="auto"/>
              </w:rPr>
            </w:pPr>
          </w:p>
        </w:tc>
      </w:tr>
      <w:tr>
        <w:trPr>
          <w:trHeight w:val="202"/>
        </w:trPr>
        <w:tc>
          <w:tcPr>
            <w:tcW w:w="3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Building</w:t>
            </w:r>
          </w:p>
        </w:tc>
        <w:tc>
          <w:tcPr>
            <w:tcW w:w="420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6"/>
              </w:rPr>
              <w:t>39 Years</w:t>
            </w:r>
          </w:p>
        </w:tc>
        <w:tc>
          <w:tcPr>
            <w:tcW w:w="12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9,781</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6,731</w:t>
            </w:r>
          </w:p>
        </w:tc>
        <w:tc>
          <w:tcPr>
            <w:tcW w:w="100" w:type="dxa"/>
            <w:vAlign w:val="bottom"/>
            <w:shd w:val="clear" w:color="auto" w:fill="CFF0FC"/>
          </w:tcPr>
          <w:p>
            <w:pPr>
              <w:spacing w:after="0"/>
              <w:rPr>
                <w:sz w:val="17"/>
                <w:szCs w:val="17"/>
                <w:color w:val="auto"/>
              </w:rPr>
            </w:pPr>
          </w:p>
        </w:tc>
      </w:tr>
      <w:tr>
        <w:trPr>
          <w:trHeight w:val="191"/>
        </w:trPr>
        <w:tc>
          <w:tcPr>
            <w:tcW w:w="3140" w:type="dxa"/>
            <w:vAlign w:val="bottom"/>
          </w:tcPr>
          <w:p>
            <w:pPr>
              <w:ind w:left="20"/>
              <w:spacing w:after="0"/>
              <w:rPr>
                <w:sz w:val="20"/>
                <w:szCs w:val="20"/>
                <w:color w:val="auto"/>
              </w:rPr>
            </w:pPr>
            <w:r>
              <w:rPr>
                <w:rFonts w:ascii="Arial" w:cs="Arial" w:eastAsia="Arial" w:hAnsi="Arial"/>
                <w:sz w:val="15"/>
                <w:szCs w:val="15"/>
                <w:color w:val="auto"/>
              </w:rPr>
              <w:t>Computer software</w:t>
            </w:r>
          </w:p>
        </w:tc>
        <w:tc>
          <w:tcPr>
            <w:tcW w:w="4200" w:type="dxa"/>
            <w:vAlign w:val="bottom"/>
          </w:tcPr>
          <w:p>
            <w:pPr>
              <w:jc w:val="center"/>
              <w:spacing w:after="0"/>
              <w:rPr>
                <w:sz w:val="20"/>
                <w:szCs w:val="20"/>
                <w:color w:val="auto"/>
              </w:rPr>
            </w:pPr>
            <w:r>
              <w:rPr>
                <w:rFonts w:ascii="Arial" w:cs="Arial" w:eastAsia="Arial" w:hAnsi="Arial"/>
                <w:sz w:val="15"/>
                <w:szCs w:val="15"/>
                <w:color w:val="auto"/>
                <w:w w:val="84"/>
              </w:rPr>
              <w:t>1 to 5 Years</w:t>
            </w:r>
          </w:p>
        </w:tc>
        <w:tc>
          <w:tcPr>
            <w:tcW w:w="1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7,739</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6,982</w:t>
            </w:r>
          </w:p>
        </w:tc>
        <w:tc>
          <w:tcPr>
            <w:tcW w:w="100" w:type="dxa"/>
            <w:vAlign w:val="bottom"/>
          </w:tcPr>
          <w:p>
            <w:pPr>
              <w:spacing w:after="0"/>
              <w:rPr>
                <w:sz w:val="16"/>
                <w:szCs w:val="16"/>
                <w:color w:val="auto"/>
              </w:rPr>
            </w:pPr>
          </w:p>
        </w:tc>
      </w:tr>
      <w:tr>
        <w:trPr>
          <w:trHeight w:val="202"/>
        </w:trPr>
        <w:tc>
          <w:tcPr>
            <w:tcW w:w="3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Building improvements</w:t>
            </w:r>
          </w:p>
        </w:tc>
        <w:tc>
          <w:tcPr>
            <w:tcW w:w="420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6"/>
              </w:rPr>
              <w:t>6 months to 39 Years</w:t>
            </w:r>
          </w:p>
        </w:tc>
        <w:tc>
          <w:tcPr>
            <w:tcW w:w="12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7,703</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5,865</w:t>
            </w:r>
          </w:p>
        </w:tc>
        <w:tc>
          <w:tcPr>
            <w:tcW w:w="100" w:type="dxa"/>
            <w:vAlign w:val="bottom"/>
            <w:shd w:val="clear" w:color="auto" w:fill="CFF0FC"/>
          </w:tcPr>
          <w:p>
            <w:pPr>
              <w:spacing w:after="0"/>
              <w:rPr>
                <w:sz w:val="17"/>
                <w:szCs w:val="17"/>
                <w:color w:val="auto"/>
              </w:rPr>
            </w:pPr>
          </w:p>
        </w:tc>
      </w:tr>
      <w:tr>
        <w:trPr>
          <w:trHeight w:val="191"/>
        </w:trPr>
        <w:tc>
          <w:tcPr>
            <w:tcW w:w="3140" w:type="dxa"/>
            <w:vAlign w:val="bottom"/>
          </w:tcPr>
          <w:p>
            <w:pPr>
              <w:ind w:left="20"/>
              <w:spacing w:after="0"/>
              <w:rPr>
                <w:sz w:val="20"/>
                <w:szCs w:val="20"/>
                <w:color w:val="auto"/>
              </w:rPr>
            </w:pPr>
            <w:r>
              <w:rPr>
                <w:rFonts w:ascii="Arial" w:cs="Arial" w:eastAsia="Arial" w:hAnsi="Arial"/>
                <w:sz w:val="15"/>
                <w:szCs w:val="15"/>
                <w:color w:val="auto"/>
              </w:rPr>
              <w:t>Computer hardware</w:t>
            </w:r>
          </w:p>
        </w:tc>
        <w:tc>
          <w:tcPr>
            <w:tcW w:w="4200" w:type="dxa"/>
            <w:vAlign w:val="bottom"/>
          </w:tcPr>
          <w:p>
            <w:pPr>
              <w:jc w:val="center"/>
              <w:spacing w:after="0"/>
              <w:rPr>
                <w:sz w:val="20"/>
                <w:szCs w:val="20"/>
                <w:color w:val="auto"/>
              </w:rPr>
            </w:pPr>
            <w:r>
              <w:rPr>
                <w:rFonts w:ascii="Arial" w:cs="Arial" w:eastAsia="Arial" w:hAnsi="Arial"/>
                <w:sz w:val="15"/>
                <w:szCs w:val="15"/>
                <w:color w:val="auto"/>
                <w:w w:val="84"/>
              </w:rPr>
              <w:t>1 to 5 Years</w:t>
            </w:r>
          </w:p>
        </w:tc>
        <w:tc>
          <w:tcPr>
            <w:tcW w:w="1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6,485</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6,979</w:t>
            </w:r>
          </w:p>
        </w:tc>
        <w:tc>
          <w:tcPr>
            <w:tcW w:w="100" w:type="dxa"/>
            <w:vAlign w:val="bottom"/>
          </w:tcPr>
          <w:p>
            <w:pPr>
              <w:spacing w:after="0"/>
              <w:rPr>
                <w:sz w:val="16"/>
                <w:szCs w:val="16"/>
                <w:color w:val="auto"/>
              </w:rPr>
            </w:pPr>
          </w:p>
        </w:tc>
      </w:tr>
      <w:tr>
        <w:trPr>
          <w:trHeight w:val="202"/>
        </w:trPr>
        <w:tc>
          <w:tcPr>
            <w:tcW w:w="3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Aircraft</w:t>
            </w:r>
          </w:p>
        </w:tc>
        <w:tc>
          <w:tcPr>
            <w:tcW w:w="420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5"/>
              </w:rPr>
              <w:t>7 Years</w:t>
            </w:r>
          </w:p>
        </w:tc>
        <w:tc>
          <w:tcPr>
            <w:tcW w:w="12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6,400</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6,400</w:t>
            </w:r>
          </w:p>
        </w:tc>
        <w:tc>
          <w:tcPr>
            <w:tcW w:w="100" w:type="dxa"/>
            <w:vAlign w:val="bottom"/>
            <w:shd w:val="clear" w:color="auto" w:fill="CFF0FC"/>
          </w:tcPr>
          <w:p>
            <w:pPr>
              <w:spacing w:after="0"/>
              <w:rPr>
                <w:sz w:val="17"/>
                <w:szCs w:val="17"/>
                <w:color w:val="auto"/>
              </w:rPr>
            </w:pPr>
          </w:p>
        </w:tc>
      </w:tr>
      <w:tr>
        <w:trPr>
          <w:trHeight w:val="191"/>
        </w:trPr>
        <w:tc>
          <w:tcPr>
            <w:tcW w:w="3140" w:type="dxa"/>
            <w:vAlign w:val="bottom"/>
          </w:tcPr>
          <w:p>
            <w:pPr>
              <w:ind w:left="20"/>
              <w:spacing w:after="0"/>
              <w:rPr>
                <w:sz w:val="20"/>
                <w:szCs w:val="20"/>
                <w:color w:val="auto"/>
              </w:rPr>
            </w:pPr>
            <w:r>
              <w:rPr>
                <w:rFonts w:ascii="Arial" w:cs="Arial" w:eastAsia="Arial" w:hAnsi="Arial"/>
                <w:sz w:val="15"/>
                <w:szCs w:val="15"/>
                <w:color w:val="auto"/>
              </w:rPr>
              <w:t>Furniture and fixtures</w:t>
            </w:r>
          </w:p>
        </w:tc>
        <w:tc>
          <w:tcPr>
            <w:tcW w:w="4200" w:type="dxa"/>
            <w:vAlign w:val="bottom"/>
          </w:tcPr>
          <w:p>
            <w:pPr>
              <w:jc w:val="center"/>
              <w:spacing w:after="0"/>
              <w:rPr>
                <w:sz w:val="20"/>
                <w:szCs w:val="20"/>
                <w:color w:val="auto"/>
              </w:rPr>
            </w:pPr>
            <w:r>
              <w:rPr>
                <w:rFonts w:ascii="Arial" w:cs="Arial" w:eastAsia="Arial" w:hAnsi="Arial"/>
                <w:sz w:val="15"/>
                <w:szCs w:val="15"/>
                <w:color w:val="auto"/>
                <w:w w:val="84"/>
              </w:rPr>
              <w:t>1 to 5 Years</w:t>
            </w:r>
          </w:p>
        </w:tc>
        <w:tc>
          <w:tcPr>
            <w:tcW w:w="1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3,751</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4,248</w:t>
            </w:r>
          </w:p>
        </w:tc>
        <w:tc>
          <w:tcPr>
            <w:tcW w:w="100" w:type="dxa"/>
            <w:vAlign w:val="bottom"/>
          </w:tcPr>
          <w:p>
            <w:pPr>
              <w:spacing w:after="0"/>
              <w:rPr>
                <w:sz w:val="16"/>
                <w:szCs w:val="16"/>
                <w:color w:val="auto"/>
              </w:rPr>
            </w:pPr>
          </w:p>
        </w:tc>
      </w:tr>
      <w:tr>
        <w:trPr>
          <w:trHeight w:val="202"/>
        </w:trPr>
        <w:tc>
          <w:tcPr>
            <w:tcW w:w="3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Land improvements</w:t>
            </w:r>
          </w:p>
        </w:tc>
        <w:tc>
          <w:tcPr>
            <w:tcW w:w="420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5"/>
              </w:rPr>
              <w:t>5 to 15 Years</w:t>
            </w:r>
          </w:p>
        </w:tc>
        <w:tc>
          <w:tcPr>
            <w:tcW w:w="12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904</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904</w:t>
            </w:r>
          </w:p>
        </w:tc>
        <w:tc>
          <w:tcPr>
            <w:tcW w:w="100" w:type="dxa"/>
            <w:vAlign w:val="bottom"/>
            <w:shd w:val="clear" w:color="auto" w:fill="CFF0FC"/>
          </w:tcPr>
          <w:p>
            <w:pPr>
              <w:spacing w:after="0"/>
              <w:rPr>
                <w:sz w:val="17"/>
                <w:szCs w:val="17"/>
                <w:color w:val="auto"/>
              </w:rPr>
            </w:pPr>
          </w:p>
        </w:tc>
      </w:tr>
      <w:tr>
        <w:trPr>
          <w:trHeight w:val="191"/>
        </w:trPr>
        <w:tc>
          <w:tcPr>
            <w:tcW w:w="3140" w:type="dxa"/>
            <w:vAlign w:val="bottom"/>
          </w:tcPr>
          <w:p>
            <w:pPr>
              <w:ind w:left="20"/>
              <w:spacing w:after="0"/>
              <w:rPr>
                <w:sz w:val="20"/>
                <w:szCs w:val="20"/>
                <w:color w:val="auto"/>
              </w:rPr>
            </w:pPr>
            <w:r>
              <w:rPr>
                <w:rFonts w:ascii="Arial" w:cs="Arial" w:eastAsia="Arial" w:hAnsi="Arial"/>
                <w:sz w:val="15"/>
                <w:szCs w:val="15"/>
                <w:color w:val="auto"/>
              </w:rPr>
              <w:t>Automobile</w:t>
            </w:r>
          </w:p>
        </w:tc>
        <w:tc>
          <w:tcPr>
            <w:tcW w:w="4200" w:type="dxa"/>
            <w:vAlign w:val="bottom"/>
          </w:tcPr>
          <w:p>
            <w:pPr>
              <w:jc w:val="center"/>
              <w:spacing w:after="0"/>
              <w:rPr>
                <w:sz w:val="20"/>
                <w:szCs w:val="20"/>
                <w:color w:val="auto"/>
              </w:rPr>
            </w:pPr>
            <w:r>
              <w:rPr>
                <w:rFonts w:ascii="Arial" w:cs="Arial" w:eastAsia="Arial" w:hAnsi="Arial"/>
                <w:sz w:val="15"/>
                <w:szCs w:val="15"/>
                <w:color w:val="auto"/>
                <w:w w:val="84"/>
              </w:rPr>
              <w:t>3 to 7 Years</w:t>
            </w:r>
          </w:p>
        </w:tc>
        <w:tc>
          <w:tcPr>
            <w:tcW w:w="1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347</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797</w:t>
            </w:r>
          </w:p>
        </w:tc>
        <w:tc>
          <w:tcPr>
            <w:tcW w:w="100" w:type="dxa"/>
            <w:vAlign w:val="bottom"/>
          </w:tcPr>
          <w:p>
            <w:pPr>
              <w:spacing w:after="0"/>
              <w:rPr>
                <w:sz w:val="16"/>
                <w:szCs w:val="16"/>
                <w:color w:val="auto"/>
              </w:rPr>
            </w:pPr>
          </w:p>
        </w:tc>
      </w:tr>
      <w:tr>
        <w:trPr>
          <w:trHeight w:val="202"/>
        </w:trPr>
        <w:tc>
          <w:tcPr>
            <w:tcW w:w="3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General equipment</w:t>
            </w:r>
          </w:p>
        </w:tc>
        <w:tc>
          <w:tcPr>
            <w:tcW w:w="420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4"/>
              </w:rPr>
              <w:t>3 to 5 Years</w:t>
            </w:r>
          </w:p>
        </w:tc>
        <w:tc>
          <w:tcPr>
            <w:tcW w:w="12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FF0FC"/>
          </w:tcPr>
          <w:p>
            <w:pPr>
              <w:spacing w:after="0"/>
              <w:rPr>
                <w:sz w:val="17"/>
                <w:szCs w:val="17"/>
                <w:color w:val="auto"/>
              </w:rPr>
            </w:pPr>
          </w:p>
        </w:tc>
      </w:tr>
      <w:tr>
        <w:trPr>
          <w:trHeight w:val="191"/>
        </w:trPr>
        <w:tc>
          <w:tcPr>
            <w:tcW w:w="3140" w:type="dxa"/>
            <w:vAlign w:val="bottom"/>
          </w:tcPr>
          <w:p>
            <w:pPr>
              <w:ind w:left="20"/>
              <w:spacing w:after="0"/>
              <w:rPr>
                <w:sz w:val="20"/>
                <w:szCs w:val="20"/>
                <w:color w:val="auto"/>
              </w:rPr>
            </w:pPr>
            <w:r>
              <w:rPr>
                <w:rFonts w:ascii="Arial" w:cs="Arial" w:eastAsia="Arial" w:hAnsi="Arial"/>
                <w:sz w:val="15"/>
                <w:szCs w:val="15"/>
                <w:color w:val="auto"/>
              </w:rPr>
              <w:t>Land</w:t>
            </w:r>
          </w:p>
        </w:tc>
        <w:tc>
          <w:tcPr>
            <w:tcW w:w="4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8,800</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7,500</w:t>
            </w:r>
          </w:p>
        </w:tc>
        <w:tc>
          <w:tcPr>
            <w:tcW w:w="100" w:type="dxa"/>
            <w:vAlign w:val="bottom"/>
          </w:tcPr>
          <w:p>
            <w:pPr>
              <w:spacing w:after="0"/>
              <w:rPr>
                <w:sz w:val="16"/>
                <w:szCs w:val="16"/>
                <w:color w:val="auto"/>
              </w:rPr>
            </w:pPr>
          </w:p>
        </w:tc>
      </w:tr>
      <w:tr>
        <w:trPr>
          <w:trHeight w:val="202"/>
        </w:trPr>
        <w:tc>
          <w:tcPr>
            <w:tcW w:w="3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Assets not yet placed in service</w:t>
            </w:r>
          </w:p>
        </w:tc>
        <w:tc>
          <w:tcPr>
            <w:tcW w:w="42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18,385</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12,877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2"/>
        </w:trPr>
        <w:tc>
          <w:tcPr>
            <w:tcW w:w="3140" w:type="dxa"/>
            <w:vAlign w:val="bottom"/>
          </w:tcPr>
          <w:p>
            <w:pPr>
              <w:ind w:left="20"/>
              <w:spacing w:after="0"/>
              <w:rPr>
                <w:sz w:val="20"/>
                <w:szCs w:val="20"/>
                <w:color w:val="auto"/>
              </w:rPr>
            </w:pPr>
            <w:r>
              <w:rPr>
                <w:rFonts w:ascii="Arial" w:cs="Arial" w:eastAsia="Arial" w:hAnsi="Arial"/>
                <w:sz w:val="15"/>
                <w:szCs w:val="15"/>
                <w:color w:val="auto"/>
              </w:rPr>
              <w:t>Total</w:t>
            </w:r>
          </w:p>
        </w:tc>
        <w:tc>
          <w:tcPr>
            <w:tcW w:w="4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88"/>
              </w:rPr>
              <w:t>132,373</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124,634</w:t>
            </w:r>
          </w:p>
        </w:tc>
        <w:tc>
          <w:tcPr>
            <w:tcW w:w="100" w:type="dxa"/>
            <w:vAlign w:val="bottom"/>
          </w:tcPr>
          <w:p>
            <w:pPr>
              <w:spacing w:after="0"/>
              <w:rPr>
                <w:sz w:val="15"/>
                <w:szCs w:val="15"/>
                <w:color w:val="auto"/>
              </w:rPr>
            </w:pPr>
          </w:p>
        </w:tc>
      </w:tr>
      <w:tr>
        <w:trPr>
          <w:trHeight w:val="202"/>
        </w:trPr>
        <w:tc>
          <w:tcPr>
            <w:tcW w:w="3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Less: Accumulated depreciation</w:t>
            </w:r>
          </w:p>
        </w:tc>
        <w:tc>
          <w:tcPr>
            <w:tcW w:w="4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w w:val="93"/>
              </w:rPr>
              <w:t>(47,108 )</w:t>
            </w:r>
          </w:p>
        </w:tc>
        <w:tc>
          <w:tcPr>
            <w:tcW w:w="3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(43,281 )</w:t>
            </w:r>
          </w:p>
        </w:tc>
      </w:tr>
      <w:tr>
        <w:trPr>
          <w:trHeight w:val="188"/>
        </w:trPr>
        <w:tc>
          <w:tcPr>
            <w:tcW w:w="3140" w:type="dxa"/>
            <w:vAlign w:val="bottom"/>
            <w:tcBorders>
              <w:top w:val="single" w:sz="8" w:color="CFF0FC"/>
            </w:tcBorders>
          </w:tcPr>
          <w:p>
            <w:pPr>
              <w:ind w:left="20"/>
              <w:spacing w:after="0"/>
              <w:rPr>
                <w:sz w:val="20"/>
                <w:szCs w:val="20"/>
                <w:color w:val="auto"/>
              </w:rPr>
            </w:pPr>
            <w:r>
              <w:rPr>
                <w:rFonts w:ascii="Arial" w:cs="Arial" w:eastAsia="Arial" w:hAnsi="Arial"/>
                <w:sz w:val="15"/>
                <w:szCs w:val="15"/>
                <w:color w:val="auto"/>
              </w:rPr>
              <w:t>Fixed assets, net</w:t>
            </w:r>
          </w:p>
        </w:tc>
        <w:tc>
          <w:tcPr>
            <w:tcW w:w="4200" w:type="dxa"/>
            <w:vAlign w:val="bottom"/>
            <w:tcBorders>
              <w:top w:val="single" w:sz="8" w:color="CFF0FC"/>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11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85,265</w:t>
            </w:r>
          </w:p>
        </w:tc>
        <w:tc>
          <w:tcPr>
            <w:tcW w:w="300" w:type="dxa"/>
            <w:vAlign w:val="bottom"/>
            <w:tcBorders>
              <w:top w:val="single" w:sz="8" w:color="CFF0FC"/>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81,353</w:t>
            </w:r>
          </w:p>
        </w:tc>
        <w:tc>
          <w:tcPr>
            <w:tcW w:w="100" w:type="dxa"/>
            <w:vAlign w:val="bottom"/>
            <w:tcBorders>
              <w:top w:val="single" w:sz="8" w:color="CFF0FC"/>
            </w:tcBorders>
          </w:tcPr>
          <w:p>
            <w:pPr>
              <w:spacing w:after="0"/>
              <w:rPr>
                <w:sz w:val="16"/>
                <w:szCs w:val="16"/>
                <w:color w:val="auto"/>
              </w:rPr>
            </w:pPr>
          </w:p>
        </w:tc>
      </w:tr>
      <w:tr>
        <w:trPr>
          <w:trHeight w:val="20"/>
        </w:trPr>
        <w:tc>
          <w:tcPr>
            <w:tcW w:w="3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5788660</wp:posOffset>
            </wp:positionH>
            <wp:positionV relativeFrom="paragraph">
              <wp:posOffset>-408940</wp:posOffset>
            </wp:positionV>
            <wp:extent cx="69215" cy="1320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-408940</wp:posOffset>
            </wp:positionV>
            <wp:extent cx="69215" cy="1320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5788660</wp:posOffset>
            </wp:positionH>
            <wp:positionV relativeFrom="paragraph">
              <wp:posOffset>-152400</wp:posOffset>
            </wp:positionV>
            <wp:extent cx="69215" cy="153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215" cy="15303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-152400</wp:posOffset>
            </wp:positionV>
            <wp:extent cx="69215" cy="153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215" cy="153035"/>
                    </a:xfrm>
                    <a:prstGeom prst="rect">
                      <a:avLst/>
                    </a:prstGeom>
                    <a:noFill/>
                  </pic:spPr>
                </pic:pic>
              </a:graphicData>
            </a:graphic>
          </wp:anchor>
        </w:drawing>
      </w:r>
    </w:p>
    <w:p>
      <w:pPr>
        <w:spacing w:after="0" w:line="57" w:lineRule="exact"/>
        <w:rPr>
          <w:sz w:val="20"/>
          <w:szCs w:val="20"/>
          <w:color w:val="auto"/>
        </w:rPr>
      </w:pPr>
    </w:p>
    <w:p>
      <w:pPr>
        <w:jc w:val="both"/>
        <w:ind w:right="60" w:firstLine="511"/>
        <w:spacing w:after="0" w:line="262" w:lineRule="auto"/>
        <w:rPr>
          <w:sz w:val="20"/>
          <w:szCs w:val="20"/>
          <w:color w:val="auto"/>
        </w:rPr>
      </w:pPr>
      <w:r>
        <w:rPr>
          <w:rFonts w:ascii="Arial" w:cs="Arial" w:eastAsia="Arial" w:hAnsi="Arial"/>
          <w:sz w:val="15"/>
          <w:szCs w:val="15"/>
          <w:color w:val="auto"/>
        </w:rPr>
        <w:t>Depreciation expenses on fixed assets totaled $4.3 million and $7.6 million for the three months ended September 30, 2023 and 2022, respectively, and $13.1 million and $17.9 million for the nine months ended September 30, 2023 and 2022,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Other Significant Balance Sheet Accounts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Other current assets consisted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40" w:type="dxa"/>
            <w:vAlign w:val="bottom"/>
          </w:tcPr>
          <w:p>
            <w:pPr>
              <w:spacing w:after="0"/>
              <w:rPr>
                <w:sz w:val="12"/>
                <w:szCs w:val="12"/>
                <w:color w:val="auto"/>
              </w:rPr>
            </w:pPr>
          </w:p>
        </w:tc>
        <w:tc>
          <w:tcPr>
            <w:tcW w:w="1480" w:type="dxa"/>
            <w:vAlign w:val="bottom"/>
            <w:tcBorders>
              <w:bottom w:val="single" w:sz="8" w:color="auto"/>
            </w:tcBorders>
          </w:tcPr>
          <w:p>
            <w:pPr>
              <w:jc w:val="right"/>
              <w:ind w:right="54"/>
              <w:spacing w:after="0"/>
              <w:rPr>
                <w:sz w:val="20"/>
                <w:szCs w:val="20"/>
                <w:color w:val="auto"/>
              </w:rPr>
            </w:pPr>
            <w:r>
              <w:rPr>
                <w:rFonts w:ascii="Arial" w:cs="Arial" w:eastAsia="Arial" w:hAnsi="Arial"/>
                <w:sz w:val="12"/>
                <w:szCs w:val="12"/>
                <w:b w:val="1"/>
                <w:bCs w:val="1"/>
                <w:color w:val="auto"/>
              </w:rPr>
              <w:t>September 30,</w:t>
            </w:r>
          </w:p>
        </w:tc>
        <w:tc>
          <w:tcPr>
            <w:tcW w:w="5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2"/>
                <w:szCs w:val="12"/>
                <w:color w:val="auto"/>
              </w:rPr>
            </w:pPr>
          </w:p>
        </w:tc>
      </w:tr>
      <w:tr>
        <w:trPr>
          <w:trHeight w:val="133"/>
        </w:trPr>
        <w:tc>
          <w:tcPr>
            <w:tcW w:w="6840" w:type="dxa"/>
            <w:vAlign w:val="bottom"/>
          </w:tcPr>
          <w:p>
            <w:pPr>
              <w:spacing w:after="0"/>
              <w:rPr>
                <w:sz w:val="11"/>
                <w:szCs w:val="11"/>
                <w:color w:val="auto"/>
              </w:rPr>
            </w:pPr>
          </w:p>
        </w:tc>
        <w:tc>
          <w:tcPr>
            <w:tcW w:w="1480" w:type="dxa"/>
            <w:vAlign w:val="bottom"/>
            <w:tcBorders>
              <w:bottom w:val="single" w:sz="8" w:color="auto"/>
            </w:tcBorders>
          </w:tcPr>
          <w:p>
            <w:pPr>
              <w:jc w:val="right"/>
              <w:ind w:right="294"/>
              <w:spacing w:after="0" w:line="133" w:lineRule="exact"/>
              <w:rPr>
                <w:sz w:val="20"/>
                <w:szCs w:val="20"/>
                <w:color w:val="auto"/>
              </w:rPr>
            </w:pPr>
            <w:r>
              <w:rPr>
                <w:rFonts w:ascii="Arial" w:cs="Arial" w:eastAsia="Arial" w:hAnsi="Arial"/>
                <w:sz w:val="12"/>
                <w:szCs w:val="12"/>
                <w:b w:val="1"/>
                <w:bCs w:val="1"/>
                <w:color w:val="auto"/>
              </w:rPr>
              <w:t>2023</w:t>
            </w:r>
          </w:p>
        </w:tc>
        <w:tc>
          <w:tcPr>
            <w:tcW w:w="5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811"/>
              <w:spacing w:after="0" w:line="133" w:lineRule="exact"/>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1"/>
                <w:szCs w:val="11"/>
                <w:color w:val="auto"/>
              </w:rPr>
            </w:pPr>
          </w:p>
        </w:tc>
      </w:tr>
      <w:tr>
        <w:trPr>
          <w:trHeight w:val="133"/>
        </w:trPr>
        <w:tc>
          <w:tcPr>
            <w:tcW w:w="68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(in</w:t>
            </w:r>
          </w:p>
        </w:tc>
        <w:tc>
          <w:tcPr>
            <w:tcW w:w="760" w:type="dxa"/>
            <w:vAlign w:val="bottom"/>
            <w:gridSpan w:val="2"/>
          </w:tcPr>
          <w:p>
            <w:pPr>
              <w:jc w:val="right"/>
              <w:ind w:right="240"/>
              <w:spacing w:after="0" w:line="133" w:lineRule="exact"/>
              <w:rPr>
                <w:sz w:val="20"/>
                <w:szCs w:val="20"/>
                <w:color w:val="auto"/>
              </w:rPr>
            </w:pPr>
            <w:r>
              <w:rPr>
                <w:rFonts w:ascii="Arial" w:cs="Arial" w:eastAsia="Arial" w:hAnsi="Arial"/>
                <w:sz w:val="12"/>
                <w:szCs w:val="12"/>
                <w:b w:val="1"/>
                <w:bCs w:val="1"/>
                <w:color w:val="auto"/>
                <w:w w:val="77"/>
              </w:rPr>
              <w:t>thousands)</w:t>
            </w: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7"/>
        </w:trPr>
        <w:tc>
          <w:tcPr>
            <w:tcW w:w="6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Prepaid income taxes</w:t>
            </w:r>
          </w:p>
        </w:tc>
        <w:tc>
          <w:tcPr>
            <w:tcW w:w="1480" w:type="dxa"/>
            <w:vAlign w:val="bottom"/>
            <w:shd w:val="clear" w:color="auto" w:fill="CFF0FC"/>
          </w:tcPr>
          <w:p>
            <w:pPr>
              <w:jc w:val="right"/>
              <w:ind w:right="133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14,965</w:t>
            </w: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15,434</w:t>
            </w:r>
          </w:p>
        </w:tc>
        <w:tc>
          <w:tcPr>
            <w:tcW w:w="100" w:type="dxa"/>
            <w:vAlign w:val="bottom"/>
            <w:shd w:val="clear" w:color="auto" w:fill="CFF0FC"/>
          </w:tcPr>
          <w:p>
            <w:pPr>
              <w:spacing w:after="0"/>
              <w:rPr>
                <w:sz w:val="17"/>
                <w:szCs w:val="17"/>
                <w:color w:val="auto"/>
              </w:rPr>
            </w:pPr>
          </w:p>
        </w:tc>
      </w:tr>
      <w:tr>
        <w:trPr>
          <w:trHeight w:val="191"/>
        </w:trPr>
        <w:tc>
          <w:tcPr>
            <w:tcW w:w="6840" w:type="dxa"/>
            <w:vAlign w:val="bottom"/>
          </w:tcPr>
          <w:p>
            <w:pPr>
              <w:ind w:left="20"/>
              <w:spacing w:after="0"/>
              <w:rPr>
                <w:sz w:val="20"/>
                <w:szCs w:val="20"/>
                <w:color w:val="auto"/>
              </w:rPr>
            </w:pPr>
            <w:r>
              <w:rPr>
                <w:rFonts w:ascii="Arial" w:cs="Arial" w:eastAsia="Arial" w:hAnsi="Arial"/>
                <w:sz w:val="15"/>
                <w:szCs w:val="15"/>
                <w:color w:val="auto"/>
              </w:rPr>
              <w:t>Prepaid expenses</w:t>
            </w:r>
          </w:p>
        </w:tc>
        <w:tc>
          <w:tcPr>
            <w:tcW w:w="14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7,583</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6,814</w:t>
            </w:r>
          </w:p>
        </w:tc>
        <w:tc>
          <w:tcPr>
            <w:tcW w:w="100" w:type="dxa"/>
            <w:vAlign w:val="bottom"/>
          </w:tcPr>
          <w:p>
            <w:pPr>
              <w:spacing w:after="0"/>
              <w:rPr>
                <w:sz w:val="16"/>
                <w:szCs w:val="16"/>
                <w:color w:val="auto"/>
              </w:rPr>
            </w:pPr>
          </w:p>
        </w:tc>
      </w:tr>
      <w:tr>
        <w:trPr>
          <w:trHeight w:val="202"/>
        </w:trPr>
        <w:tc>
          <w:tcPr>
            <w:tcW w:w="6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Reagents and supplies</w:t>
            </w:r>
          </w:p>
        </w:tc>
        <w:tc>
          <w:tcPr>
            <w:tcW w:w="14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4,877</w:t>
            </w: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4,280</w:t>
            </w:r>
          </w:p>
        </w:tc>
        <w:tc>
          <w:tcPr>
            <w:tcW w:w="100" w:type="dxa"/>
            <w:vAlign w:val="bottom"/>
            <w:shd w:val="clear" w:color="auto" w:fill="CFF0FC"/>
          </w:tcPr>
          <w:p>
            <w:pPr>
              <w:spacing w:after="0"/>
              <w:rPr>
                <w:sz w:val="17"/>
                <w:szCs w:val="17"/>
                <w:color w:val="auto"/>
              </w:rPr>
            </w:pPr>
          </w:p>
        </w:tc>
      </w:tr>
      <w:tr>
        <w:trPr>
          <w:trHeight w:val="191"/>
        </w:trPr>
        <w:tc>
          <w:tcPr>
            <w:tcW w:w="6840" w:type="dxa"/>
            <w:vAlign w:val="bottom"/>
          </w:tcPr>
          <w:p>
            <w:pPr>
              <w:ind w:left="20"/>
              <w:spacing w:after="0"/>
              <w:rPr>
                <w:sz w:val="20"/>
                <w:szCs w:val="20"/>
                <w:color w:val="auto"/>
              </w:rPr>
            </w:pPr>
            <w:r>
              <w:rPr>
                <w:rFonts w:ascii="Arial" w:cs="Arial" w:eastAsia="Arial" w:hAnsi="Arial"/>
                <w:sz w:val="15"/>
                <w:szCs w:val="15"/>
                <w:color w:val="auto"/>
              </w:rPr>
              <w:t>Marketable securities interest receivable</w:t>
            </w:r>
          </w:p>
        </w:tc>
        <w:tc>
          <w:tcPr>
            <w:tcW w:w="14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4,236</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2,525</w:t>
            </w:r>
          </w:p>
        </w:tc>
        <w:tc>
          <w:tcPr>
            <w:tcW w:w="100" w:type="dxa"/>
            <w:vAlign w:val="bottom"/>
          </w:tcPr>
          <w:p>
            <w:pPr>
              <w:spacing w:after="0"/>
              <w:rPr>
                <w:sz w:val="16"/>
                <w:szCs w:val="16"/>
                <w:color w:val="auto"/>
              </w:rPr>
            </w:pPr>
          </w:p>
        </w:tc>
      </w:tr>
      <w:tr>
        <w:trPr>
          <w:trHeight w:val="202"/>
        </w:trPr>
        <w:tc>
          <w:tcPr>
            <w:tcW w:w="6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Other receivable</w:t>
            </w:r>
          </w:p>
        </w:tc>
        <w:tc>
          <w:tcPr>
            <w:tcW w:w="14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1,115</w:t>
            </w:r>
          </w:p>
        </w:tc>
        <w:tc>
          <w:tcPr>
            <w:tcW w:w="3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19,836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8"/>
        </w:trPr>
        <w:tc>
          <w:tcPr>
            <w:tcW w:w="6840" w:type="dxa"/>
            <w:vAlign w:val="bottom"/>
          </w:tcPr>
          <w:p>
            <w:pPr>
              <w:ind w:left="20"/>
              <w:spacing w:after="0"/>
              <w:rPr>
                <w:sz w:val="20"/>
                <w:szCs w:val="20"/>
                <w:color w:val="auto"/>
              </w:rPr>
            </w:pPr>
            <w:r>
              <w:rPr>
                <w:rFonts w:ascii="Arial" w:cs="Arial" w:eastAsia="Arial" w:hAnsi="Arial"/>
                <w:sz w:val="15"/>
                <w:szCs w:val="15"/>
                <w:color w:val="auto"/>
              </w:rPr>
              <w:t>Total</w:t>
            </w:r>
          </w:p>
        </w:tc>
        <w:tc>
          <w:tcPr>
            <w:tcW w:w="1480" w:type="dxa"/>
            <w:vAlign w:val="bottom"/>
          </w:tcPr>
          <w:p>
            <w:pPr>
              <w:jc w:val="right"/>
              <w:ind w:right="133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32,776</w:t>
            </w:r>
          </w:p>
        </w:tc>
        <w:tc>
          <w:tcPr>
            <w:tcW w:w="7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48,889</w:t>
            </w:r>
          </w:p>
        </w:tc>
        <w:tc>
          <w:tcPr>
            <w:tcW w:w="100" w:type="dxa"/>
            <w:vAlign w:val="bottom"/>
          </w:tcPr>
          <w:p>
            <w:pPr>
              <w:spacing w:after="0"/>
              <w:rPr>
                <w:sz w:val="16"/>
                <w:szCs w:val="16"/>
                <w:color w:val="auto"/>
              </w:rPr>
            </w:pPr>
          </w:p>
        </w:tc>
      </w:tr>
      <w:tr>
        <w:trPr>
          <w:trHeight w:val="20"/>
        </w:trPr>
        <w:tc>
          <w:tcPr>
            <w:tcW w:w="68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5614670</wp:posOffset>
            </wp:positionH>
            <wp:positionV relativeFrom="paragraph">
              <wp:posOffset>-152400</wp:posOffset>
            </wp:positionV>
            <wp:extent cx="69215" cy="153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15" cy="15303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-152400</wp:posOffset>
            </wp:positionV>
            <wp:extent cx="69215" cy="153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215" cy="15303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Other receivable as of December 31, 2022 includes $19.1 million of maturities of marketable securities that did not settle until after period-end.</w:t>
      </w:r>
    </w:p>
    <w:p>
      <w:pPr>
        <w:spacing w:after="0" w:line="177" w:lineRule="exact"/>
        <w:rPr>
          <w:sz w:val="20"/>
          <w:szCs w:val="20"/>
          <w:color w:val="auto"/>
        </w:rPr>
      </w:pPr>
    </w:p>
    <w:p>
      <w:pPr>
        <w:ind w:right="240" w:firstLine="511"/>
        <w:spacing w:after="0" w:line="262" w:lineRule="auto"/>
        <w:rPr>
          <w:sz w:val="20"/>
          <w:szCs w:val="20"/>
          <w:color w:val="auto"/>
        </w:rPr>
      </w:pPr>
      <w:r>
        <w:rPr>
          <w:rFonts w:ascii="Arial" w:cs="Arial" w:eastAsia="Arial" w:hAnsi="Arial"/>
          <w:sz w:val="15"/>
          <w:szCs w:val="15"/>
          <w:color w:val="auto"/>
        </w:rPr>
        <w:t xml:space="preserve">Other long-term liabilities primarily include operating and finance lease liabilities, long-term, see Note 9,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and notes payable, long-term, see Note 8, </w:t>
      </w:r>
      <w:r>
        <w:rPr>
          <w:rFonts w:ascii="Arial" w:cs="Arial" w:eastAsia="Arial" w:hAnsi="Arial"/>
          <w:sz w:val="15"/>
          <w:szCs w:val="15"/>
          <w:i w:val="1"/>
          <w:iCs w:val="1"/>
          <w:color w:val="auto"/>
        </w:rPr>
        <w:t>Debt, Commitments and</w:t>
      </w:r>
      <w:r>
        <w:rPr>
          <w:rFonts w:ascii="Arial" w:cs="Arial" w:eastAsia="Arial" w:hAnsi="Arial"/>
          <w:sz w:val="15"/>
          <w:szCs w:val="15"/>
          <w:color w:val="auto"/>
        </w:rPr>
        <w:t xml:space="preserve"> </w:t>
      </w:r>
      <w:r>
        <w:rPr>
          <w:rFonts w:ascii="Arial" w:cs="Arial" w:eastAsia="Arial" w:hAnsi="Arial"/>
          <w:sz w:val="15"/>
          <w:szCs w:val="15"/>
          <w:i w:val="1"/>
          <w:iCs w:val="1"/>
          <w:color w:val="auto"/>
        </w:rPr>
        <w:t>Contingencies</w:t>
      </w:r>
      <w:r>
        <w:rPr>
          <w:rFonts w:ascii="Arial" w:cs="Arial" w:eastAsia="Arial" w:hAnsi="Arial"/>
          <w:sz w:val="15"/>
          <w:szCs w:val="15"/>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Reporting Segment and Geographic Information</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views its operations and manages its business in one reporting segment. Long-lived assets were primarily located in the United States as of September 30, 2023 and</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2022. Revenue by region during the three and nine months ended September 30, 2023 and 2022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2"/>
                <w:szCs w:val="12"/>
                <w:color w:val="auto"/>
              </w:rPr>
            </w:pPr>
          </w:p>
        </w:tc>
        <w:tc>
          <w:tcPr>
            <w:tcW w:w="258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2"/>
                <w:szCs w:val="12"/>
                <w:b w:val="1"/>
                <w:bCs w:val="1"/>
                <w:color w:val="auto"/>
              </w:rPr>
              <w:t>Three Months Ended September 30,</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2"/>
                <w:szCs w:val="12"/>
                <w:b w:val="1"/>
                <w:bCs w:val="1"/>
                <w:color w:val="auto"/>
              </w:rPr>
              <w:t>Nine Months Ended September 30,</w:t>
            </w:r>
          </w:p>
        </w:tc>
        <w:tc>
          <w:tcPr>
            <w:tcW w:w="100" w:type="dxa"/>
            <w:vAlign w:val="bottom"/>
          </w:tcPr>
          <w:p>
            <w:pPr>
              <w:spacing w:after="0"/>
              <w:rPr>
                <w:sz w:val="12"/>
                <w:szCs w:val="12"/>
                <w:color w:val="auto"/>
              </w:rPr>
            </w:pPr>
          </w:p>
        </w:tc>
      </w:tr>
      <w:tr>
        <w:trPr>
          <w:trHeight w:val="133"/>
        </w:trPr>
        <w:tc>
          <w:tcPr>
            <w:tcW w:w="4920" w:type="dxa"/>
            <w:vAlign w:val="bottom"/>
          </w:tcPr>
          <w:p>
            <w:pPr>
              <w:spacing w:after="0"/>
              <w:rPr>
                <w:sz w:val="11"/>
                <w:szCs w:val="11"/>
                <w:color w:val="auto"/>
              </w:rPr>
            </w:pPr>
          </w:p>
        </w:tc>
        <w:tc>
          <w:tcPr>
            <w:tcW w:w="920" w:type="dxa"/>
            <w:vAlign w:val="bottom"/>
            <w:tcBorders>
              <w:bottom w:val="single" w:sz="8" w:color="auto"/>
            </w:tcBorders>
          </w:tcPr>
          <w:p>
            <w:pPr>
              <w:jc w:val="right"/>
              <w:ind w:right="33"/>
              <w:spacing w:after="0" w:line="133" w:lineRule="exact"/>
              <w:rPr>
                <w:sz w:val="20"/>
                <w:szCs w:val="20"/>
                <w:color w:val="auto"/>
              </w:rPr>
            </w:pPr>
            <w:r>
              <w:rPr>
                <w:rFonts w:ascii="Arial" w:cs="Arial" w:eastAsia="Arial" w:hAnsi="Arial"/>
                <w:sz w:val="12"/>
                <w:szCs w:val="12"/>
                <w:b w:val="1"/>
                <w:bCs w:val="1"/>
                <w:color w:val="auto"/>
              </w:rPr>
              <w:t>2023</w:t>
            </w: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Borders>
              <w:bottom w:val="single" w:sz="8" w:color="auto"/>
            </w:tcBorders>
          </w:tcPr>
          <w:p>
            <w:pPr>
              <w:jc w:val="right"/>
              <w:ind w:right="2"/>
              <w:spacing w:after="0" w:line="133" w:lineRule="exact"/>
              <w:rPr>
                <w:sz w:val="20"/>
                <w:szCs w:val="20"/>
                <w:color w:val="auto"/>
              </w:rPr>
            </w:pPr>
            <w:r>
              <w:rPr>
                <w:rFonts w:ascii="Arial" w:cs="Arial" w:eastAsia="Arial" w:hAnsi="Arial"/>
                <w:sz w:val="12"/>
                <w:szCs w:val="12"/>
                <w:b w:val="1"/>
                <w:bCs w:val="1"/>
                <w:color w:val="auto"/>
              </w:rPr>
              <w:t>2022</w:t>
            </w: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13"/>
              <w:spacing w:after="0" w:line="133" w:lineRule="exact"/>
              <w:rPr>
                <w:sz w:val="20"/>
                <w:szCs w:val="20"/>
                <w:color w:val="auto"/>
              </w:rPr>
            </w:pPr>
            <w:r>
              <w:rPr>
                <w:rFonts w:ascii="Arial" w:cs="Arial" w:eastAsia="Arial" w:hAnsi="Arial"/>
                <w:sz w:val="12"/>
                <w:szCs w:val="12"/>
                <w:b w:val="1"/>
                <w:bCs w:val="1"/>
                <w:color w:val="auto"/>
              </w:rPr>
              <w:t>2023</w:t>
            </w:r>
          </w:p>
        </w:tc>
        <w:tc>
          <w:tcPr>
            <w:tcW w:w="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31"/>
              <w:spacing w:after="0" w:line="133" w:lineRule="exact"/>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1"/>
                <w:szCs w:val="11"/>
                <w:color w:val="auto"/>
              </w:rPr>
            </w:pPr>
          </w:p>
        </w:tc>
      </w:tr>
      <w:tr>
        <w:trPr>
          <w:trHeight w:val="133"/>
        </w:trPr>
        <w:tc>
          <w:tcPr>
            <w:tcW w:w="4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jc w:val="right"/>
              <w:ind w:right="180"/>
              <w:spacing w:after="0" w:line="133" w:lineRule="exact"/>
              <w:rPr>
                <w:sz w:val="20"/>
                <w:szCs w:val="20"/>
                <w:color w:val="auto"/>
              </w:rPr>
            </w:pPr>
            <w:r>
              <w:rPr>
                <w:rFonts w:ascii="Arial" w:cs="Arial" w:eastAsia="Arial" w:hAnsi="Arial"/>
                <w:sz w:val="12"/>
                <w:szCs w:val="12"/>
                <w:b w:val="1"/>
                <w:bCs w:val="1"/>
                <w:color w:val="auto"/>
              </w:rPr>
              <w:t>(in thousands)</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7"/>
        </w:trPr>
        <w:tc>
          <w:tcPr>
            <w:tcW w:w="492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Revenue:</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1"/>
        </w:trPr>
        <w:tc>
          <w:tcPr>
            <w:tcW w:w="492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920" w:type="dxa"/>
            <w:vAlign w:val="bottom"/>
          </w:tcPr>
          <w:p>
            <w:pPr>
              <w:jc w:val="right"/>
              <w:ind w:right="753"/>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78,974</w:t>
            </w:r>
          </w:p>
        </w:tc>
        <w:tc>
          <w:tcPr>
            <w:tcW w:w="1160" w:type="dxa"/>
            <w:vAlign w:val="bottom"/>
            <w:gridSpan w:val="2"/>
          </w:tcPr>
          <w:p>
            <w:pPr>
              <w:jc w:val="right"/>
              <w:ind w:right="722"/>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2"/>
              </w:rPr>
              <w:t>101,515</w:t>
            </w: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204,087</w:t>
            </w:r>
          </w:p>
        </w:tc>
        <w:tc>
          <w:tcPr>
            <w:tcW w:w="6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540,801</w:t>
            </w:r>
          </w:p>
        </w:tc>
        <w:tc>
          <w:tcPr>
            <w:tcW w:w="100" w:type="dxa"/>
            <w:vAlign w:val="bottom"/>
          </w:tcPr>
          <w:p>
            <w:pPr>
              <w:spacing w:after="0"/>
              <w:rPr>
                <w:sz w:val="16"/>
                <w:szCs w:val="16"/>
                <w:color w:val="auto"/>
              </w:rPr>
            </w:pPr>
          </w:p>
        </w:tc>
      </w:tr>
      <w:tr>
        <w:trPr>
          <w:trHeight w:val="202"/>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Foreign</w:t>
            </w:r>
          </w:p>
        </w:tc>
        <w:tc>
          <w:tcPr>
            <w:tcW w:w="9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5,713</w:t>
            </w:r>
          </w:p>
        </w:tc>
        <w:tc>
          <w:tcPr>
            <w:tcW w:w="3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4,140</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14,621</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10,463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8"/>
        </w:trPr>
        <w:tc>
          <w:tcPr>
            <w:tcW w:w="4920" w:type="dxa"/>
            <w:vAlign w:val="bottom"/>
          </w:tcPr>
          <w:p>
            <w:pPr>
              <w:ind w:left="20"/>
              <w:spacing w:after="0"/>
              <w:rPr>
                <w:sz w:val="20"/>
                <w:szCs w:val="20"/>
                <w:color w:val="auto"/>
              </w:rPr>
            </w:pPr>
            <w:r>
              <w:rPr>
                <w:rFonts w:ascii="Arial" w:cs="Arial" w:eastAsia="Arial" w:hAnsi="Arial"/>
                <w:sz w:val="15"/>
                <w:szCs w:val="15"/>
                <w:color w:val="auto"/>
              </w:rPr>
              <w:t>Total</w:t>
            </w:r>
          </w:p>
        </w:tc>
        <w:tc>
          <w:tcPr>
            <w:tcW w:w="920" w:type="dxa"/>
            <w:vAlign w:val="bottom"/>
          </w:tcPr>
          <w:p>
            <w:pPr>
              <w:jc w:val="right"/>
              <w:ind w:right="753"/>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84,687</w:t>
            </w:r>
          </w:p>
        </w:tc>
        <w:tc>
          <w:tcPr>
            <w:tcW w:w="1160" w:type="dxa"/>
            <w:vAlign w:val="bottom"/>
            <w:gridSpan w:val="2"/>
          </w:tcPr>
          <w:p>
            <w:pPr>
              <w:jc w:val="right"/>
              <w:ind w:right="722"/>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2"/>
              </w:rPr>
              <w:t>105,655</w:t>
            </w: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218,708</w:t>
            </w:r>
          </w:p>
        </w:tc>
        <w:tc>
          <w:tcPr>
            <w:tcW w:w="6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551,264</w:t>
            </w:r>
          </w:p>
        </w:tc>
        <w:tc>
          <w:tcPr>
            <w:tcW w:w="100" w:type="dxa"/>
            <w:vAlign w:val="bottom"/>
          </w:tcPr>
          <w:p>
            <w:pPr>
              <w:spacing w:after="0"/>
              <w:rPr>
                <w:sz w:val="16"/>
                <w:szCs w:val="16"/>
                <w:color w:val="auto"/>
              </w:rPr>
            </w:pPr>
          </w:p>
        </w:tc>
      </w:tr>
      <w:tr>
        <w:trPr>
          <w:trHeight w:val="20"/>
        </w:trPr>
        <w:tc>
          <w:tcPr>
            <w:tcW w:w="4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8"/>
        </w:trPr>
        <w:tc>
          <w:tcPr>
            <w:tcW w:w="4920" w:type="dxa"/>
            <w:vAlign w:val="bottom"/>
          </w:tcPr>
          <w:p>
            <w:pPr>
              <w:spacing w:after="0"/>
              <w:rPr>
                <w:sz w:val="24"/>
                <w:szCs w:val="24"/>
                <w:color w:val="auto"/>
              </w:rPr>
            </w:pPr>
          </w:p>
        </w:tc>
        <w:tc>
          <w:tcPr>
            <w:tcW w:w="920" w:type="dxa"/>
            <w:vAlign w:val="bottom"/>
          </w:tcPr>
          <w:p>
            <w:pPr>
              <w:jc w:val="right"/>
              <w:ind w:right="53"/>
              <w:spacing w:after="0"/>
              <w:rPr>
                <w:sz w:val="20"/>
                <w:szCs w:val="20"/>
                <w:color w:val="auto"/>
              </w:rPr>
            </w:pPr>
            <w:r>
              <w:rPr>
                <w:rFonts w:ascii="Arial" w:cs="Arial" w:eastAsia="Arial" w:hAnsi="Arial"/>
                <w:sz w:val="15"/>
                <w:szCs w:val="15"/>
                <w:color w:val="auto"/>
              </w:rPr>
              <w:t>13</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9"/>
        </w:trPr>
        <w:tc>
          <w:tcPr>
            <w:tcW w:w="49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4024630</wp:posOffset>
            </wp:positionH>
            <wp:positionV relativeFrom="paragraph">
              <wp:posOffset>-554990</wp:posOffset>
            </wp:positionV>
            <wp:extent cx="76200" cy="153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200" cy="153035"/>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-554990</wp:posOffset>
            </wp:positionV>
            <wp:extent cx="69215" cy="153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15" cy="153035"/>
                    </a:xfrm>
                    <a:prstGeom prst="rect">
                      <a:avLst/>
                    </a:prstGeom>
                    <a:noFill/>
                  </pic:spPr>
                </pic:pic>
              </a:graphicData>
            </a:graphic>
          </wp:anchor>
        </w:drawing>
        <w:drawing>
          <wp:anchor simplePos="0" relativeHeight="251657728" behindDoc="1" locked="0" layoutInCell="0" allowOverlap="1">
            <wp:simplePos x="0" y="0"/>
            <wp:positionH relativeFrom="column">
              <wp:posOffset>6017260</wp:posOffset>
            </wp:positionH>
            <wp:positionV relativeFrom="paragraph">
              <wp:posOffset>-554990</wp:posOffset>
            </wp:positionV>
            <wp:extent cx="69215" cy="153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215" cy="15303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-554990</wp:posOffset>
            </wp:positionV>
            <wp:extent cx="69215" cy="153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15" cy="153035"/>
                    </a:xfrm>
                    <a:prstGeom prst="rect">
                      <a:avLst/>
                    </a:prstGeom>
                    <a:noFill/>
                  </pic:spPr>
                </pic:pic>
              </a:graphicData>
            </a:graphic>
          </wp:anchor>
        </w:drawing>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562" w:right="31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Note 8. Debt,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Debt</w:t>
      </w:r>
    </w:p>
    <w:p>
      <w:pPr>
        <w:spacing w:after="0" w:line="90" w:lineRule="exact"/>
        <w:rPr>
          <w:sz w:val="20"/>
          <w:szCs w:val="20"/>
          <w:color w:val="auto"/>
        </w:rPr>
      </w:pPr>
    </w:p>
    <w:p>
      <w:pPr>
        <w:ind w:right="220" w:firstLine="511"/>
        <w:spacing w:after="0" w:line="279" w:lineRule="auto"/>
        <w:rPr>
          <w:sz w:val="20"/>
          <w:szCs w:val="20"/>
          <w:color w:val="auto"/>
        </w:rPr>
      </w:pPr>
      <w:r>
        <w:rPr>
          <w:rFonts w:ascii="Arial" w:cs="Arial" w:eastAsia="Arial" w:hAnsi="Arial"/>
          <w:sz w:val="14"/>
          <w:szCs w:val="14"/>
          <w:color w:val="auto"/>
        </w:rPr>
        <w:t>As of September 30, 2023, the Company did not have any outstanding borrowing under its margin account with the custodian of the Company’s marketable debt security investment account, Pershing Advisor Solutions, LLC, a BNY Mellon Company. The related interest expenses for the three and nine months ended September 30, 2023 were zero and $336,000, respectively. The related interest expenses for the three and nine months ended September 30, 2022 were $105,000 and $185,000, respectively.</w:t>
      </w:r>
    </w:p>
    <w:p>
      <w:pPr>
        <w:spacing w:after="0" w:line="138" w:lineRule="exact"/>
        <w:rPr>
          <w:sz w:val="20"/>
          <w:szCs w:val="20"/>
          <w:color w:val="auto"/>
        </w:rPr>
      </w:pPr>
    </w:p>
    <w:p>
      <w:pPr>
        <w:ind w:right="40" w:firstLine="511"/>
        <w:spacing w:after="0" w:line="268" w:lineRule="auto"/>
        <w:rPr>
          <w:sz w:val="20"/>
          <w:szCs w:val="20"/>
          <w:color w:val="auto"/>
        </w:rPr>
      </w:pPr>
      <w:r>
        <w:rPr>
          <w:rFonts w:ascii="Arial" w:cs="Arial" w:eastAsia="Arial" w:hAnsi="Arial"/>
          <w:sz w:val="14"/>
          <w:szCs w:val="14"/>
          <w:color w:val="auto"/>
        </w:rPr>
        <w:t>Notes payable as of September 30, 2023 consisted of $3.4 million of notes payable related to an installment sale contract the Company entered in February 2022 for a building and $2.5 million of notes payable to Xilong Scientific Co., or Xilong Scientific, by Fujian Fujun Gene Biotech Co., Ltd., or FF Gene Biotech. The notes payable related to the installment sale are due in February 2030, and the interest rate is 1.08%. The current portion and noncurrent portion are $408,000 and $3.0 million, respectively, and the noncurrent portion is included in the other long-term liabilities in the accompanying Condensed Consolidated Balance Sheets. The notes payable to Xilong Scientific were extended to and are due on December 31, 2023, and the interest rate on the loan is 4.97%. The related interest expenses for the three and nine months ended September 30, 2023 were $54,000 and $199,000, respectively. The related interest expenses for the three and nine months ended September 30, 2022 were $75,000 and $231,000,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Leases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 xml:space="preserve">See Note 9, </w:t>
      </w:r>
      <w:r>
        <w:rPr>
          <w:rFonts w:ascii="Arial" w:cs="Arial" w:eastAsia="Arial" w:hAnsi="Arial"/>
          <w:sz w:val="15"/>
          <w:szCs w:val="15"/>
          <w:i w:val="1"/>
          <w:iCs w:val="1"/>
          <w:color w:val="auto"/>
        </w:rPr>
        <w:t>Leases</w:t>
      </w:r>
      <w:r>
        <w:rPr>
          <w:rFonts w:ascii="Arial" w:cs="Arial" w:eastAsia="Arial" w:hAnsi="Arial"/>
          <w:sz w:val="15"/>
          <w:szCs w:val="15"/>
          <w:color w:val="auto"/>
        </w:rPr>
        <w:t>, for further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Purchase Obligations</w:t>
      </w:r>
    </w:p>
    <w:p>
      <w:pPr>
        <w:spacing w:after="0" w:line="90" w:lineRule="exact"/>
        <w:rPr>
          <w:sz w:val="20"/>
          <w:szCs w:val="20"/>
          <w:color w:val="auto"/>
        </w:rPr>
      </w:pPr>
    </w:p>
    <w:p>
      <w:pPr>
        <w:jc w:val="both"/>
        <w:ind w:right="280" w:firstLine="511"/>
        <w:spacing w:after="0" w:line="252" w:lineRule="auto"/>
        <w:rPr>
          <w:sz w:val="20"/>
          <w:szCs w:val="20"/>
          <w:color w:val="auto"/>
        </w:rPr>
      </w:pPr>
      <w:r>
        <w:rPr>
          <w:rFonts w:ascii="Arial" w:cs="Arial" w:eastAsia="Arial" w:hAnsi="Arial"/>
          <w:sz w:val="15"/>
          <w:szCs w:val="15"/>
          <w:color w:val="auto"/>
        </w:rPr>
        <w:t>The Company entered certain noncancelable purchase commitments with its vendors, which primarily consist of services, reagent and supplies, computer software, and medical lab equipment. As of September 30, 2023, the Company had non-cancelable purchase obligations of $51.1 million, of which $24.0 million is payable within twelve months, and the remainder, $27.1 million, is payable within the next five years.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Contingencies</w:t>
      </w:r>
    </w:p>
    <w:p>
      <w:pPr>
        <w:spacing w:after="0" w:line="90" w:lineRule="exact"/>
        <w:rPr>
          <w:sz w:val="20"/>
          <w:szCs w:val="20"/>
          <w:color w:val="auto"/>
        </w:rPr>
      </w:pPr>
    </w:p>
    <w:p>
      <w:pPr>
        <w:ind w:right="60" w:firstLine="511"/>
        <w:spacing w:after="0" w:line="262" w:lineRule="auto"/>
        <w:rPr>
          <w:sz w:val="20"/>
          <w:szCs w:val="20"/>
          <w:color w:val="auto"/>
        </w:rPr>
      </w:pPr>
      <w:r>
        <w:rPr>
          <w:rFonts w:ascii="Arial" w:cs="Arial" w:eastAsia="Arial" w:hAnsi="Arial"/>
          <w:sz w:val="15"/>
          <w:szCs w:val="15"/>
          <w:color w:val="auto"/>
        </w:rPr>
        <w:t>From time to time, the Company may be subject to legal proceedings and claims arising in the ordinary course of business. In the opinion of management, the outcome of these matters would not have a material effect on the Company’s condensed consolidated financial position, results of operations or cash flows.</w:t>
      </w:r>
    </w:p>
    <w:p>
      <w:pPr>
        <w:spacing w:after="0" w:line="148" w:lineRule="exact"/>
        <w:rPr>
          <w:sz w:val="20"/>
          <w:szCs w:val="20"/>
          <w:color w:val="auto"/>
        </w:rPr>
      </w:pPr>
    </w:p>
    <w:p>
      <w:pPr>
        <w:ind w:firstLine="511"/>
        <w:spacing w:after="0" w:line="246" w:lineRule="auto"/>
        <w:rPr>
          <w:sz w:val="20"/>
          <w:szCs w:val="20"/>
          <w:color w:val="auto"/>
        </w:rPr>
      </w:pPr>
      <w:r>
        <w:rPr>
          <w:rFonts w:ascii="Arial" w:cs="Arial" w:eastAsia="Arial" w:hAnsi="Arial"/>
          <w:sz w:val="15"/>
          <w:szCs w:val="15"/>
          <w:color w:val="auto"/>
        </w:rPr>
        <w:t>The Company has received a Civil Investigative Demand, or CID, issued by the U.S. Department of Justice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the CID, which represent a small portion of the Company’s revenues. As disclosed in the Company’s prior filings, the U.S. Securities and Exchange Commission, or the SEC is also conducting a non-public formal investigation, which appears to relate to the matters raised in the CID requests and our Exchange Act reports filed for 2018 through 2020. The Company is fully cooperating with the U.S. Department of Justice and the SEC to promptly respond to the requests for information in this CID and investigation and does not presently expect this CID or resulting investigation or the SEC investigation to have a material adverse impact. However, the Company cannot predict when these matters will be resolved, the outcome of these matters, or their potential impact, which may ultimately be greater than what the Company currently expects.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Leases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Lessee</w:t>
      </w:r>
    </w:p>
    <w:p>
      <w:pPr>
        <w:spacing w:after="0" w:line="90" w:lineRule="exact"/>
        <w:rPr>
          <w:sz w:val="20"/>
          <w:szCs w:val="20"/>
          <w:color w:val="auto"/>
        </w:rPr>
      </w:pPr>
    </w:p>
    <w:p>
      <w:pPr>
        <w:ind w:right="20" w:firstLine="511"/>
        <w:spacing w:after="0" w:line="248" w:lineRule="auto"/>
        <w:rPr>
          <w:sz w:val="20"/>
          <w:szCs w:val="20"/>
          <w:color w:val="auto"/>
        </w:rPr>
      </w:pPr>
      <w:r>
        <w:rPr>
          <w:rFonts w:ascii="Arial" w:cs="Arial" w:eastAsia="Arial" w:hAnsi="Arial"/>
          <w:sz w:val="15"/>
          <w:szCs w:val="15"/>
          <w:color w:val="auto"/>
        </w:rPr>
        <w:t>The Company is a lessee to various non-cancelable operating leases with varying terms through April 2033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various finance leases for lab equipment with varying terms through December 2026, some of which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562" w:right="319" w:bottom="1440" w:gutter="0" w:footer="0" w:header="0"/>
        </w:sectPr>
      </w:pPr>
    </w:p>
    <w:bookmarkStart w:id="16" w:name="page17"/>
    <w:bookmarkEnd w:id="16"/>
    <w:p>
      <w:pPr>
        <w:ind w:right="60" w:firstLine="511"/>
        <w:spacing w:after="0" w:line="279" w:lineRule="auto"/>
        <w:rPr>
          <w:sz w:val="20"/>
          <w:szCs w:val="20"/>
          <w:color w:val="auto"/>
        </w:rPr>
      </w:pPr>
      <w:r>
        <w:rPr>
          <w:rFonts w:ascii="Arial" w:cs="Arial" w:eastAsia="Arial" w:hAnsi="Arial"/>
          <w:sz w:val="14"/>
          <w:szCs w:val="14"/>
          <w:color w:val="auto"/>
        </w:rPr>
        <w:t>The Company’s headquarters are located in El Monte,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Temple City, California; Irving, Texas; Needham, Massachusetts; Phoenix, Arizona; Alpharetta, Georgia; and New York, New York.</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operating and finance lease right-of-use asset, short-term lease liabilities, and long-term lease liabilities as of September 30, 2023 and December 31, 2022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2"/>
                <w:szCs w:val="12"/>
                <w:b w:val="1"/>
                <w:bCs w:val="1"/>
                <w:color w:val="auto"/>
              </w:rPr>
              <w:t>September 30,</w:t>
            </w:r>
          </w:p>
        </w:tc>
        <w:tc>
          <w:tcPr>
            <w:tcW w:w="3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2"/>
                <w:szCs w:val="12"/>
                <w:color w:val="auto"/>
              </w:rPr>
            </w:pPr>
          </w:p>
        </w:tc>
      </w:tr>
      <w:tr>
        <w:trPr>
          <w:trHeight w:val="177"/>
        </w:trPr>
        <w:tc>
          <w:tcPr>
            <w:tcW w:w="68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12"/>
              <w:spacing w:after="0"/>
              <w:rPr>
                <w:sz w:val="20"/>
                <w:szCs w:val="20"/>
                <w:color w:val="auto"/>
              </w:rPr>
            </w:pPr>
            <w:r>
              <w:rPr>
                <w:rFonts w:ascii="Arial" w:cs="Arial" w:eastAsia="Arial" w:hAnsi="Arial"/>
                <w:sz w:val="12"/>
                <w:szCs w:val="12"/>
                <w:b w:val="1"/>
                <w:bCs w:val="1"/>
                <w:color w:val="auto"/>
              </w:rPr>
              <w:t>2023</w:t>
            </w: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811"/>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5"/>
                <w:szCs w:val="15"/>
                <w:color w:val="auto"/>
              </w:rPr>
            </w:pPr>
          </w:p>
        </w:tc>
      </w:tr>
      <w:tr>
        <w:trPr>
          <w:trHeight w:val="188"/>
        </w:trPr>
        <w:tc>
          <w:tcPr>
            <w:tcW w:w="6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(in thousands)</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6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Operating lease ROU asset, net</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12,406</w:t>
            </w: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14,784</w:t>
            </w:r>
          </w:p>
        </w:tc>
        <w:tc>
          <w:tcPr>
            <w:tcW w:w="100" w:type="dxa"/>
            <w:vAlign w:val="bottom"/>
            <w:shd w:val="clear" w:color="auto" w:fill="CFF0FC"/>
          </w:tcPr>
          <w:p>
            <w:pPr>
              <w:spacing w:after="0"/>
              <w:rPr>
                <w:sz w:val="17"/>
                <w:szCs w:val="17"/>
                <w:color w:val="auto"/>
              </w:rPr>
            </w:pPr>
          </w:p>
        </w:tc>
      </w:tr>
      <w:tr>
        <w:trPr>
          <w:trHeight w:val="191"/>
        </w:trPr>
        <w:tc>
          <w:tcPr>
            <w:tcW w:w="6840" w:type="dxa"/>
            <w:vAlign w:val="bottom"/>
          </w:tcPr>
          <w:p>
            <w:pPr>
              <w:ind w:left="20"/>
              <w:spacing w:after="0"/>
              <w:rPr>
                <w:sz w:val="20"/>
                <w:szCs w:val="20"/>
                <w:color w:val="auto"/>
              </w:rPr>
            </w:pPr>
            <w:r>
              <w:rPr>
                <w:rFonts w:ascii="Arial" w:cs="Arial" w:eastAsia="Arial" w:hAnsi="Arial"/>
                <w:sz w:val="15"/>
                <w:szCs w:val="15"/>
                <w:color w:val="auto"/>
              </w:rPr>
              <w:t>Operating lease liabilities, short term</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4,994</w:t>
            </w:r>
          </w:p>
        </w:tc>
        <w:tc>
          <w:tcPr>
            <w:tcW w:w="7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6,132</w:t>
            </w:r>
          </w:p>
        </w:tc>
        <w:tc>
          <w:tcPr>
            <w:tcW w:w="100" w:type="dxa"/>
            <w:vAlign w:val="bottom"/>
          </w:tcPr>
          <w:p>
            <w:pPr>
              <w:spacing w:after="0"/>
              <w:rPr>
                <w:sz w:val="16"/>
                <w:szCs w:val="16"/>
                <w:color w:val="auto"/>
              </w:rPr>
            </w:pPr>
          </w:p>
        </w:tc>
      </w:tr>
      <w:tr>
        <w:trPr>
          <w:trHeight w:val="202"/>
        </w:trPr>
        <w:tc>
          <w:tcPr>
            <w:tcW w:w="6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Operating lease liabilities, long term</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7,684</w:t>
            </w: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8,795</w:t>
            </w:r>
          </w:p>
        </w:tc>
        <w:tc>
          <w:tcPr>
            <w:tcW w:w="100" w:type="dxa"/>
            <w:vAlign w:val="bottom"/>
            <w:shd w:val="clear" w:color="auto" w:fill="CFF0FC"/>
          </w:tcPr>
          <w:p>
            <w:pPr>
              <w:spacing w:after="0"/>
              <w:rPr>
                <w:sz w:val="17"/>
                <w:szCs w:val="17"/>
                <w:color w:val="auto"/>
              </w:rPr>
            </w:pPr>
          </w:p>
        </w:tc>
      </w:tr>
      <w:tr>
        <w:trPr>
          <w:trHeight w:val="191"/>
        </w:trPr>
        <w:tc>
          <w:tcPr>
            <w:tcW w:w="6840" w:type="dxa"/>
            <w:vAlign w:val="bottom"/>
          </w:tcPr>
          <w:p>
            <w:pPr>
              <w:ind w:left="20"/>
              <w:spacing w:after="0"/>
              <w:rPr>
                <w:sz w:val="20"/>
                <w:szCs w:val="20"/>
                <w:color w:val="auto"/>
              </w:rPr>
            </w:pPr>
            <w:r>
              <w:rPr>
                <w:rFonts w:ascii="Arial" w:cs="Arial" w:eastAsia="Arial" w:hAnsi="Arial"/>
                <w:sz w:val="15"/>
                <w:szCs w:val="15"/>
                <w:color w:val="auto"/>
              </w:rPr>
              <w:t>Finance lease ROU asset, net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1,444</w:t>
            </w:r>
          </w:p>
        </w:tc>
        <w:tc>
          <w:tcPr>
            <w:tcW w:w="7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2,784</w:t>
            </w:r>
          </w:p>
        </w:tc>
        <w:tc>
          <w:tcPr>
            <w:tcW w:w="100" w:type="dxa"/>
            <w:vAlign w:val="bottom"/>
          </w:tcPr>
          <w:p>
            <w:pPr>
              <w:spacing w:after="0"/>
              <w:rPr>
                <w:sz w:val="16"/>
                <w:szCs w:val="16"/>
                <w:color w:val="auto"/>
              </w:rPr>
            </w:pPr>
          </w:p>
        </w:tc>
      </w:tr>
      <w:tr>
        <w:trPr>
          <w:trHeight w:val="202"/>
        </w:trPr>
        <w:tc>
          <w:tcPr>
            <w:tcW w:w="6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Finance lease liabilities, short term</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537</w:t>
            </w: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943</w:t>
            </w:r>
          </w:p>
        </w:tc>
        <w:tc>
          <w:tcPr>
            <w:tcW w:w="100" w:type="dxa"/>
            <w:vAlign w:val="bottom"/>
            <w:shd w:val="clear" w:color="auto" w:fill="CFF0FC"/>
          </w:tcPr>
          <w:p>
            <w:pPr>
              <w:spacing w:after="0"/>
              <w:rPr>
                <w:sz w:val="17"/>
                <w:szCs w:val="17"/>
                <w:color w:val="auto"/>
              </w:rPr>
            </w:pPr>
          </w:p>
        </w:tc>
      </w:tr>
      <w:tr>
        <w:trPr>
          <w:trHeight w:val="186"/>
        </w:trPr>
        <w:tc>
          <w:tcPr>
            <w:tcW w:w="6840" w:type="dxa"/>
            <w:vAlign w:val="bottom"/>
          </w:tcPr>
          <w:p>
            <w:pPr>
              <w:ind w:left="20"/>
              <w:spacing w:after="0"/>
              <w:rPr>
                <w:sz w:val="20"/>
                <w:szCs w:val="20"/>
                <w:color w:val="auto"/>
              </w:rPr>
            </w:pPr>
            <w:r>
              <w:rPr>
                <w:rFonts w:ascii="Arial" w:cs="Arial" w:eastAsia="Arial" w:hAnsi="Arial"/>
                <w:sz w:val="15"/>
                <w:szCs w:val="15"/>
                <w:color w:val="auto"/>
              </w:rPr>
              <w:t>Finance lease liabilities, long term</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894</w:t>
            </w:r>
          </w:p>
        </w:tc>
        <w:tc>
          <w:tcPr>
            <w:tcW w:w="7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1,818</w:t>
            </w:r>
          </w:p>
        </w:tc>
        <w:tc>
          <w:tcPr>
            <w:tcW w:w="100" w:type="dxa"/>
            <w:vAlign w:val="bottom"/>
          </w:tcPr>
          <w:p>
            <w:pPr>
              <w:spacing w:after="0"/>
              <w:rPr>
                <w:sz w:val="16"/>
                <w:szCs w:val="16"/>
                <w:color w:val="auto"/>
              </w:rPr>
            </w:pPr>
          </w:p>
        </w:tc>
      </w:tr>
    </w:tbl>
    <w:p>
      <w:pPr>
        <w:spacing w:after="0" w:line="17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were operating and finance lease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2520" w:type="dxa"/>
            <w:vAlign w:val="bottom"/>
            <w:gridSpan w:val="5"/>
          </w:tcPr>
          <w:p>
            <w:pPr>
              <w:jc w:val="right"/>
              <w:ind w:right="7"/>
              <w:spacing w:after="0"/>
              <w:rPr>
                <w:sz w:val="20"/>
                <w:szCs w:val="20"/>
                <w:color w:val="auto"/>
              </w:rPr>
            </w:pPr>
            <w:r>
              <w:rPr>
                <w:rFonts w:ascii="Arial" w:cs="Arial" w:eastAsia="Arial" w:hAnsi="Arial"/>
                <w:sz w:val="12"/>
                <w:szCs w:val="12"/>
                <w:b w:val="1"/>
                <w:bCs w:val="1"/>
                <w:color w:val="auto"/>
              </w:rPr>
              <w:t>Three Months Ended September 30,</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60" w:type="dxa"/>
            <w:vAlign w:val="bottom"/>
            <w:gridSpan w:val="9"/>
          </w:tcPr>
          <w:p>
            <w:pPr>
              <w:jc w:val="right"/>
              <w:ind w:right="760"/>
              <w:spacing w:after="0"/>
              <w:rPr>
                <w:sz w:val="20"/>
                <w:szCs w:val="20"/>
                <w:color w:val="auto"/>
              </w:rPr>
            </w:pPr>
            <w:r>
              <w:rPr>
                <w:rFonts w:ascii="Arial" w:cs="Arial" w:eastAsia="Arial" w:hAnsi="Arial"/>
                <w:sz w:val="12"/>
                <w:szCs w:val="12"/>
                <w:b w:val="1"/>
                <w:bCs w:val="1"/>
                <w:color w:val="auto"/>
              </w:rPr>
              <w:t>Nine Months Ended September 30,</w:t>
            </w:r>
          </w:p>
        </w:tc>
      </w:tr>
      <w:tr>
        <w:trPr>
          <w:trHeight w:val="177"/>
        </w:trPr>
        <w:tc>
          <w:tcPr>
            <w:tcW w:w="484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2"/>
                <w:szCs w:val="12"/>
                <w:b w:val="1"/>
                <w:bCs w:val="1"/>
                <w:color w:val="auto"/>
              </w:rPr>
              <w:t>2023</w:t>
            </w:r>
          </w:p>
        </w:tc>
        <w:tc>
          <w:tcPr>
            <w:tcW w:w="4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2022</w:t>
            </w:r>
          </w:p>
        </w:tc>
        <w:tc>
          <w:tcPr>
            <w:tcW w:w="540" w:type="dxa"/>
            <w:vAlign w:val="bottom"/>
            <w:tcBorders>
              <w:top w:val="single" w:sz="8" w:color="auto"/>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gridSpan w:val="4"/>
          </w:tcPr>
          <w:p>
            <w:pPr>
              <w:jc w:val="right"/>
              <w:ind w:right="200"/>
              <w:spacing w:after="0"/>
              <w:rPr>
                <w:sz w:val="20"/>
                <w:szCs w:val="20"/>
                <w:color w:val="auto"/>
              </w:rPr>
            </w:pPr>
            <w:r>
              <w:rPr>
                <w:rFonts w:ascii="Arial" w:cs="Arial" w:eastAsia="Arial" w:hAnsi="Arial"/>
                <w:sz w:val="12"/>
                <w:szCs w:val="12"/>
                <w:b w:val="1"/>
                <w:bCs w:val="1"/>
                <w:color w:val="auto"/>
              </w:rPr>
              <w:t>2023</w:t>
            </w:r>
          </w:p>
        </w:tc>
        <w:tc>
          <w:tcPr>
            <w:tcW w:w="36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2"/>
                <w:szCs w:val="12"/>
                <w:b w:val="1"/>
                <w:bCs w:val="1"/>
                <w:color w:val="auto"/>
                <w:w w:val="82"/>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4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4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Operating lease cost</w:t>
            </w:r>
          </w:p>
        </w:tc>
        <w:tc>
          <w:tcPr>
            <w:tcW w:w="960" w:type="dxa"/>
            <w:vAlign w:val="bottom"/>
            <w:shd w:val="clear" w:color="auto" w:fill="CFF0FC"/>
          </w:tcPr>
          <w:p>
            <w:pPr>
              <w:jc w:val="right"/>
              <w:ind w:right="81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1,703</w:t>
            </w:r>
          </w:p>
        </w:tc>
        <w:tc>
          <w:tcPr>
            <w:tcW w:w="620" w:type="dxa"/>
            <w:vAlign w:val="bottom"/>
            <w:gridSpan w:val="2"/>
            <w:shd w:val="clear" w:color="auto" w:fill="CFF0FC"/>
          </w:tcPr>
          <w:p>
            <w:pPr>
              <w:jc w:val="right"/>
              <w:ind w:right="174"/>
              <w:spacing w:after="0"/>
              <w:rPr>
                <w:sz w:val="20"/>
                <w:szCs w:val="20"/>
                <w:color w:val="auto"/>
              </w:rPr>
            </w:pPr>
            <w:r>
              <w:rPr>
                <w:rFonts w:ascii="Arial" w:cs="Arial" w:eastAsia="Arial" w:hAnsi="Arial"/>
                <w:sz w:val="15"/>
                <w:szCs w:val="15"/>
                <w:color w:val="auto"/>
              </w:rPr>
              <w:t>$</w:t>
            </w:r>
          </w:p>
        </w:tc>
        <w:tc>
          <w:tcPr>
            <w:tcW w:w="5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1,770</w:t>
            </w:r>
          </w:p>
        </w:tc>
        <w:tc>
          <w:tcPr>
            <w:tcW w:w="500" w:type="dxa"/>
            <w:vAlign w:val="bottom"/>
            <w:gridSpan w:val="2"/>
            <w:shd w:val="clear" w:color="auto" w:fill="CFF0FC"/>
          </w:tcPr>
          <w:p>
            <w:pPr>
              <w:jc w:val="right"/>
              <w:ind w:right="67"/>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0"/>
              </w:rPr>
              <w:t>5,239</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ind w:left="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3,674</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4840" w:type="dxa"/>
            <w:vAlign w:val="bottom"/>
          </w:tcPr>
          <w:p>
            <w:pPr>
              <w:ind w:left="20"/>
              <w:spacing w:after="0"/>
              <w:rPr>
                <w:sz w:val="20"/>
                <w:szCs w:val="20"/>
                <w:color w:val="auto"/>
              </w:rPr>
            </w:pPr>
            <w:r>
              <w:rPr>
                <w:rFonts w:ascii="Arial" w:cs="Arial" w:eastAsia="Arial" w:hAnsi="Arial"/>
                <w:sz w:val="15"/>
                <w:szCs w:val="15"/>
                <w:color w:val="auto"/>
              </w:rPr>
              <w:t>Finance lease cost:</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4840" w:type="dxa"/>
            <w:vAlign w:val="bottom"/>
            <w:shd w:val="clear" w:color="auto" w:fill="CFF0FC"/>
          </w:tcPr>
          <w:p>
            <w:pPr>
              <w:ind w:left="160"/>
              <w:spacing w:after="0"/>
              <w:rPr>
                <w:sz w:val="20"/>
                <w:szCs w:val="20"/>
                <w:color w:val="auto"/>
              </w:rPr>
            </w:pPr>
            <w:r>
              <w:rPr>
                <w:rFonts w:ascii="Arial" w:cs="Arial" w:eastAsia="Arial" w:hAnsi="Arial"/>
                <w:sz w:val="15"/>
                <w:szCs w:val="15"/>
                <w:color w:val="auto"/>
              </w:rPr>
              <w:t>Amortization of ROU assets</w:t>
            </w: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622</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490</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4840" w:type="dxa"/>
            <w:vAlign w:val="bottom"/>
          </w:tcPr>
          <w:p>
            <w:pPr>
              <w:ind w:left="160"/>
              <w:spacing w:after="0"/>
              <w:rPr>
                <w:sz w:val="20"/>
                <w:szCs w:val="20"/>
                <w:color w:val="auto"/>
              </w:rPr>
            </w:pPr>
            <w:r>
              <w:rPr>
                <w:rFonts w:ascii="Arial" w:cs="Arial" w:eastAsia="Arial" w:hAnsi="Arial"/>
                <w:sz w:val="15"/>
                <w:szCs w:val="15"/>
                <w:color w:val="auto"/>
              </w:rPr>
              <w:t>Interest on lease liabilities</w:t>
            </w:r>
          </w:p>
        </w:tc>
        <w:tc>
          <w:tcPr>
            <w:tcW w:w="9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15</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67</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Short-term lease cost</w:t>
            </w:r>
          </w:p>
        </w:tc>
        <w:tc>
          <w:tcPr>
            <w:tcW w:w="9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453</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112</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0"/>
              </w:rPr>
              <w:t>1,460</w:t>
            </w:r>
          </w:p>
        </w:tc>
        <w:tc>
          <w:tcPr>
            <w:tcW w:w="2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1,042</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188"/>
        </w:trPr>
        <w:tc>
          <w:tcPr>
            <w:tcW w:w="4840" w:type="dxa"/>
            <w:vAlign w:val="bottom"/>
          </w:tcPr>
          <w:p>
            <w:pPr>
              <w:ind w:left="20"/>
              <w:spacing w:after="0"/>
              <w:rPr>
                <w:sz w:val="20"/>
                <w:szCs w:val="20"/>
                <w:color w:val="auto"/>
              </w:rPr>
            </w:pPr>
            <w:r>
              <w:rPr>
                <w:rFonts w:ascii="Arial" w:cs="Arial" w:eastAsia="Arial" w:hAnsi="Arial"/>
                <w:sz w:val="15"/>
                <w:szCs w:val="15"/>
                <w:color w:val="auto"/>
              </w:rPr>
              <w:t>Total lease cost</w:t>
            </w:r>
          </w:p>
        </w:tc>
        <w:tc>
          <w:tcPr>
            <w:tcW w:w="960" w:type="dxa"/>
            <w:vAlign w:val="bottom"/>
            <w:tcBorders>
              <w:bottom w:val="single" w:sz="8" w:color="auto"/>
            </w:tcBorders>
          </w:tcPr>
          <w:p>
            <w:pPr>
              <w:jc w:val="right"/>
              <w:ind w:right="81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2,307</w:t>
            </w:r>
          </w:p>
        </w:tc>
        <w:tc>
          <w:tcPr>
            <w:tcW w:w="300" w:type="dxa"/>
            <w:vAlign w:val="bottom"/>
          </w:tcPr>
          <w:p>
            <w:pPr>
              <w:spacing w:after="0"/>
              <w:rPr>
                <w:sz w:val="16"/>
                <w:szCs w:val="16"/>
                <w:color w:val="auto"/>
              </w:rPr>
            </w:pPr>
          </w:p>
        </w:tc>
        <w:tc>
          <w:tcPr>
            <w:tcW w:w="320" w:type="dxa"/>
            <w:vAlign w:val="bottom"/>
            <w:tcBorders>
              <w:bottom w:val="single" w:sz="8" w:color="auto"/>
            </w:tcBorders>
          </w:tcPr>
          <w:p>
            <w:pPr>
              <w:jc w:val="right"/>
              <w:ind w:right="17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2,138</w:t>
            </w:r>
          </w:p>
        </w:tc>
        <w:tc>
          <w:tcPr>
            <w:tcW w:w="280" w:type="dxa"/>
            <w:vAlign w:val="bottom"/>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7,388</w:t>
            </w:r>
          </w:p>
        </w:tc>
        <w:tc>
          <w:tcPr>
            <w:tcW w:w="260" w:type="dxa"/>
            <w:vAlign w:val="bottom"/>
          </w:tcPr>
          <w:p>
            <w:pPr>
              <w:spacing w:after="0"/>
              <w:rPr>
                <w:sz w:val="16"/>
                <w:szCs w:val="16"/>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5,272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3"/>
        </w:trPr>
        <w:tc>
          <w:tcPr>
            <w:tcW w:w="5800" w:type="dxa"/>
            <w:vAlign w:val="bottom"/>
            <w:gridSpan w:val="2"/>
          </w:tcPr>
          <w:p>
            <w:pPr>
              <w:ind w:left="520"/>
              <w:spacing w:after="0"/>
              <w:rPr>
                <w:sz w:val="20"/>
                <w:szCs w:val="20"/>
                <w:color w:val="auto"/>
              </w:rPr>
            </w:pPr>
            <w:r>
              <w:rPr>
                <w:rFonts w:ascii="Arial" w:cs="Arial" w:eastAsia="Arial" w:hAnsi="Arial"/>
                <w:sz w:val="15"/>
                <w:szCs w:val="15"/>
                <w:color w:val="auto"/>
                <w:w w:val="93"/>
              </w:rPr>
              <w:t>Supplemental information related to operating and finance leases were the following:</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4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200"/>
              <w:spacing w:after="0"/>
              <w:rPr>
                <w:sz w:val="20"/>
                <w:szCs w:val="20"/>
                <w:color w:val="auto"/>
              </w:rPr>
            </w:pPr>
            <w:r>
              <w:rPr>
                <w:rFonts w:ascii="Arial" w:cs="Arial" w:eastAsia="Arial" w:hAnsi="Arial"/>
                <w:sz w:val="12"/>
                <w:szCs w:val="12"/>
                <w:b w:val="1"/>
                <w:bCs w:val="1"/>
                <w:color w:val="auto"/>
                <w:w w:val="85"/>
              </w:rPr>
              <w:t>September 30, 2023</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4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Weighted average remaining lease term - operating leases</w:t>
            </w: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4.24 years</w:t>
            </w:r>
          </w:p>
        </w:tc>
        <w:tc>
          <w:tcPr>
            <w:tcW w:w="20" w:type="dxa"/>
            <w:vAlign w:val="bottom"/>
          </w:tcPr>
          <w:p>
            <w:pPr>
              <w:spacing w:after="0"/>
              <w:rPr>
                <w:sz w:val="16"/>
                <w:szCs w:val="16"/>
                <w:color w:val="auto"/>
              </w:rPr>
            </w:pPr>
          </w:p>
        </w:tc>
      </w:tr>
      <w:tr>
        <w:trPr>
          <w:trHeight w:val="191"/>
        </w:trPr>
        <w:tc>
          <w:tcPr>
            <w:tcW w:w="4840" w:type="dxa"/>
            <w:vAlign w:val="bottom"/>
          </w:tcPr>
          <w:p>
            <w:pPr>
              <w:ind w:left="20"/>
              <w:spacing w:after="0"/>
              <w:rPr>
                <w:sz w:val="20"/>
                <w:szCs w:val="20"/>
                <w:color w:val="auto"/>
              </w:rPr>
            </w:pPr>
            <w:r>
              <w:rPr>
                <w:rFonts w:ascii="Arial" w:cs="Arial" w:eastAsia="Arial" w:hAnsi="Arial"/>
                <w:sz w:val="15"/>
                <w:szCs w:val="15"/>
                <w:color w:val="auto"/>
              </w:rPr>
              <w:t>Weighted average discount rate - operating leases</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4.01 %</w:t>
            </w:r>
          </w:p>
        </w:tc>
      </w:tr>
      <w:tr>
        <w:trPr>
          <w:trHeight w:val="202"/>
        </w:trPr>
        <w:tc>
          <w:tcPr>
            <w:tcW w:w="4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Weighted average remaining lease term -finance lease</w:t>
            </w: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2.89 years</w:t>
            </w:r>
          </w:p>
        </w:tc>
        <w:tc>
          <w:tcPr>
            <w:tcW w:w="20" w:type="dxa"/>
            <w:vAlign w:val="bottom"/>
          </w:tcPr>
          <w:p>
            <w:pPr>
              <w:spacing w:after="0"/>
              <w:rPr>
                <w:sz w:val="17"/>
                <w:szCs w:val="17"/>
                <w:color w:val="auto"/>
              </w:rPr>
            </w:pPr>
          </w:p>
        </w:tc>
      </w:tr>
      <w:tr>
        <w:trPr>
          <w:trHeight w:val="186"/>
        </w:trPr>
        <w:tc>
          <w:tcPr>
            <w:tcW w:w="4840" w:type="dxa"/>
            <w:vAlign w:val="bottom"/>
          </w:tcPr>
          <w:p>
            <w:pPr>
              <w:ind w:left="20"/>
              <w:spacing w:after="0"/>
              <w:rPr>
                <w:sz w:val="20"/>
                <w:szCs w:val="20"/>
                <w:color w:val="auto"/>
              </w:rPr>
            </w:pPr>
            <w:r>
              <w:rPr>
                <w:rFonts w:ascii="Arial" w:cs="Arial" w:eastAsia="Arial" w:hAnsi="Arial"/>
                <w:sz w:val="15"/>
                <w:szCs w:val="15"/>
                <w:color w:val="auto"/>
              </w:rPr>
              <w:t>Weighted average discount rate - finance lease</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3.77 %</w:t>
            </w:r>
          </w:p>
        </w:tc>
      </w:tr>
      <w:tr>
        <w:trPr>
          <w:trHeight w:val="361"/>
        </w:trPr>
        <w:tc>
          <w:tcPr>
            <w:tcW w:w="9800" w:type="dxa"/>
            <w:vAlign w:val="bottom"/>
            <w:gridSpan w:val="15"/>
          </w:tcPr>
          <w:p>
            <w:pPr>
              <w:ind w:left="520"/>
              <w:spacing w:after="0"/>
              <w:rPr>
                <w:sz w:val="20"/>
                <w:szCs w:val="20"/>
                <w:color w:val="auto"/>
              </w:rPr>
            </w:pPr>
            <w:r>
              <w:rPr>
                <w:rFonts w:ascii="Arial" w:cs="Arial" w:eastAsia="Arial" w:hAnsi="Arial"/>
                <w:sz w:val="15"/>
                <w:szCs w:val="15"/>
                <w:color w:val="auto"/>
                <w:w w:val="88"/>
              </w:rPr>
              <w:t>The following is a maturity analysis of operating and finance lease liabilities using undiscounted cash flows on an annual basis with renewal periods included:</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4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2"/>
                <w:szCs w:val="12"/>
                <w:b w:val="1"/>
                <w:bCs w:val="1"/>
                <w:color w:val="auto"/>
                <w:w w:val="89"/>
              </w:rPr>
              <w:t>Operating Leases</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Finance Lease</w:t>
            </w:r>
          </w:p>
        </w:tc>
        <w:tc>
          <w:tcPr>
            <w:tcW w:w="120" w:type="dxa"/>
            <w:vAlign w:val="bottom"/>
            <w:gridSpan w:val="2"/>
          </w:tcPr>
          <w:p>
            <w:pPr>
              <w:spacing w:after="0"/>
              <w:rPr>
                <w:sz w:val="24"/>
                <w:szCs w:val="24"/>
                <w:color w:val="auto"/>
              </w:rPr>
            </w:pPr>
          </w:p>
        </w:tc>
      </w:tr>
      <w:tr>
        <w:trPr>
          <w:trHeight w:val="188"/>
        </w:trPr>
        <w:tc>
          <w:tcPr>
            <w:tcW w:w="4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5"/>
          </w:tcPr>
          <w:p>
            <w:pPr>
              <w:ind w:left="120"/>
              <w:spacing w:after="0"/>
              <w:rPr>
                <w:sz w:val="20"/>
                <w:szCs w:val="20"/>
                <w:color w:val="auto"/>
              </w:rPr>
            </w:pPr>
            <w:r>
              <w:rPr>
                <w:rFonts w:ascii="Arial" w:cs="Arial" w:eastAsia="Arial" w:hAnsi="Arial"/>
                <w:sz w:val="12"/>
                <w:szCs w:val="12"/>
                <w:b w:val="1"/>
                <w:bCs w:val="1"/>
                <w:color w:val="auto"/>
              </w:rPr>
              <w:t>(in thousands)</w:t>
            </w: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4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Year Ending December 31,</w:t>
            </w: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4840" w:type="dxa"/>
            <w:vAlign w:val="bottom"/>
          </w:tcPr>
          <w:p>
            <w:pPr>
              <w:ind w:left="20"/>
              <w:spacing w:after="0"/>
              <w:rPr>
                <w:sz w:val="20"/>
                <w:szCs w:val="20"/>
                <w:color w:val="auto"/>
              </w:rPr>
            </w:pPr>
            <w:r>
              <w:rPr>
                <w:rFonts w:ascii="Arial" w:cs="Arial" w:eastAsia="Arial" w:hAnsi="Arial"/>
                <w:sz w:val="15"/>
                <w:szCs w:val="15"/>
                <w:color w:val="auto"/>
              </w:rPr>
              <w:t>2023 (remaining 3 months)</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3"/>
          </w:tcPr>
          <w:p>
            <w:pPr>
              <w:jc w:val="right"/>
              <w:ind w:right="367"/>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1,643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4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2024</w:t>
            </w: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4,356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579</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4840" w:type="dxa"/>
            <w:vAlign w:val="bottom"/>
          </w:tcPr>
          <w:p>
            <w:pPr>
              <w:ind w:left="20"/>
              <w:spacing w:after="0"/>
              <w:rPr>
                <w:sz w:val="20"/>
                <w:szCs w:val="20"/>
                <w:color w:val="auto"/>
              </w:rPr>
            </w:pPr>
            <w:r>
              <w:rPr>
                <w:rFonts w:ascii="Arial" w:cs="Arial" w:eastAsia="Arial" w:hAnsi="Arial"/>
                <w:sz w:val="15"/>
                <w:szCs w:val="15"/>
                <w:color w:val="auto"/>
              </w:rPr>
              <w:t>2025</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2,407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467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4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2026</w:t>
            </w: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1,784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366</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4840" w:type="dxa"/>
            <w:vAlign w:val="bottom"/>
          </w:tcPr>
          <w:p>
            <w:pPr>
              <w:ind w:left="20"/>
              <w:spacing w:after="0"/>
              <w:rPr>
                <w:sz w:val="20"/>
                <w:szCs w:val="20"/>
                <w:color w:val="auto"/>
              </w:rPr>
            </w:pPr>
            <w:r>
              <w:rPr>
                <w:rFonts w:ascii="Arial" w:cs="Arial" w:eastAsia="Arial" w:hAnsi="Arial"/>
                <w:sz w:val="15"/>
                <w:szCs w:val="15"/>
                <w:color w:val="auto"/>
              </w:rPr>
              <w:t>2027</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1,684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r>
      <w:tr>
        <w:trPr>
          <w:trHeight w:val="202"/>
        </w:trPr>
        <w:tc>
          <w:tcPr>
            <w:tcW w:w="4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2028</w:t>
            </w: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541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r>
      <w:tr>
        <w:trPr>
          <w:trHeight w:val="197"/>
        </w:trPr>
        <w:tc>
          <w:tcPr>
            <w:tcW w:w="484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1,509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r>
      <w:tr>
        <w:trPr>
          <w:trHeight w:val="188"/>
        </w:trPr>
        <w:tc>
          <w:tcPr>
            <w:tcW w:w="484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 lease payments</w:t>
            </w: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91"/>
              </w:rPr>
              <w:t>13,924</w:t>
            </w:r>
          </w:p>
        </w:tc>
        <w:tc>
          <w:tcPr>
            <w:tcW w:w="1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1,508</w:t>
            </w: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4840" w:type="dxa"/>
            <w:vAlign w:val="bottom"/>
          </w:tcPr>
          <w:p>
            <w:pPr>
              <w:ind w:left="20"/>
              <w:spacing w:after="0"/>
              <w:rPr>
                <w:sz w:val="20"/>
                <w:szCs w:val="20"/>
                <w:color w:val="auto"/>
              </w:rPr>
            </w:pPr>
            <w:r>
              <w:rPr>
                <w:rFonts w:ascii="Arial" w:cs="Arial" w:eastAsia="Arial" w:hAnsi="Arial"/>
                <w:sz w:val="15"/>
                <w:szCs w:val="15"/>
                <w:color w:val="auto"/>
              </w:rPr>
              <w:t>Less imputed interest</w:t>
            </w: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5"/>
                <w:szCs w:val="15"/>
                <w:color w:val="auto"/>
                <w:w w:val="92"/>
              </w:rPr>
              <w:t>(1,246 )</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(77 )</w:t>
            </w:r>
          </w:p>
        </w:tc>
        <w:tc>
          <w:tcPr>
            <w:tcW w:w="20" w:type="dxa"/>
            <w:vAlign w:val="bottom"/>
          </w:tcPr>
          <w:p>
            <w:pPr>
              <w:spacing w:after="0"/>
              <w:rPr>
                <w:sz w:val="17"/>
                <w:szCs w:val="17"/>
                <w:color w:val="auto"/>
              </w:rPr>
            </w:pPr>
          </w:p>
        </w:tc>
      </w:tr>
      <w:tr>
        <w:trPr>
          <w:trHeight w:val="228"/>
        </w:trPr>
        <w:tc>
          <w:tcPr>
            <w:tcW w:w="48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5"/>
                <w:szCs w:val="15"/>
                <w:color w:val="auto"/>
              </w:rPr>
              <w:t>Total</w:t>
            </w:r>
          </w:p>
        </w:tc>
        <w:tc>
          <w:tcPr>
            <w:tcW w:w="9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91"/>
              </w:rPr>
              <w:t>12,678</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9"/>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1,431</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98"/>
        </w:trPr>
        <w:tc>
          <w:tcPr>
            <w:tcW w:w="4840" w:type="dxa"/>
            <w:vAlign w:val="bottom"/>
          </w:tcPr>
          <w:p>
            <w:pPr>
              <w:spacing w:after="0"/>
              <w:rPr>
                <w:sz w:val="24"/>
                <w:szCs w:val="24"/>
                <w:color w:val="auto"/>
              </w:rPr>
            </w:pPr>
          </w:p>
        </w:tc>
        <w:tc>
          <w:tcPr>
            <w:tcW w:w="960" w:type="dxa"/>
            <w:vAlign w:val="bottom"/>
          </w:tcPr>
          <w:p>
            <w:pPr>
              <w:jc w:val="right"/>
              <w:ind w:right="13"/>
              <w:spacing w:after="0"/>
              <w:rPr>
                <w:sz w:val="20"/>
                <w:szCs w:val="20"/>
                <w:color w:val="auto"/>
              </w:rPr>
            </w:pPr>
            <w:r>
              <w:rPr>
                <w:rFonts w:ascii="Arial" w:cs="Arial" w:eastAsia="Arial" w:hAnsi="Arial"/>
                <w:sz w:val="15"/>
                <w:szCs w:val="15"/>
                <w:color w:val="auto"/>
              </w:rPr>
              <w:t>15</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8"/>
        </w:trPr>
        <w:tc>
          <w:tcPr>
            <w:tcW w:w="484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-3498850</wp:posOffset>
            </wp:positionV>
            <wp:extent cx="76200" cy="153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200" cy="15303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-3498850</wp:posOffset>
            </wp:positionV>
            <wp:extent cx="76200" cy="153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200" cy="15303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-3498850</wp:posOffset>
            </wp:positionV>
            <wp:extent cx="69215" cy="153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215" cy="15303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-3498850</wp:posOffset>
            </wp:positionV>
            <wp:extent cx="69215" cy="153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215" cy="15303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-415925</wp:posOffset>
            </wp:positionV>
            <wp:extent cx="6921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-401955</wp:posOffset>
            </wp:positionV>
            <wp:extent cx="6921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-415925</wp:posOffset>
            </wp:positionV>
            <wp:extent cx="6921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-401955</wp:posOffset>
            </wp:positionV>
            <wp:extent cx="6921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479" w:right="29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i w:val="1"/>
          <w:iCs w:val="1"/>
          <w:color w:val="auto"/>
        </w:rPr>
        <w:t>Lessor</w:t>
      </w:r>
    </w:p>
    <w:p>
      <w:pPr>
        <w:spacing w:after="0" w:line="90" w:lineRule="exact"/>
        <w:rPr>
          <w:sz w:val="20"/>
          <w:szCs w:val="20"/>
          <w:color w:val="auto"/>
        </w:rPr>
      </w:pPr>
    </w:p>
    <w:p>
      <w:pPr>
        <w:jc w:val="both"/>
        <w:ind w:right="100" w:firstLine="511"/>
        <w:spacing w:after="0" w:line="279" w:lineRule="auto"/>
        <w:rPr>
          <w:sz w:val="20"/>
          <w:szCs w:val="20"/>
          <w:color w:val="auto"/>
        </w:rPr>
      </w:pPr>
      <w:r>
        <w:rPr>
          <w:rFonts w:ascii="Arial" w:cs="Arial" w:eastAsia="Arial" w:hAnsi="Arial"/>
          <w:sz w:val="14"/>
          <w:szCs w:val="14"/>
          <w:color w:val="auto"/>
        </w:rPr>
        <w:t>The Company leases out space in buildings it owns and leases to third-party tenants under noncancelable operating leases. As of September 30, 2023, the remaining lease terms range from 3 months to 15 months,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lease income was included in interest and other income, net, in the accompanying Condensed Consolidated Statements of Operations. Total lease income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2"/>
                <w:szCs w:val="12"/>
                <w:color w:val="auto"/>
              </w:rPr>
            </w:pPr>
          </w:p>
        </w:tc>
        <w:tc>
          <w:tcPr>
            <w:tcW w:w="28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2"/>
                <w:szCs w:val="12"/>
                <w:b w:val="1"/>
                <w:bCs w:val="1"/>
                <w:color w:val="auto"/>
              </w:rPr>
              <w:t>Three Months Ended September 30,</w:t>
            </w:r>
          </w:p>
        </w:tc>
        <w:tc>
          <w:tcPr>
            <w:tcW w:w="2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7"/>
              </w:rPr>
              <w:t>Nine Months Ended September 30,</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7"/>
        </w:trPr>
        <w:tc>
          <w:tcPr>
            <w:tcW w:w="4800" w:type="dxa"/>
            <w:vAlign w:val="bottom"/>
          </w:tcPr>
          <w:p>
            <w:pPr>
              <w:spacing w:after="0"/>
              <w:rPr>
                <w:sz w:val="15"/>
                <w:szCs w:val="15"/>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2"/>
                <w:szCs w:val="12"/>
                <w:b w:val="1"/>
                <w:bCs w:val="1"/>
                <w:color w:val="auto"/>
              </w:rPr>
              <w:t>2023</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2"/>
                <w:szCs w:val="12"/>
                <w:b w:val="1"/>
                <w:bCs w:val="1"/>
                <w:color w:val="auto"/>
              </w:rPr>
              <w:t>2022</w:t>
            </w: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422"/>
              <w:spacing w:after="0"/>
              <w:rPr>
                <w:sz w:val="20"/>
                <w:szCs w:val="20"/>
                <w:color w:val="auto"/>
              </w:rPr>
            </w:pPr>
            <w:r>
              <w:rPr>
                <w:rFonts w:ascii="Arial" w:cs="Arial" w:eastAsia="Arial" w:hAnsi="Arial"/>
                <w:sz w:val="12"/>
                <w:szCs w:val="12"/>
                <w:b w:val="1"/>
                <w:bCs w:val="1"/>
                <w:color w:val="auto"/>
              </w:rPr>
              <w:t>2023</w:t>
            </w:r>
          </w:p>
        </w:tc>
        <w:tc>
          <w:tcPr>
            <w:tcW w:w="280" w:type="dxa"/>
            <w:vAlign w:val="bottom"/>
          </w:tcPr>
          <w:p>
            <w:pPr>
              <w:spacing w:after="0"/>
              <w:rPr>
                <w:sz w:val="15"/>
                <w:szCs w:val="15"/>
                <w:color w:val="auto"/>
              </w:rPr>
            </w:pP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12"/>
                <w:szCs w:val="12"/>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4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w w:val="87"/>
              </w:rPr>
              <w:t>(in thousands)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4800" w:type="dxa"/>
            <w:vAlign w:val="bottom"/>
            <w:shd w:val="clear" w:color="auto" w:fill="CFF0FC"/>
          </w:tcPr>
          <w:p>
            <w:pPr>
              <w:ind w:left="20"/>
              <w:spacing w:after="0"/>
              <w:rPr>
                <w:sz w:val="20"/>
                <w:szCs w:val="20"/>
                <w:color w:val="auto"/>
              </w:rPr>
            </w:pPr>
            <w:r>
              <w:rPr>
                <w:rFonts w:ascii="Arial" w:cs="Arial" w:eastAsia="Arial" w:hAnsi="Arial"/>
                <w:sz w:val="15"/>
                <w:szCs w:val="15"/>
                <w:color w:val="auto"/>
              </w:rPr>
              <w:t>Lease income</w:t>
            </w:r>
          </w:p>
        </w:tc>
        <w:tc>
          <w:tcPr>
            <w:tcW w:w="1020" w:type="dxa"/>
            <w:vAlign w:val="bottom"/>
            <w:shd w:val="clear" w:color="auto" w:fill="CFF0FC"/>
          </w:tcPr>
          <w:p>
            <w:pPr>
              <w:jc w:val="right"/>
              <w:ind w:right="854"/>
              <w:spacing w:after="0"/>
              <w:rPr>
                <w:sz w:val="20"/>
                <w:szCs w:val="20"/>
                <w:color w:val="auto"/>
              </w:rPr>
            </w:pPr>
            <w:r>
              <w:rPr>
                <w:rFonts w:ascii="Arial" w:cs="Arial" w:eastAsia="Arial" w:hAnsi="Arial"/>
                <w:sz w:val="15"/>
                <w:szCs w:val="15"/>
                <w:color w:val="auto"/>
                <w:w w:val="95"/>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w:t>
            </w:r>
          </w:p>
        </w:tc>
        <w:tc>
          <w:tcPr>
            <w:tcW w:w="1420" w:type="dxa"/>
            <w:vAlign w:val="bottom"/>
            <w:gridSpan w:val="2"/>
            <w:shd w:val="clear" w:color="auto" w:fill="CFF0FC"/>
          </w:tcPr>
          <w:p>
            <w:pPr>
              <w:jc w:val="right"/>
              <w:ind w:right="97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w:t>
            </w:r>
          </w:p>
        </w:tc>
        <w:tc>
          <w:tcPr>
            <w:tcW w:w="620" w:type="dxa"/>
            <w:vAlign w:val="bottom"/>
            <w:gridSpan w:val="2"/>
            <w:shd w:val="clear" w:color="auto" w:fill="CFF0FC"/>
          </w:tcPr>
          <w:p>
            <w:pPr>
              <w:jc w:val="right"/>
              <w:ind w:right="187"/>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119</w:t>
            </w:r>
          </w:p>
        </w:tc>
        <w:tc>
          <w:tcPr>
            <w:tcW w:w="1420" w:type="dxa"/>
            <w:vAlign w:val="bottom"/>
            <w:gridSpan w:val="2"/>
            <w:shd w:val="clear" w:color="auto" w:fill="CFF0FC"/>
          </w:tcPr>
          <w:p>
            <w:pPr>
              <w:jc w:val="center"/>
              <w:ind w:right="694"/>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w:t>
            </w:r>
          </w:p>
        </w:tc>
        <w:tc>
          <w:tcPr>
            <w:tcW w:w="100" w:type="dxa"/>
            <w:vAlign w:val="bottom"/>
            <w:shd w:val="clear" w:color="auto" w:fill="CFF0FC"/>
          </w:tcPr>
          <w:p>
            <w:pPr>
              <w:spacing w:after="0"/>
              <w:rPr>
                <w:sz w:val="17"/>
                <w:szCs w:val="17"/>
                <w:color w:val="auto"/>
              </w:rPr>
            </w:pPr>
          </w:p>
        </w:tc>
      </w:tr>
      <w:tr>
        <w:trPr>
          <w:trHeight w:val="191"/>
        </w:trPr>
        <w:tc>
          <w:tcPr>
            <w:tcW w:w="4800" w:type="dxa"/>
            <w:vAlign w:val="bottom"/>
          </w:tcPr>
          <w:p>
            <w:pPr>
              <w:ind w:left="20"/>
              <w:spacing w:after="0"/>
              <w:rPr>
                <w:sz w:val="20"/>
                <w:szCs w:val="20"/>
                <w:color w:val="auto"/>
              </w:rPr>
            </w:pPr>
            <w:r>
              <w:rPr>
                <w:rFonts w:ascii="Arial" w:cs="Arial" w:eastAsia="Arial" w:hAnsi="Arial"/>
                <w:sz w:val="15"/>
                <w:szCs w:val="15"/>
                <w:color w:val="auto"/>
              </w:rPr>
              <w:t>Variable lease income</w:t>
            </w: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2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8</w:t>
            </w:r>
          </w:p>
        </w:tc>
        <w:tc>
          <w:tcPr>
            <w:tcW w:w="2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r>
      <w:tr>
        <w:trPr>
          <w:trHeight w:val="228"/>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Total lease income</w:t>
            </w:r>
          </w:p>
        </w:tc>
        <w:tc>
          <w:tcPr>
            <w:tcW w:w="1020" w:type="dxa"/>
            <w:vAlign w:val="bottom"/>
            <w:tcBorders>
              <w:bottom w:val="single" w:sz="8" w:color="auto"/>
            </w:tcBorders>
            <w:shd w:val="clear" w:color="auto" w:fill="CFF0FC"/>
          </w:tcPr>
          <w:p>
            <w:pPr>
              <w:jc w:val="right"/>
              <w:ind w:right="854"/>
              <w:spacing w:after="0"/>
              <w:rPr>
                <w:sz w:val="20"/>
                <w:szCs w:val="20"/>
                <w:color w:val="auto"/>
              </w:rPr>
            </w:pPr>
            <w:r>
              <w:rPr>
                <w:rFonts w:ascii="Arial" w:cs="Arial" w:eastAsia="Arial" w:hAnsi="Arial"/>
                <w:sz w:val="15"/>
                <w:szCs w:val="15"/>
                <w:color w:val="auto"/>
                <w:w w:val="95"/>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37</w:t>
            </w:r>
          </w:p>
        </w:tc>
        <w:tc>
          <w:tcPr>
            <w:tcW w:w="2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74"/>
              <w:spacing w:after="0"/>
              <w:rPr>
                <w:sz w:val="20"/>
                <w:szCs w:val="20"/>
                <w:color w:val="auto"/>
              </w:rPr>
            </w:pPr>
            <w:r>
              <w:rPr>
                <w:rFonts w:ascii="Arial" w:cs="Arial" w:eastAsia="Arial" w:hAnsi="Arial"/>
                <w:sz w:val="15"/>
                <w:szCs w:val="15"/>
                <w:color w:val="auto"/>
                <w:w w:val="95"/>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48</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rPr>
              <w:t>127</w:t>
            </w:r>
          </w:p>
        </w:tc>
        <w:tc>
          <w:tcPr>
            <w:tcW w:w="2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center"/>
              <w:ind w:right="974"/>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328"/>
        </w:trPr>
        <w:tc>
          <w:tcPr>
            <w:tcW w:w="7600" w:type="dxa"/>
            <w:vAlign w:val="bottom"/>
            <w:gridSpan w:val="5"/>
          </w:tcPr>
          <w:p>
            <w:pPr>
              <w:ind w:left="520"/>
              <w:spacing w:after="0"/>
              <w:rPr>
                <w:sz w:val="20"/>
                <w:szCs w:val="20"/>
                <w:color w:val="auto"/>
              </w:rPr>
            </w:pPr>
            <w:r>
              <w:rPr>
                <w:rFonts w:ascii="Arial" w:cs="Arial" w:eastAsia="Arial" w:hAnsi="Arial"/>
                <w:sz w:val="15"/>
                <w:szCs w:val="15"/>
                <w:color w:val="auto"/>
                <w:w w:val="87"/>
              </w:rPr>
              <w:t>Future fixed lease payments from tenants for all noncancelable operating leases as of September 30, 2023 are as follows: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4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gridSpan w:val="2"/>
          </w:tcPr>
          <w:p>
            <w:pPr>
              <w:jc w:val="center"/>
              <w:ind w:right="154"/>
              <w:spacing w:after="0"/>
              <w:rPr>
                <w:sz w:val="20"/>
                <w:szCs w:val="20"/>
                <w:color w:val="auto"/>
              </w:rPr>
            </w:pPr>
            <w:r>
              <w:rPr>
                <w:rFonts w:ascii="Arial" w:cs="Arial" w:eastAsia="Arial" w:hAnsi="Arial"/>
                <w:sz w:val="12"/>
                <w:szCs w:val="12"/>
                <w:b w:val="1"/>
                <w:bCs w:val="1"/>
                <w:color w:val="auto"/>
                <w:w w:val="85"/>
              </w:rPr>
              <w:t>Lease Payments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4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74"/>
              <w:spacing w:after="0"/>
              <w:rPr>
                <w:sz w:val="20"/>
                <w:szCs w:val="20"/>
                <w:color w:val="auto"/>
              </w:rPr>
            </w:pPr>
            <w:r>
              <w:rPr>
                <w:rFonts w:ascii="Arial" w:cs="Arial" w:eastAsia="Arial" w:hAnsi="Arial"/>
                <w:sz w:val="12"/>
                <w:szCs w:val="12"/>
                <w:b w:val="1"/>
                <w:bCs w:val="1"/>
                <w:color w:val="auto"/>
                <w:w w:val="86"/>
              </w:rPr>
              <w:t>from Tenants</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4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gridSpan w:val="2"/>
          </w:tcPr>
          <w:p>
            <w:pPr>
              <w:jc w:val="center"/>
              <w:ind w:right="154"/>
              <w:spacing w:after="0"/>
              <w:rPr>
                <w:sz w:val="20"/>
                <w:szCs w:val="20"/>
                <w:color w:val="auto"/>
              </w:rPr>
            </w:pPr>
            <w:r>
              <w:rPr>
                <w:rFonts w:ascii="Arial" w:cs="Arial" w:eastAsia="Arial" w:hAnsi="Arial"/>
                <w:sz w:val="12"/>
                <w:szCs w:val="12"/>
                <w:b w:val="1"/>
                <w:bCs w:val="1"/>
                <w:color w:val="auto"/>
                <w:w w:val="87"/>
              </w:rPr>
              <w:t>(in thousands)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4800" w:type="dxa"/>
            <w:vAlign w:val="bottom"/>
            <w:shd w:val="clear" w:color="auto" w:fill="CFF0FC"/>
          </w:tcPr>
          <w:p>
            <w:pPr>
              <w:ind w:left="20"/>
              <w:spacing w:after="0"/>
              <w:rPr>
                <w:sz w:val="20"/>
                <w:szCs w:val="20"/>
                <w:color w:val="auto"/>
              </w:rPr>
            </w:pPr>
            <w:r>
              <w:rPr>
                <w:rFonts w:ascii="Arial" w:cs="Arial" w:eastAsia="Arial" w:hAnsi="Arial"/>
                <w:sz w:val="15"/>
                <w:szCs w:val="15"/>
                <w:color w:val="auto"/>
              </w:rPr>
              <w:t>Year Ending December 31,</w:t>
            </w: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1"/>
        </w:trPr>
        <w:tc>
          <w:tcPr>
            <w:tcW w:w="4800" w:type="dxa"/>
            <w:vAlign w:val="bottom"/>
          </w:tcPr>
          <w:p>
            <w:pPr>
              <w:ind w:left="20"/>
              <w:spacing w:after="0"/>
              <w:rPr>
                <w:sz w:val="20"/>
                <w:szCs w:val="20"/>
                <w:color w:val="auto"/>
              </w:rPr>
            </w:pPr>
            <w:r>
              <w:rPr>
                <w:rFonts w:ascii="Arial" w:cs="Arial" w:eastAsia="Arial" w:hAnsi="Arial"/>
                <w:sz w:val="15"/>
                <w:szCs w:val="15"/>
                <w:color w:val="auto"/>
              </w:rPr>
              <w:t>2023 (remaining 3 months)</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2"/>
          </w:tcPr>
          <w:p>
            <w:pPr>
              <w:jc w:val="right"/>
              <w:ind w:right="542"/>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6"/>
                <w:szCs w:val="16"/>
                <w:color w:val="auto"/>
              </w:rPr>
            </w:pPr>
          </w:p>
        </w:tc>
      </w:tr>
      <w:tr>
        <w:trPr>
          <w:trHeight w:val="202"/>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2024</w:t>
            </w:r>
          </w:p>
        </w:tc>
        <w:tc>
          <w:tcPr>
            <w:tcW w:w="10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8"/>
        </w:trPr>
        <w:tc>
          <w:tcPr>
            <w:tcW w:w="4800" w:type="dxa"/>
            <w:vAlign w:val="bottom"/>
          </w:tcPr>
          <w:p>
            <w:pPr>
              <w:ind w:left="100"/>
              <w:spacing w:after="0"/>
              <w:rPr>
                <w:sz w:val="20"/>
                <w:szCs w:val="20"/>
                <w:color w:val="auto"/>
              </w:rPr>
            </w:pPr>
            <w:r>
              <w:rPr>
                <w:rFonts w:ascii="Arial" w:cs="Arial" w:eastAsia="Arial" w:hAnsi="Arial"/>
                <w:sz w:val="15"/>
                <w:szCs w:val="15"/>
                <w:color w:val="auto"/>
              </w:rPr>
              <w:t>Total</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2"/>
          </w:tcPr>
          <w:p>
            <w:pPr>
              <w:jc w:val="right"/>
              <w:ind w:right="542"/>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6"/>
                <w:szCs w:val="16"/>
                <w:color w:val="auto"/>
              </w:rPr>
            </w:pPr>
          </w:p>
        </w:tc>
      </w:tr>
      <w:tr>
        <w:trPr>
          <w:trHeight w:val="20"/>
        </w:trPr>
        <w:tc>
          <w:tcPr>
            <w:tcW w:w="4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-1256030</wp:posOffset>
            </wp:positionV>
            <wp:extent cx="7620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-1242060</wp:posOffset>
            </wp:positionV>
            <wp:extent cx="7620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-1256030</wp:posOffset>
            </wp:positionV>
            <wp:extent cx="6921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-1242060</wp:posOffset>
            </wp:positionV>
            <wp:extent cx="6921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-1256030</wp:posOffset>
            </wp:positionV>
            <wp:extent cx="6921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-1242060</wp:posOffset>
            </wp:positionV>
            <wp:extent cx="6921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-1256030</wp:posOffset>
            </wp:positionV>
            <wp:extent cx="6921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-1242060</wp:posOffset>
            </wp:positionV>
            <wp:extent cx="6921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-152400</wp:posOffset>
            </wp:positionV>
            <wp:extent cx="69215" cy="153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15" cy="15303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Equity-Based Compensation</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has included equity-based compensation expense as part of cost of revenue and operating expenses in the accompanying Condensed Consolidated Statements of</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Operations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2"/>
                <w:szCs w:val="12"/>
                <w:color w:val="auto"/>
              </w:rPr>
            </w:pPr>
          </w:p>
        </w:tc>
        <w:tc>
          <w:tcPr>
            <w:tcW w:w="2640" w:type="dxa"/>
            <w:vAlign w:val="bottom"/>
            <w:tcBorders>
              <w:bottom w:val="single" w:sz="8" w:color="auto"/>
            </w:tcBorders>
            <w:gridSpan w:val="5"/>
          </w:tcPr>
          <w:p>
            <w:pPr>
              <w:ind w:left="640"/>
              <w:spacing w:after="0"/>
              <w:rPr>
                <w:sz w:val="20"/>
                <w:szCs w:val="20"/>
                <w:color w:val="auto"/>
              </w:rPr>
            </w:pPr>
            <w:r>
              <w:rPr>
                <w:rFonts w:ascii="Arial" w:cs="Arial" w:eastAsia="Arial" w:hAnsi="Arial"/>
                <w:sz w:val="12"/>
                <w:szCs w:val="12"/>
                <w:b w:val="1"/>
                <w:bCs w:val="1"/>
                <w:color w:val="auto"/>
                <w:w w:val="97"/>
              </w:rPr>
              <w:t>Three Months Ended September 30,</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2"/>
                <w:szCs w:val="12"/>
                <w:b w:val="1"/>
                <w:bCs w:val="1"/>
                <w:color w:val="auto"/>
              </w:rPr>
              <w:t>Nine Months Ended September 30,</w:t>
            </w:r>
          </w:p>
        </w:tc>
        <w:tc>
          <w:tcPr>
            <w:tcW w:w="100" w:type="dxa"/>
            <w:vAlign w:val="bottom"/>
          </w:tcPr>
          <w:p>
            <w:pPr>
              <w:spacing w:after="0"/>
              <w:rPr>
                <w:sz w:val="12"/>
                <w:szCs w:val="12"/>
                <w:color w:val="auto"/>
              </w:rPr>
            </w:pPr>
          </w:p>
        </w:tc>
      </w:tr>
      <w:tr>
        <w:trPr>
          <w:trHeight w:val="133"/>
        </w:trPr>
        <w:tc>
          <w:tcPr>
            <w:tcW w:w="4920" w:type="dxa"/>
            <w:vAlign w:val="bottom"/>
          </w:tcPr>
          <w:p>
            <w:pPr>
              <w:spacing w:after="0"/>
              <w:rPr>
                <w:sz w:val="11"/>
                <w:szCs w:val="11"/>
                <w:color w:val="auto"/>
              </w:rPr>
            </w:pPr>
          </w:p>
        </w:tc>
        <w:tc>
          <w:tcPr>
            <w:tcW w:w="900" w:type="dxa"/>
            <w:vAlign w:val="bottom"/>
            <w:tcBorders>
              <w:bottom w:val="single" w:sz="8" w:color="auto"/>
            </w:tcBorders>
          </w:tcPr>
          <w:p>
            <w:pPr>
              <w:jc w:val="right"/>
              <w:ind w:right="13"/>
              <w:spacing w:after="0" w:line="133" w:lineRule="exact"/>
              <w:rPr>
                <w:sz w:val="20"/>
                <w:szCs w:val="20"/>
                <w:color w:val="auto"/>
              </w:rPr>
            </w:pPr>
            <w:r>
              <w:rPr>
                <w:rFonts w:ascii="Arial" w:cs="Arial" w:eastAsia="Arial" w:hAnsi="Arial"/>
                <w:sz w:val="12"/>
                <w:szCs w:val="12"/>
                <w:b w:val="1"/>
                <w:bCs w:val="1"/>
                <w:color w:val="auto"/>
              </w:rPr>
              <w:t>2023</w:t>
            </w:r>
          </w:p>
        </w:tc>
        <w:tc>
          <w:tcPr>
            <w:tcW w:w="500" w:type="dxa"/>
            <w:vAlign w:val="bottom"/>
            <w:tcBorders>
              <w:bottom w:val="single" w:sz="8" w:color="auto"/>
            </w:tcBorders>
          </w:tcPr>
          <w:p>
            <w:pPr>
              <w:spacing w:after="0"/>
              <w:rPr>
                <w:sz w:val="11"/>
                <w:szCs w:val="11"/>
                <w:color w:val="auto"/>
              </w:rPr>
            </w:pPr>
          </w:p>
        </w:tc>
        <w:tc>
          <w:tcPr>
            <w:tcW w:w="300" w:type="dxa"/>
            <w:vAlign w:val="bottom"/>
            <w:gridSpan w:val="2"/>
          </w:tcPr>
          <w:p>
            <w:pPr>
              <w:spacing w:after="0"/>
              <w:rPr>
                <w:sz w:val="11"/>
                <w:szCs w:val="11"/>
                <w:color w:val="auto"/>
              </w:rPr>
            </w:pPr>
          </w:p>
        </w:tc>
        <w:tc>
          <w:tcPr>
            <w:tcW w:w="940" w:type="dxa"/>
            <w:vAlign w:val="bottom"/>
            <w:tcBorders>
              <w:bottom w:val="single" w:sz="8" w:color="auto"/>
            </w:tcBorders>
          </w:tcPr>
          <w:p>
            <w:pPr>
              <w:jc w:val="right"/>
              <w:ind w:right="62"/>
              <w:spacing w:after="0" w:line="133" w:lineRule="exact"/>
              <w:rPr>
                <w:sz w:val="20"/>
                <w:szCs w:val="20"/>
                <w:color w:val="auto"/>
              </w:rPr>
            </w:pPr>
            <w:r>
              <w:rPr>
                <w:rFonts w:ascii="Arial" w:cs="Arial" w:eastAsia="Arial" w:hAnsi="Arial"/>
                <w:sz w:val="12"/>
                <w:szCs w:val="12"/>
                <w:b w:val="1"/>
                <w:bCs w:val="1"/>
                <w:color w:val="auto"/>
              </w:rPr>
              <w:t>2022</w:t>
            </w: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51"/>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10"/>
              <w:spacing w:after="0" w:line="133" w:lineRule="exact"/>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1"/>
                <w:szCs w:val="11"/>
                <w:color w:val="auto"/>
              </w:rPr>
            </w:pPr>
          </w:p>
        </w:tc>
      </w:tr>
      <w:tr>
        <w:trPr>
          <w:trHeight w:val="133"/>
        </w:trPr>
        <w:tc>
          <w:tcPr>
            <w:tcW w:w="4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(in thousands)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7"/>
        </w:trPr>
        <w:tc>
          <w:tcPr>
            <w:tcW w:w="4920" w:type="dxa"/>
            <w:vAlign w:val="bottom"/>
            <w:shd w:val="clear" w:color="auto" w:fill="CFF0FC"/>
          </w:tcPr>
          <w:p>
            <w:pPr>
              <w:ind w:left="20"/>
              <w:spacing w:after="0"/>
              <w:rPr>
                <w:sz w:val="20"/>
                <w:szCs w:val="20"/>
                <w:color w:val="auto"/>
              </w:rPr>
            </w:pPr>
            <w:r>
              <w:rPr>
                <w:rFonts w:ascii="Arial" w:cs="Arial" w:eastAsia="Arial" w:hAnsi="Arial"/>
                <w:sz w:val="15"/>
                <w:szCs w:val="15"/>
                <w:color w:val="auto"/>
              </w:rPr>
              <w:t>Cost of revenue</w:t>
            </w:r>
          </w:p>
        </w:tc>
        <w:tc>
          <w:tcPr>
            <w:tcW w:w="900" w:type="dxa"/>
            <w:vAlign w:val="bottom"/>
            <w:shd w:val="clear" w:color="auto" w:fill="CFF0FC"/>
          </w:tcPr>
          <w:p>
            <w:pPr>
              <w:jc w:val="right"/>
              <w:ind w:right="75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2,621</w:t>
            </w:r>
          </w:p>
        </w:tc>
        <w:tc>
          <w:tcPr>
            <w:tcW w:w="1240" w:type="dxa"/>
            <w:vAlign w:val="bottom"/>
            <w:gridSpan w:val="3"/>
            <w:shd w:val="clear" w:color="auto" w:fill="CFF0FC"/>
          </w:tcPr>
          <w:p>
            <w:pPr>
              <w:jc w:val="right"/>
              <w:ind w:right="802"/>
              <w:spacing w:after="0"/>
              <w:rPr>
                <w:sz w:val="20"/>
                <w:szCs w:val="20"/>
                <w:color w:val="auto"/>
              </w:rPr>
            </w:pPr>
            <w:r>
              <w:rPr>
                <w:rFonts w:ascii="Arial" w:cs="Arial" w:eastAsia="Arial" w:hAnsi="Arial"/>
                <w:sz w:val="15"/>
                <w:szCs w:val="15"/>
                <w:color w:val="auto"/>
              </w:rPr>
              <w:t>$</w:t>
            </w:r>
          </w:p>
        </w:tc>
        <w:tc>
          <w:tcPr>
            <w:tcW w:w="460" w:type="dxa"/>
            <w:vAlign w:val="bottom"/>
            <w:shd w:val="clear" w:color="auto" w:fill="CFF0FC"/>
          </w:tcPr>
          <w:p>
            <w:pPr>
              <w:ind w:left="120"/>
              <w:spacing w:after="0"/>
              <w:rPr>
                <w:sz w:val="20"/>
                <w:szCs w:val="20"/>
                <w:color w:val="auto"/>
              </w:rPr>
            </w:pPr>
            <w:r>
              <w:rPr>
                <w:rFonts w:ascii="Arial" w:cs="Arial" w:eastAsia="Arial" w:hAnsi="Arial"/>
                <w:sz w:val="15"/>
                <w:szCs w:val="15"/>
                <w:color w:val="auto"/>
                <w:w w:val="85"/>
              </w:rPr>
              <w:t>2,475</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7,374</w:t>
            </w:r>
          </w:p>
        </w:tc>
        <w:tc>
          <w:tcPr>
            <w:tcW w:w="580" w:type="dxa"/>
            <w:vAlign w:val="bottom"/>
            <w:gridSpan w:val="3"/>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6,183</w:t>
            </w:r>
          </w:p>
        </w:tc>
        <w:tc>
          <w:tcPr>
            <w:tcW w:w="100" w:type="dxa"/>
            <w:vAlign w:val="bottom"/>
            <w:shd w:val="clear" w:color="auto" w:fill="CFF0FC"/>
          </w:tcPr>
          <w:p>
            <w:pPr>
              <w:spacing w:after="0"/>
              <w:rPr>
                <w:sz w:val="17"/>
                <w:szCs w:val="17"/>
                <w:color w:val="auto"/>
              </w:rPr>
            </w:pPr>
          </w:p>
        </w:tc>
      </w:tr>
      <w:tr>
        <w:trPr>
          <w:trHeight w:val="191"/>
        </w:trPr>
        <w:tc>
          <w:tcPr>
            <w:tcW w:w="4920" w:type="dxa"/>
            <w:vAlign w:val="bottom"/>
          </w:tcPr>
          <w:p>
            <w:pPr>
              <w:ind w:left="20"/>
              <w:spacing w:after="0"/>
              <w:rPr>
                <w:sz w:val="20"/>
                <w:szCs w:val="20"/>
                <w:color w:val="auto"/>
              </w:rPr>
            </w:pPr>
            <w:r>
              <w:rPr>
                <w:rFonts w:ascii="Arial" w:cs="Arial" w:eastAsia="Arial" w:hAnsi="Arial"/>
                <w:sz w:val="15"/>
                <w:szCs w:val="15"/>
                <w:color w:val="auto"/>
              </w:rPr>
              <w:t>Research and development</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3,782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ind w:left="120"/>
              <w:spacing w:after="0"/>
              <w:rPr>
                <w:sz w:val="20"/>
                <w:szCs w:val="20"/>
                <w:color w:val="auto"/>
              </w:rPr>
            </w:pPr>
            <w:r>
              <w:rPr>
                <w:rFonts w:ascii="Arial" w:cs="Arial" w:eastAsia="Arial" w:hAnsi="Arial"/>
                <w:sz w:val="15"/>
                <w:szCs w:val="15"/>
                <w:color w:val="auto"/>
                <w:w w:val="85"/>
              </w:rPr>
              <w:t>2,687</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10,900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7,110</w:t>
            </w:r>
          </w:p>
        </w:tc>
        <w:tc>
          <w:tcPr>
            <w:tcW w:w="100" w:type="dxa"/>
            <w:vAlign w:val="bottom"/>
          </w:tcPr>
          <w:p>
            <w:pPr>
              <w:spacing w:after="0"/>
              <w:rPr>
                <w:sz w:val="16"/>
                <w:szCs w:val="16"/>
                <w:color w:val="auto"/>
              </w:rPr>
            </w:pPr>
          </w:p>
        </w:tc>
      </w:tr>
      <w:tr>
        <w:trPr>
          <w:trHeight w:val="202"/>
        </w:trPr>
        <w:tc>
          <w:tcPr>
            <w:tcW w:w="4920" w:type="dxa"/>
            <w:vAlign w:val="bottom"/>
            <w:shd w:val="clear" w:color="auto" w:fill="CFF0FC"/>
          </w:tcPr>
          <w:p>
            <w:pPr>
              <w:ind w:left="20"/>
              <w:spacing w:after="0"/>
              <w:rPr>
                <w:sz w:val="20"/>
                <w:szCs w:val="20"/>
                <w:color w:val="auto"/>
              </w:rPr>
            </w:pPr>
            <w:r>
              <w:rPr>
                <w:rFonts w:ascii="Arial" w:cs="Arial" w:eastAsia="Arial" w:hAnsi="Arial"/>
                <w:sz w:val="15"/>
                <w:szCs w:val="15"/>
                <w:color w:val="auto"/>
              </w:rPr>
              <w:t>Selling and marketing</w:t>
            </w:r>
          </w:p>
        </w:tc>
        <w:tc>
          <w:tcPr>
            <w:tcW w:w="9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ind w:left="120"/>
              <w:spacing w:after="0"/>
              <w:rPr>
                <w:sz w:val="20"/>
                <w:szCs w:val="20"/>
                <w:color w:val="auto"/>
              </w:rPr>
            </w:pPr>
            <w:r>
              <w:rPr>
                <w:rFonts w:ascii="Arial" w:cs="Arial" w:eastAsia="Arial" w:hAnsi="Arial"/>
                <w:sz w:val="15"/>
                <w:szCs w:val="15"/>
                <w:color w:val="auto"/>
                <w:w w:val="85"/>
              </w:rPr>
              <w:t>1,243</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3,644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3,148</w:t>
            </w:r>
          </w:p>
        </w:tc>
        <w:tc>
          <w:tcPr>
            <w:tcW w:w="100" w:type="dxa"/>
            <w:vAlign w:val="bottom"/>
            <w:shd w:val="clear" w:color="auto" w:fill="CFF0FC"/>
          </w:tcPr>
          <w:p>
            <w:pPr>
              <w:spacing w:after="0"/>
              <w:rPr>
                <w:sz w:val="17"/>
                <w:szCs w:val="17"/>
                <w:color w:val="auto"/>
              </w:rPr>
            </w:pPr>
          </w:p>
        </w:tc>
      </w:tr>
      <w:tr>
        <w:trPr>
          <w:trHeight w:val="191"/>
        </w:trPr>
        <w:tc>
          <w:tcPr>
            <w:tcW w:w="4920" w:type="dxa"/>
            <w:vAlign w:val="bottom"/>
          </w:tcPr>
          <w:p>
            <w:pPr>
              <w:ind w:left="20"/>
              <w:spacing w:after="0"/>
              <w:rPr>
                <w:sz w:val="20"/>
                <w:szCs w:val="20"/>
                <w:color w:val="auto"/>
              </w:rPr>
            </w:pPr>
            <w:r>
              <w:rPr>
                <w:rFonts w:ascii="Arial" w:cs="Arial" w:eastAsia="Arial" w:hAnsi="Arial"/>
                <w:sz w:val="15"/>
                <w:szCs w:val="15"/>
                <w:color w:val="auto"/>
              </w:rPr>
              <w:t>General and administrative</w:t>
            </w: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w w:val="85"/>
              </w:rPr>
              <w:t>2,567</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6,177</w:t>
            </w:r>
          </w:p>
        </w:tc>
        <w:tc>
          <w:tcPr>
            <w:tcW w:w="100" w:type="dxa"/>
            <w:vAlign w:val="bottom"/>
          </w:tcPr>
          <w:p>
            <w:pPr>
              <w:spacing w:after="0"/>
              <w:rPr>
                <w:sz w:val="16"/>
                <w:szCs w:val="16"/>
                <w:color w:val="auto"/>
              </w:rPr>
            </w:pPr>
          </w:p>
        </w:tc>
      </w:tr>
      <w:tr>
        <w:trPr>
          <w:trHeight w:val="228"/>
        </w:trPr>
        <w:tc>
          <w:tcPr>
            <w:tcW w:w="4920" w:type="dxa"/>
            <w:vAlign w:val="bottom"/>
            <w:shd w:val="clear" w:color="auto" w:fill="CFF0FC"/>
          </w:tcPr>
          <w:p>
            <w:pPr>
              <w:ind w:left="20"/>
              <w:spacing w:after="0"/>
              <w:rPr>
                <w:sz w:val="20"/>
                <w:szCs w:val="20"/>
                <w:color w:val="auto"/>
              </w:rPr>
            </w:pPr>
            <w:r>
              <w:rPr>
                <w:rFonts w:ascii="Arial" w:cs="Arial" w:eastAsia="Arial" w:hAnsi="Arial"/>
                <w:sz w:val="15"/>
                <w:szCs w:val="15"/>
                <w:color w:val="auto"/>
              </w:rPr>
              <w:t>Total</w:t>
            </w:r>
          </w:p>
        </w:tc>
        <w:tc>
          <w:tcPr>
            <w:tcW w:w="900" w:type="dxa"/>
            <w:vAlign w:val="bottom"/>
            <w:shd w:val="clear" w:color="auto" w:fill="CFF0FC"/>
          </w:tcPr>
          <w:p>
            <w:pPr>
              <w:jc w:val="right"/>
              <w:ind w:right="75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10,902</w:t>
            </w:r>
          </w:p>
        </w:tc>
        <w:tc>
          <w:tcPr>
            <w:tcW w:w="1240" w:type="dxa"/>
            <w:vAlign w:val="bottom"/>
            <w:gridSpan w:val="3"/>
            <w:shd w:val="clear" w:color="auto" w:fill="CFF0FC"/>
          </w:tcPr>
          <w:p>
            <w:pPr>
              <w:jc w:val="right"/>
              <w:ind w:right="802"/>
              <w:spacing w:after="0"/>
              <w:rPr>
                <w:sz w:val="20"/>
                <w:szCs w:val="20"/>
                <w:color w:val="auto"/>
              </w:rPr>
            </w:pPr>
            <w:r>
              <w:rPr>
                <w:rFonts w:ascii="Arial" w:cs="Arial" w:eastAsia="Arial" w:hAnsi="Arial"/>
                <w:sz w:val="15"/>
                <w:szCs w:val="15"/>
                <w:color w:val="auto"/>
              </w:rPr>
              <w:t>$</w:t>
            </w:r>
          </w:p>
        </w:tc>
        <w:tc>
          <w:tcPr>
            <w:tcW w:w="460" w:type="dxa"/>
            <w:vAlign w:val="bottom"/>
            <w:shd w:val="clear" w:color="auto" w:fill="CFF0FC"/>
          </w:tcPr>
          <w:p>
            <w:pPr>
              <w:ind w:left="120"/>
              <w:spacing w:after="0"/>
              <w:rPr>
                <w:sz w:val="20"/>
                <w:szCs w:val="20"/>
                <w:color w:val="auto"/>
              </w:rPr>
            </w:pPr>
            <w:r>
              <w:rPr>
                <w:rFonts w:ascii="Arial" w:cs="Arial" w:eastAsia="Arial" w:hAnsi="Arial"/>
                <w:sz w:val="15"/>
                <w:szCs w:val="15"/>
                <w:color w:val="auto"/>
                <w:w w:val="85"/>
              </w:rPr>
              <w:t>8,972</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31,490</w:t>
            </w:r>
          </w:p>
        </w:tc>
        <w:tc>
          <w:tcPr>
            <w:tcW w:w="580" w:type="dxa"/>
            <w:vAlign w:val="bottom"/>
            <w:gridSpan w:val="3"/>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22,618</w:t>
            </w:r>
          </w:p>
        </w:tc>
        <w:tc>
          <w:tcPr>
            <w:tcW w:w="100" w:type="dxa"/>
            <w:vAlign w:val="bottom"/>
            <w:shd w:val="clear" w:color="auto" w:fill="CFF0FC"/>
          </w:tcPr>
          <w:p>
            <w:pPr>
              <w:spacing w:after="0"/>
              <w:rPr>
                <w:sz w:val="19"/>
                <w:szCs w:val="19"/>
                <w:color w:val="auto"/>
              </w:rPr>
            </w:pPr>
          </w:p>
        </w:tc>
      </w:tr>
      <w:tr>
        <w:trPr>
          <w:trHeight w:val="503"/>
        </w:trPr>
        <w:tc>
          <w:tcPr>
            <w:tcW w:w="492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ind w:left="660"/>
              <w:spacing w:after="0"/>
              <w:rPr>
                <w:sz w:val="20"/>
                <w:szCs w:val="20"/>
                <w:color w:val="auto"/>
              </w:rPr>
            </w:pPr>
            <w:r>
              <w:rPr>
                <w:rFonts w:ascii="Arial" w:cs="Arial" w:eastAsia="Arial" w:hAnsi="Arial"/>
                <w:sz w:val="15"/>
                <w:szCs w:val="15"/>
                <w:color w:val="auto"/>
              </w:rPr>
              <w:t>16</w:t>
            </w: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89"/>
        </w:trPr>
        <w:tc>
          <w:tcPr>
            <w:tcW w:w="49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-422910</wp:posOffset>
            </wp:positionV>
            <wp:extent cx="7620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-408940</wp:posOffset>
            </wp:positionV>
            <wp:extent cx="7620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5093970</wp:posOffset>
            </wp:positionH>
            <wp:positionV relativeFrom="paragraph">
              <wp:posOffset>-422910</wp:posOffset>
            </wp:positionV>
            <wp:extent cx="6921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5093970</wp:posOffset>
            </wp:positionH>
            <wp:positionV relativeFrom="paragraph">
              <wp:posOffset>-408940</wp:posOffset>
            </wp:positionV>
            <wp:extent cx="6921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-422910</wp:posOffset>
            </wp:positionV>
            <wp:extent cx="6921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-408940</wp:posOffset>
            </wp:positionV>
            <wp:extent cx="6921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-422910</wp:posOffset>
            </wp:positionV>
            <wp:extent cx="6921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-408940</wp:posOffset>
            </wp:positionV>
            <wp:extent cx="6921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566" w:right="31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color w:val="auto"/>
        </w:rPr>
        <w:t>Note 11. Income Taxes</w:t>
      </w:r>
    </w:p>
    <w:p>
      <w:pPr>
        <w:spacing w:after="0" w:line="94" w:lineRule="exact"/>
        <w:rPr>
          <w:sz w:val="20"/>
          <w:szCs w:val="20"/>
          <w:color w:val="auto"/>
        </w:rPr>
      </w:pPr>
    </w:p>
    <w:p>
      <w:pPr>
        <w:ind w:right="120" w:firstLine="511"/>
        <w:spacing w:after="0" w:line="332" w:lineRule="auto"/>
        <w:rPr>
          <w:sz w:val="20"/>
          <w:szCs w:val="20"/>
          <w:color w:val="auto"/>
        </w:rPr>
      </w:pPr>
      <w:r>
        <w:rPr>
          <w:rFonts w:ascii="Arial" w:cs="Arial" w:eastAsia="Arial" w:hAnsi="Arial"/>
          <w:sz w:val="12"/>
          <w:szCs w:val="12"/>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11" w:lineRule="exact"/>
        <w:rPr>
          <w:sz w:val="20"/>
          <w:szCs w:val="20"/>
          <w:color w:val="auto"/>
        </w:rPr>
      </w:pPr>
    </w:p>
    <w:p>
      <w:pPr>
        <w:ind w:right="20" w:firstLine="511"/>
        <w:spacing w:after="0" w:line="273" w:lineRule="auto"/>
        <w:rPr>
          <w:sz w:val="20"/>
          <w:szCs w:val="20"/>
          <w:color w:val="auto"/>
        </w:rPr>
      </w:pPr>
      <w:r>
        <w:rPr>
          <w:rFonts w:ascii="Arial" w:cs="Arial" w:eastAsia="Arial" w:hAnsi="Arial"/>
          <w:sz w:val="14"/>
          <w:szCs w:val="14"/>
          <w:color w:val="auto"/>
        </w:rPr>
        <w:t>The Company recorded consolidated provision for income taxes of $20.3 million and $12.0 million for the three and nine months ended September 30, 2023, respectively, compared with $414,000 and $51.5 million for the three and nine months ended September 30, 2022, respectively. The Company’s effective tax rate was 296% and (42%) for the three and nine months ended September 30, 2023, respectively, compared to 24% for both the three and nine months ended September 30, 2022. The change in the effective tax rate compared to prior periods is due to the establishment, in the current quarter, of a valuation allowance on the Company's net deferred tax assets.</w:t>
      </w:r>
    </w:p>
    <w:p>
      <w:pPr>
        <w:spacing w:after="0" w:line="142" w:lineRule="exact"/>
        <w:rPr>
          <w:sz w:val="20"/>
          <w:szCs w:val="20"/>
          <w:color w:val="auto"/>
        </w:rPr>
      </w:pPr>
    </w:p>
    <w:p>
      <w:pPr>
        <w:jc w:val="both"/>
        <w:ind w:right="80" w:firstLine="511"/>
        <w:spacing w:after="0" w:line="345" w:lineRule="auto"/>
        <w:rPr>
          <w:sz w:val="20"/>
          <w:szCs w:val="20"/>
          <w:color w:val="auto"/>
        </w:rPr>
      </w:pPr>
      <w:r>
        <w:rPr>
          <w:rFonts w:ascii="Arial" w:cs="Arial" w:eastAsia="Arial" w:hAnsi="Arial"/>
          <w:sz w:val="12"/>
          <w:szCs w:val="12"/>
          <w:color w:val="auto"/>
        </w:rPr>
        <w:t>The Company is under examination by certain tax authorities for the 2020 to 2021 tax years. While the timing of the conclusion of the examination is uncertain, the Company believes that adequate amounts have been reserved for adjustments that may result. During 2023, the statutes of limitations will lapse on the Company’s 2019 federal tax year and certain 2018 and 2019 state tax years. The Company does not believe the federal or state statute lapses or any other event will significantly impact the balance of unrecognized tax benefits in the next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12. Income (Loss) per Share</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presents the calculation of basic and diluted income (loss) per share for the three and nine months ended September 30, 2023 and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2"/>
                <w:szCs w:val="12"/>
                <w:color w:val="auto"/>
              </w:rPr>
            </w:pPr>
          </w:p>
        </w:tc>
        <w:tc>
          <w:tcPr>
            <w:tcW w:w="2520" w:type="dxa"/>
            <w:vAlign w:val="bottom"/>
            <w:tcBorders>
              <w:bottom w:val="single" w:sz="8" w:color="auto"/>
            </w:tcBorders>
            <w:gridSpan w:val="5"/>
          </w:tcPr>
          <w:p>
            <w:pPr>
              <w:jc w:val="right"/>
              <w:ind w:right="62"/>
              <w:spacing w:after="0"/>
              <w:rPr>
                <w:sz w:val="20"/>
                <w:szCs w:val="20"/>
                <w:color w:val="auto"/>
              </w:rPr>
            </w:pPr>
            <w:r>
              <w:rPr>
                <w:rFonts w:ascii="Arial" w:cs="Arial" w:eastAsia="Arial" w:hAnsi="Arial"/>
                <w:sz w:val="12"/>
                <w:szCs w:val="12"/>
                <w:b w:val="1"/>
                <w:bCs w:val="1"/>
                <w:color w:val="auto"/>
              </w:rPr>
              <w:t>Three Months Ended September 30,</w:t>
            </w:r>
          </w:p>
        </w:tc>
        <w:tc>
          <w:tcPr>
            <w:tcW w:w="4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2"/>
                <w:szCs w:val="12"/>
                <w:b w:val="1"/>
                <w:bCs w:val="1"/>
                <w:color w:val="auto"/>
              </w:rPr>
              <w:t>Nine Months Ended September 30,</w:t>
            </w:r>
          </w:p>
        </w:tc>
        <w:tc>
          <w:tcPr>
            <w:tcW w:w="100" w:type="dxa"/>
            <w:vAlign w:val="bottom"/>
          </w:tcPr>
          <w:p>
            <w:pPr>
              <w:spacing w:after="0"/>
              <w:rPr>
                <w:sz w:val="12"/>
                <w:szCs w:val="12"/>
                <w:color w:val="auto"/>
              </w:rPr>
            </w:pPr>
          </w:p>
        </w:tc>
      </w:tr>
      <w:tr>
        <w:trPr>
          <w:trHeight w:val="199"/>
        </w:trPr>
        <w:tc>
          <w:tcPr>
            <w:tcW w:w="47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2"/>
                <w:szCs w:val="12"/>
                <w:b w:val="1"/>
                <w:bCs w:val="1"/>
                <w:color w:val="auto"/>
              </w:rPr>
              <w:t>2022</w:t>
            </w:r>
          </w:p>
        </w:tc>
        <w:tc>
          <w:tcPr>
            <w:tcW w:w="4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2"/>
                <w:szCs w:val="12"/>
                <w:b w:val="1"/>
                <w:bCs w:val="1"/>
                <w:color w:val="auto"/>
              </w:rPr>
              <w:t>2023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7"/>
                <w:szCs w:val="17"/>
                <w:color w:val="auto"/>
              </w:rPr>
            </w:pPr>
          </w:p>
        </w:tc>
      </w:tr>
      <w:tr>
        <w:trPr>
          <w:trHeight w:val="188"/>
        </w:trPr>
        <w:tc>
          <w:tcPr>
            <w:tcW w:w="4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6"/>
          </w:tcPr>
          <w:p>
            <w:pPr>
              <w:jc w:val="right"/>
              <w:ind w:right="680"/>
              <w:spacing w:after="0"/>
              <w:rPr>
                <w:sz w:val="20"/>
                <w:szCs w:val="20"/>
                <w:color w:val="auto"/>
              </w:rPr>
            </w:pPr>
            <w:r>
              <w:rPr>
                <w:rFonts w:ascii="Arial" w:cs="Arial" w:eastAsia="Arial" w:hAnsi="Arial"/>
                <w:sz w:val="12"/>
                <w:szCs w:val="12"/>
                <w:b w:val="1"/>
                <w:bCs w:val="1"/>
                <w:color w:val="auto"/>
              </w:rPr>
              <w:t>(in thousands, except per share data)</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476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income (loss) attributable to Fulgent</w:t>
            </w:r>
          </w:p>
        </w:tc>
        <w:tc>
          <w:tcPr>
            <w:tcW w:w="840" w:type="dxa"/>
            <w:vAlign w:val="bottom"/>
            <w:shd w:val="clear" w:color="auto" w:fill="CFF0FC"/>
          </w:tcPr>
          <w:p>
            <w:pPr>
              <w:jc w:val="right"/>
              <w:ind w:right="69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93"/>
              </w:rPr>
              <w:t>(13,107 )</w:t>
            </w:r>
          </w:p>
        </w:tc>
        <w:tc>
          <w:tcPr>
            <w:tcW w:w="1040" w:type="dxa"/>
            <w:vAlign w:val="bottom"/>
            <w:gridSpan w:val="2"/>
            <w:shd w:val="clear" w:color="auto" w:fill="CFF0FC"/>
          </w:tcPr>
          <w:p>
            <w:pPr>
              <w:jc w:val="right"/>
              <w:ind w:right="742"/>
              <w:spacing w:after="0"/>
              <w:rPr>
                <w:sz w:val="20"/>
                <w:szCs w:val="20"/>
                <w:color w:val="auto"/>
              </w:rPr>
            </w:pPr>
            <w:r>
              <w:rPr>
                <w:rFonts w:ascii="Arial" w:cs="Arial" w:eastAsia="Arial" w:hAnsi="Arial"/>
                <w:sz w:val="15"/>
                <w:szCs w:val="15"/>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1,719</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(39,676 )</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167,235</w:t>
            </w:r>
          </w:p>
        </w:tc>
        <w:tc>
          <w:tcPr>
            <w:tcW w:w="100" w:type="dxa"/>
            <w:vAlign w:val="bottom"/>
            <w:shd w:val="clear" w:color="auto" w:fill="CFF0FC"/>
          </w:tcPr>
          <w:p>
            <w:pPr>
              <w:spacing w:after="0"/>
              <w:rPr>
                <w:sz w:val="20"/>
                <w:szCs w:val="20"/>
                <w:color w:val="auto"/>
              </w:rPr>
            </w:pPr>
          </w:p>
        </w:tc>
      </w:tr>
      <w:tr>
        <w:trPr>
          <w:trHeight w:val="170"/>
        </w:trPr>
        <w:tc>
          <w:tcPr>
            <w:tcW w:w="4760" w:type="dxa"/>
            <w:vAlign w:val="bottom"/>
            <w:tcBorders>
              <w:top w:val="single" w:sz="8" w:color="CFF0FC"/>
            </w:tcBorders>
          </w:tcPr>
          <w:p>
            <w:pPr>
              <w:ind w:left="20"/>
              <w:spacing w:after="0" w:line="170" w:lineRule="exact"/>
              <w:rPr>
                <w:sz w:val="20"/>
                <w:szCs w:val="20"/>
                <w:color w:val="auto"/>
              </w:rPr>
            </w:pPr>
            <w:r>
              <w:rPr>
                <w:rFonts w:ascii="Arial" w:cs="Arial" w:eastAsia="Arial" w:hAnsi="Arial"/>
                <w:sz w:val="15"/>
                <w:szCs w:val="15"/>
                <w:color w:val="auto"/>
              </w:rPr>
              <w:t>Weighted-average common shares—outstanding, basic</w:t>
            </w:r>
          </w:p>
        </w:tc>
        <w:tc>
          <w:tcPr>
            <w:tcW w:w="8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30,013</w:t>
            </w: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5"/>
              </w:rPr>
              <w:t>30,174</w:t>
            </w:r>
          </w:p>
        </w:tc>
        <w:tc>
          <w:tcPr>
            <w:tcW w:w="36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29,789</w:t>
            </w: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30,256</w:t>
            </w:r>
          </w:p>
        </w:tc>
        <w:tc>
          <w:tcPr>
            <w:tcW w:w="100" w:type="dxa"/>
            <w:vAlign w:val="bottom"/>
            <w:tcBorders>
              <w:top w:val="single" w:sz="8" w:color="CFF0FC"/>
            </w:tcBorders>
          </w:tcPr>
          <w:p>
            <w:pPr>
              <w:spacing w:after="0"/>
              <w:rPr>
                <w:sz w:val="14"/>
                <w:szCs w:val="14"/>
                <w:color w:val="auto"/>
              </w:rPr>
            </w:pPr>
          </w:p>
        </w:tc>
      </w:tr>
      <w:tr>
        <w:trPr>
          <w:trHeight w:val="20"/>
        </w:trPr>
        <w:tc>
          <w:tcPr>
            <w:tcW w:w="4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60" w:type="dxa"/>
            <w:vAlign w:val="bottom"/>
            <w:tcBorders>
              <w:bottom w:val="single" w:sz="8" w:color="CFF0FC"/>
            </w:tcBorders>
            <w:shd w:val="clear" w:color="auto" w:fill="CFF0FC"/>
          </w:tcPr>
          <w:p>
            <w:pPr>
              <w:ind w:left="20"/>
              <w:spacing w:after="0" w:line="170" w:lineRule="exact"/>
              <w:rPr>
                <w:sz w:val="20"/>
                <w:szCs w:val="20"/>
                <w:color w:val="auto"/>
              </w:rPr>
            </w:pPr>
            <w:r>
              <w:rPr>
                <w:rFonts w:ascii="Arial" w:cs="Arial" w:eastAsia="Arial" w:hAnsi="Arial"/>
                <w:sz w:val="15"/>
                <w:szCs w:val="15"/>
                <w:color w:val="auto"/>
              </w:rPr>
              <w:t>Weighted-average common shares—outstanding, diluted</w:t>
            </w:r>
          </w:p>
        </w:tc>
        <w:tc>
          <w:tcPr>
            <w:tcW w:w="8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5"/>
                <w:szCs w:val="15"/>
                <w:color w:val="auto"/>
              </w:rPr>
              <w:t>30,013</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5"/>
                <w:szCs w:val="15"/>
                <w:color w:val="auto"/>
                <w:w w:val="95"/>
              </w:rPr>
              <w:t>30,867</w:t>
            </w:r>
          </w:p>
        </w:tc>
        <w:tc>
          <w:tcPr>
            <w:tcW w:w="3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5"/>
                <w:szCs w:val="15"/>
                <w:color w:val="auto"/>
              </w:rPr>
              <w:t>29,789</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5"/>
                <w:szCs w:val="15"/>
                <w:color w:val="auto"/>
              </w:rPr>
              <w:t>31,107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0"/>
        </w:trPr>
        <w:tc>
          <w:tcPr>
            <w:tcW w:w="4760" w:type="dxa"/>
            <w:vAlign w:val="bottom"/>
          </w:tcPr>
          <w:p>
            <w:pPr>
              <w:ind w:left="20"/>
              <w:spacing w:after="0" w:line="170" w:lineRule="exact"/>
              <w:rPr>
                <w:sz w:val="20"/>
                <w:szCs w:val="20"/>
                <w:color w:val="auto"/>
              </w:rPr>
            </w:pPr>
            <w:r>
              <w:rPr>
                <w:rFonts w:ascii="Arial" w:cs="Arial" w:eastAsia="Arial" w:hAnsi="Arial"/>
                <w:sz w:val="15"/>
                <w:szCs w:val="15"/>
                <w:color w:val="auto"/>
              </w:rPr>
              <w:t>Net income (loss) per common share, basic</w:t>
            </w:r>
          </w:p>
        </w:tc>
        <w:tc>
          <w:tcPr>
            <w:tcW w:w="840" w:type="dxa"/>
            <w:vAlign w:val="bottom"/>
          </w:tcPr>
          <w:p>
            <w:pPr>
              <w:jc w:val="right"/>
              <w:ind w:right="693"/>
              <w:spacing w:after="0" w:line="170"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(0.44 )</w:t>
            </w:r>
          </w:p>
        </w:tc>
        <w:tc>
          <w:tcPr>
            <w:tcW w:w="1040" w:type="dxa"/>
            <w:vAlign w:val="bottom"/>
            <w:gridSpan w:val="2"/>
          </w:tcPr>
          <w:p>
            <w:pPr>
              <w:jc w:val="right"/>
              <w:ind w:right="742"/>
              <w:spacing w:after="0" w:line="170" w:lineRule="exact"/>
              <w:rPr>
                <w:sz w:val="20"/>
                <w:szCs w:val="20"/>
                <w:color w:val="auto"/>
              </w:rPr>
            </w:pPr>
            <w:r>
              <w:rPr>
                <w:rFonts w:ascii="Arial" w:cs="Arial" w:eastAsia="Arial" w:hAnsi="Arial"/>
                <w:sz w:val="15"/>
                <w:szCs w:val="15"/>
                <w:color w:val="auto"/>
              </w:rPr>
              <w:t>$</w:t>
            </w:r>
          </w:p>
        </w:tc>
        <w:tc>
          <w:tcPr>
            <w:tcW w:w="480" w:type="dxa"/>
            <w:vAlign w:val="bottom"/>
          </w:tcPr>
          <w:p>
            <w:pPr>
              <w:jc w:val="right"/>
              <w:spacing w:after="0" w:line="170" w:lineRule="exact"/>
              <w:rPr>
                <w:sz w:val="20"/>
                <w:szCs w:val="20"/>
                <w:color w:val="auto"/>
              </w:rPr>
            </w:pPr>
            <w:r>
              <w:rPr>
                <w:rFonts w:ascii="Arial" w:cs="Arial" w:eastAsia="Arial" w:hAnsi="Arial"/>
                <w:sz w:val="15"/>
                <w:szCs w:val="15"/>
                <w:color w:val="auto"/>
              </w:rPr>
              <w:t>0.06</w:t>
            </w:r>
          </w:p>
        </w:tc>
        <w:tc>
          <w:tcPr>
            <w:tcW w:w="680" w:type="dxa"/>
            <w:vAlign w:val="bottom"/>
            <w:gridSpan w:val="2"/>
          </w:tcPr>
          <w:p>
            <w:pPr>
              <w:jc w:val="right"/>
              <w:ind w:right="240"/>
              <w:spacing w:after="0" w:line="170"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(1.33 )</w:t>
            </w:r>
          </w:p>
        </w:tc>
        <w:tc>
          <w:tcPr>
            <w:tcW w:w="520" w:type="dxa"/>
            <w:vAlign w:val="bottom"/>
            <w:gridSpan w:val="2"/>
          </w:tcPr>
          <w:p>
            <w:pPr>
              <w:jc w:val="right"/>
              <w:ind w:right="240"/>
              <w:spacing w:after="0" w:line="170"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70" w:lineRule="exact"/>
              <w:rPr>
                <w:sz w:val="20"/>
                <w:szCs w:val="20"/>
                <w:color w:val="auto"/>
              </w:rPr>
            </w:pPr>
            <w:r>
              <w:rPr>
                <w:rFonts w:ascii="Arial" w:cs="Arial" w:eastAsia="Arial" w:hAnsi="Arial"/>
                <w:sz w:val="15"/>
                <w:szCs w:val="15"/>
                <w:color w:val="auto"/>
              </w:rPr>
              <w:t>5.53</w:t>
            </w:r>
          </w:p>
        </w:tc>
        <w:tc>
          <w:tcPr>
            <w:tcW w:w="100" w:type="dxa"/>
            <w:vAlign w:val="bottom"/>
          </w:tcPr>
          <w:p>
            <w:pPr>
              <w:spacing w:after="0"/>
              <w:rPr>
                <w:sz w:val="14"/>
                <w:szCs w:val="14"/>
                <w:color w:val="auto"/>
              </w:rPr>
            </w:pPr>
          </w:p>
        </w:tc>
      </w:tr>
      <w:tr>
        <w:trPr>
          <w:trHeight w:val="20"/>
        </w:trPr>
        <w:tc>
          <w:tcPr>
            <w:tcW w:w="47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4760" w:type="dxa"/>
            <w:vAlign w:val="bottom"/>
            <w:shd w:val="clear" w:color="auto" w:fill="CFF0FC"/>
          </w:tcPr>
          <w:p>
            <w:pPr>
              <w:ind w:left="20"/>
              <w:spacing w:after="0" w:line="170" w:lineRule="exact"/>
              <w:rPr>
                <w:sz w:val="20"/>
                <w:szCs w:val="20"/>
                <w:color w:val="auto"/>
              </w:rPr>
            </w:pPr>
            <w:r>
              <w:rPr>
                <w:rFonts w:ascii="Arial" w:cs="Arial" w:eastAsia="Arial" w:hAnsi="Arial"/>
                <w:sz w:val="15"/>
                <w:szCs w:val="15"/>
                <w:color w:val="auto"/>
              </w:rPr>
              <w:t>Net income (loss) per common share, diluted</w:t>
            </w:r>
          </w:p>
        </w:tc>
        <w:tc>
          <w:tcPr>
            <w:tcW w:w="840" w:type="dxa"/>
            <w:vAlign w:val="bottom"/>
            <w:shd w:val="clear" w:color="auto" w:fill="CFF0FC"/>
          </w:tcPr>
          <w:p>
            <w:pPr>
              <w:jc w:val="right"/>
              <w:ind w:right="693"/>
              <w:spacing w:after="0" w:line="170"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5"/>
                <w:szCs w:val="15"/>
                <w:color w:val="auto"/>
              </w:rPr>
              <w:t>(0.44 )</w:t>
            </w:r>
          </w:p>
        </w:tc>
        <w:tc>
          <w:tcPr>
            <w:tcW w:w="1040" w:type="dxa"/>
            <w:vAlign w:val="bottom"/>
            <w:gridSpan w:val="2"/>
            <w:shd w:val="clear" w:color="auto" w:fill="CFF0FC"/>
          </w:tcPr>
          <w:p>
            <w:pPr>
              <w:jc w:val="right"/>
              <w:ind w:right="742"/>
              <w:spacing w:after="0" w:line="170" w:lineRule="exact"/>
              <w:rPr>
                <w:sz w:val="20"/>
                <w:szCs w:val="20"/>
                <w:color w:val="auto"/>
              </w:rPr>
            </w:pPr>
            <w:r>
              <w:rPr>
                <w:rFonts w:ascii="Arial" w:cs="Arial" w:eastAsia="Arial" w:hAnsi="Arial"/>
                <w:sz w:val="15"/>
                <w:szCs w:val="15"/>
                <w:color w:val="auto"/>
              </w:rPr>
              <w:t>$</w:t>
            </w:r>
          </w:p>
        </w:tc>
        <w:tc>
          <w:tcPr>
            <w:tcW w:w="48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0.06</w:t>
            </w:r>
          </w:p>
        </w:tc>
        <w:tc>
          <w:tcPr>
            <w:tcW w:w="680" w:type="dxa"/>
            <w:vAlign w:val="bottom"/>
            <w:gridSpan w:val="2"/>
            <w:shd w:val="clear" w:color="auto" w:fill="CFF0FC"/>
          </w:tcPr>
          <w:p>
            <w:pPr>
              <w:jc w:val="right"/>
              <w:ind w:right="240"/>
              <w:spacing w:after="0" w:line="170"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5"/>
                <w:szCs w:val="15"/>
                <w:color w:val="auto"/>
              </w:rPr>
              <w:t>(1.33 )</w:t>
            </w:r>
          </w:p>
        </w:tc>
        <w:tc>
          <w:tcPr>
            <w:tcW w:w="520" w:type="dxa"/>
            <w:vAlign w:val="bottom"/>
            <w:gridSpan w:val="2"/>
            <w:shd w:val="clear" w:color="auto" w:fill="CFF0FC"/>
          </w:tcPr>
          <w:p>
            <w:pPr>
              <w:jc w:val="right"/>
              <w:ind w:right="240"/>
              <w:spacing w:after="0" w:line="170" w:lineRule="exact"/>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5.38</w:t>
            </w:r>
          </w:p>
        </w:tc>
        <w:tc>
          <w:tcPr>
            <w:tcW w:w="100" w:type="dxa"/>
            <w:vAlign w:val="bottom"/>
            <w:shd w:val="clear" w:color="auto" w:fill="CFF0FC"/>
          </w:tcPr>
          <w:p>
            <w:pPr>
              <w:spacing w:after="0"/>
              <w:rPr>
                <w:sz w:val="16"/>
                <w:szCs w:val="16"/>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-603250</wp:posOffset>
            </wp:positionV>
            <wp:extent cx="3277235" cy="166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77235" cy="16637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-311785</wp:posOffset>
            </wp:positionV>
            <wp:extent cx="3277235" cy="166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77235" cy="16637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-20320</wp:posOffset>
            </wp:positionV>
            <wp:extent cx="7620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-6350</wp:posOffset>
            </wp:positionV>
            <wp:extent cx="7620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-20320</wp:posOffset>
            </wp:positionV>
            <wp:extent cx="6921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-6350</wp:posOffset>
            </wp:positionV>
            <wp:extent cx="69215"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-20320</wp:posOffset>
            </wp:positionV>
            <wp:extent cx="6921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-6350</wp:posOffset>
            </wp:positionV>
            <wp:extent cx="69215"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-20320</wp:posOffset>
            </wp:positionV>
            <wp:extent cx="6921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-6350</wp:posOffset>
            </wp:positionV>
            <wp:extent cx="69215"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15" cy="698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securities have been excluded from the calculation of diluted income (loss) per share because their effect would have been anti-dilutive: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258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2"/>
                <w:szCs w:val="12"/>
                <w:b w:val="1"/>
                <w:bCs w:val="1"/>
                <w:color w:val="auto"/>
              </w:rPr>
              <w:t>Three Months Ended September 30,</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2"/>
                <w:szCs w:val="12"/>
                <w:b w:val="1"/>
                <w:bCs w:val="1"/>
                <w:color w:val="auto"/>
              </w:rPr>
              <w:t>Nine Months Ended September 30,</w:t>
            </w:r>
          </w:p>
        </w:tc>
        <w:tc>
          <w:tcPr>
            <w:tcW w:w="100" w:type="dxa"/>
            <w:vAlign w:val="bottom"/>
          </w:tcPr>
          <w:p>
            <w:pPr>
              <w:spacing w:after="0"/>
              <w:rPr>
                <w:sz w:val="12"/>
                <w:szCs w:val="12"/>
                <w:color w:val="auto"/>
              </w:rPr>
            </w:pPr>
          </w:p>
        </w:tc>
      </w:tr>
      <w:tr>
        <w:trPr>
          <w:trHeight w:val="199"/>
        </w:trPr>
        <w:tc>
          <w:tcPr>
            <w:tcW w:w="4660" w:type="dxa"/>
            <w:vAlign w:val="bottom"/>
          </w:tcPr>
          <w:p>
            <w:pPr>
              <w:spacing w:after="0"/>
              <w:rPr>
                <w:sz w:val="17"/>
                <w:szCs w:val="17"/>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2023</w:t>
            </w:r>
          </w:p>
        </w:tc>
        <w:tc>
          <w:tcPr>
            <w:tcW w:w="4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2022</w:t>
            </w:r>
          </w:p>
        </w:tc>
        <w:tc>
          <w:tcPr>
            <w:tcW w:w="4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3"/>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17"/>
                <w:szCs w:val="17"/>
                <w:color w:val="auto"/>
              </w:rPr>
            </w:pPr>
          </w:p>
        </w:tc>
        <w:tc>
          <w:tcPr>
            <w:tcW w:w="1560" w:type="dxa"/>
            <w:vAlign w:val="bottom"/>
            <w:tcBorders>
              <w:bottom w:val="single" w:sz="8" w:color="auto"/>
            </w:tcBorders>
          </w:tcPr>
          <w:p>
            <w:pPr>
              <w:jc w:val="right"/>
              <w:ind w:right="594"/>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7"/>
                <w:szCs w:val="17"/>
                <w:color w:val="auto"/>
              </w:rPr>
            </w:pPr>
          </w:p>
        </w:tc>
      </w:tr>
      <w:tr>
        <w:trPr>
          <w:trHeight w:val="133"/>
        </w:trPr>
        <w:tc>
          <w:tcPr>
            <w:tcW w:w="4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(in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thousands)</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7"/>
        </w:trPr>
        <w:tc>
          <w:tcPr>
            <w:tcW w:w="5600" w:type="dxa"/>
            <w:vAlign w:val="bottom"/>
            <w:gridSpan w:val="2"/>
            <w:shd w:val="clear" w:color="auto" w:fill="CFF0FC"/>
          </w:tcPr>
          <w:p>
            <w:pPr>
              <w:ind w:left="20"/>
              <w:spacing w:after="0"/>
              <w:rPr>
                <w:sz w:val="20"/>
                <w:szCs w:val="20"/>
                <w:color w:val="auto"/>
              </w:rPr>
            </w:pPr>
            <w:r>
              <w:rPr>
                <w:rFonts w:ascii="Arial" w:cs="Arial" w:eastAsia="Arial" w:hAnsi="Arial"/>
                <w:sz w:val="15"/>
                <w:szCs w:val="15"/>
                <w:color w:val="auto"/>
              </w:rPr>
              <w:t>Options</w:t>
            </w: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215</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FF0FC"/>
          </w:tcPr>
          <w:p>
            <w:pPr>
              <w:spacing w:after="0"/>
              <w:rPr>
                <w:sz w:val="17"/>
                <w:szCs w:val="17"/>
                <w:color w:val="auto"/>
              </w:rPr>
            </w:pPr>
          </w:p>
        </w:tc>
      </w:tr>
      <w:tr>
        <w:trPr>
          <w:trHeight w:val="191"/>
        </w:trPr>
        <w:tc>
          <w:tcPr>
            <w:tcW w:w="5600" w:type="dxa"/>
            <w:vAlign w:val="bottom"/>
            <w:gridSpan w:val="2"/>
          </w:tcPr>
          <w:p>
            <w:pPr>
              <w:ind w:left="20"/>
              <w:spacing w:after="0"/>
              <w:rPr>
                <w:sz w:val="20"/>
                <w:szCs w:val="20"/>
                <w:color w:val="auto"/>
              </w:rPr>
            </w:pPr>
            <w:r>
              <w:rPr>
                <w:rFonts w:ascii="Arial" w:cs="Arial" w:eastAsia="Arial" w:hAnsi="Arial"/>
                <w:sz w:val="15"/>
                <w:szCs w:val="15"/>
                <w:color w:val="auto"/>
              </w:rPr>
              <w:t>Restricted Stock Units</w:t>
            </w:r>
          </w:p>
        </w:tc>
        <w:tc>
          <w:tcPr>
            <w:tcW w:w="460" w:type="dxa"/>
            <w:vAlign w:val="bottom"/>
          </w:tcPr>
          <w:p>
            <w:pPr>
              <w:jc w:val="right"/>
              <w:spacing w:after="0"/>
              <w:rPr>
                <w:sz w:val="20"/>
                <w:szCs w:val="20"/>
                <w:color w:val="auto"/>
              </w:rPr>
            </w:pPr>
            <w:r>
              <w:rPr>
                <w:rFonts w:ascii="Arial" w:cs="Arial" w:eastAsia="Arial" w:hAnsi="Arial"/>
                <w:sz w:val="15"/>
                <w:szCs w:val="15"/>
                <w:color w:val="auto"/>
              </w:rPr>
              <w:t>1,315</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1,238</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1,196</w:t>
            </w:r>
          </w:p>
        </w:tc>
        <w:tc>
          <w:tcPr>
            <w:tcW w:w="1780" w:type="dxa"/>
            <w:vAlign w:val="bottom"/>
            <w:gridSpan w:val="2"/>
          </w:tcPr>
          <w:p>
            <w:pPr>
              <w:jc w:val="right"/>
              <w:spacing w:after="0"/>
              <w:rPr>
                <w:sz w:val="20"/>
                <w:szCs w:val="20"/>
                <w:color w:val="auto"/>
              </w:rPr>
            </w:pPr>
            <w:r>
              <w:rPr>
                <w:rFonts w:ascii="Arial" w:cs="Arial" w:eastAsia="Arial" w:hAnsi="Arial"/>
                <w:sz w:val="15"/>
                <w:szCs w:val="15"/>
                <w:color w:val="auto"/>
              </w:rPr>
              <w:t>697</w:t>
            </w:r>
          </w:p>
        </w:tc>
        <w:tc>
          <w:tcPr>
            <w:tcW w:w="100" w:type="dxa"/>
            <w:vAlign w:val="bottom"/>
          </w:tcPr>
          <w:p>
            <w:pPr>
              <w:spacing w:after="0"/>
              <w:rPr>
                <w:sz w:val="16"/>
                <w:szCs w:val="16"/>
                <w:color w:val="auto"/>
              </w:rPr>
            </w:pPr>
          </w:p>
        </w:tc>
      </w:tr>
      <w:tr>
        <w:trPr>
          <w:trHeight w:val="202"/>
        </w:trPr>
        <w:tc>
          <w:tcPr>
            <w:tcW w:w="5600" w:type="dxa"/>
            <w:vAlign w:val="bottom"/>
            <w:gridSpan w:val="2"/>
            <w:shd w:val="clear" w:color="auto" w:fill="CFF0FC"/>
          </w:tcPr>
          <w:p>
            <w:pPr>
              <w:ind w:left="20"/>
              <w:spacing w:after="0"/>
              <w:rPr>
                <w:sz w:val="20"/>
                <w:szCs w:val="20"/>
                <w:color w:val="auto"/>
              </w:rPr>
            </w:pPr>
            <w:r>
              <w:rPr>
                <w:rFonts w:ascii="Arial" w:cs="Arial" w:eastAsia="Arial" w:hAnsi="Arial"/>
                <w:sz w:val="15"/>
                <w:szCs w:val="15"/>
                <w:color w:val="auto"/>
              </w:rPr>
              <w:t>Contingently Issuable Shares</w:t>
            </w: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7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r>
    </w:tbl>
    <w:p>
      <w:pPr>
        <w:spacing w:after="0" w:line="164" w:lineRule="exact"/>
        <w:rPr>
          <w:sz w:val="20"/>
          <w:szCs w:val="20"/>
          <w:color w:val="auto"/>
        </w:rPr>
      </w:pPr>
    </w:p>
    <w:p>
      <w:pPr>
        <w:ind w:right="80" w:firstLine="511"/>
        <w:spacing w:after="0" w:line="252" w:lineRule="auto"/>
        <w:rPr>
          <w:sz w:val="20"/>
          <w:szCs w:val="20"/>
          <w:color w:val="auto"/>
        </w:rPr>
      </w:pPr>
      <w:r>
        <w:rPr>
          <w:rFonts w:ascii="Arial" w:cs="Arial" w:eastAsia="Arial" w:hAnsi="Arial"/>
          <w:sz w:val="15"/>
          <w:szCs w:val="15"/>
          <w:color w:val="auto"/>
        </w:rPr>
        <w:t>The anti-dilutive shares described above were calculated using the treasury stock method. In the three and nine months ended September 30, 2023, the Company had outstanding stock options and restricted stock units and contingently issuable shares for held back related shares to the business combination of Fulgent Pharma that were excluded from the weighted-average share calculation for continuing operations due to the Company’s net loss positions.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13. Related Parties</w:t>
      </w:r>
    </w:p>
    <w:p>
      <w:pPr>
        <w:spacing w:after="0" w:line="94" w:lineRule="exact"/>
        <w:rPr>
          <w:sz w:val="20"/>
          <w:szCs w:val="20"/>
          <w:color w:val="auto"/>
        </w:rPr>
      </w:pPr>
    </w:p>
    <w:p>
      <w:pPr>
        <w:jc w:val="both"/>
        <w:ind w:right="120" w:firstLine="511"/>
        <w:spacing w:after="0" w:line="279" w:lineRule="auto"/>
        <w:rPr>
          <w:sz w:val="20"/>
          <w:szCs w:val="20"/>
          <w:color w:val="auto"/>
        </w:rPr>
      </w:pPr>
      <w:r>
        <w:rPr>
          <w:rFonts w:ascii="Arial" w:cs="Arial" w:eastAsia="Arial" w:hAnsi="Arial"/>
          <w:sz w:val="14"/>
          <w:szCs w:val="14"/>
          <w:color w:val="auto"/>
        </w:rPr>
        <w:t>Linda Marsh, who is a member of the Company’s Board of Directors, or the Board, currently serves as the Senior Executive Vice President of AHMC Healthcare Inc., or AHMC. The Company performs genetic testing and other testing services, on an arms-length basis, for AHMC, and the Company recognized $6,000 and $122,000 in revenue from AHMC in the three and nine months ended September 30, 2023, respectively. The Company recognized $299,000 and $1.3 million in revenue from AHMC in the three and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37465</wp:posOffset>
            </wp:positionV>
            <wp:extent cx="7183755"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420" w:right="319" w:bottom="1440" w:gutter="0" w:footer="0" w:header="0"/>
        </w:sectPr>
      </w:pPr>
    </w:p>
    <w:bookmarkStart w:id="19" w:name="page20"/>
    <w:bookmarkEnd w:id="19"/>
    <w:p>
      <w:pPr>
        <w:ind w:right="260"/>
        <w:spacing w:after="0" w:line="297" w:lineRule="auto"/>
        <w:rPr>
          <w:sz w:val="20"/>
          <w:szCs w:val="20"/>
          <w:color w:val="auto"/>
        </w:rPr>
      </w:pPr>
      <w:r>
        <w:rPr>
          <w:rFonts w:ascii="Arial" w:cs="Arial" w:eastAsia="Arial" w:hAnsi="Arial"/>
          <w:sz w:val="14"/>
          <w:szCs w:val="14"/>
          <w:color w:val="auto"/>
        </w:rPr>
        <w:t>nine months ended September 30, 2022, respectively. As of September 30, 2023 and December 31, 2022, $13,000 and $93,000, respectively, was owed to the Company by AHMC, which is included in trade accounts receivable, net, in the accompanying Condensed Consolidated Balance Sheets, in connection with this relationship.</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Ming Hsieh, the Chief Executive Officer and Chairperson of the Board, is on the board of directors and a 20% owner of ANP Technologies, Inc., or ANP, from which the Company</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purchased COVID-19 antigen rapid test kits and entered into certain drug-related licensing and development service agreements. The President and Chief Scientific Officer of Fulgent Pharma,</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Ray Yin, is the Founder, President, and Chief Technology Officer of ANP. The Company incurred $368,000 and $1.9 million in expenses, in the three and nine months ended September 30,</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2023, respectively, related to the licensing and development services and purchases of equipment and COVID-19 antigen rapid test kits. The Company incurred $120,000 and $280,000 in</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expenses in the three and nine months ended September 30, 2022, respectively, for COVID-19 antigen rapid test kits. As of September 30, 2023 and December 31, 2022, $255,000 and</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$607,000, respectively, were owed to ANP by the Company in connection with these relationships. The Company also entered into an employee service agreement with ANP in April 2023,</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$32,000 and $70,000 were recognized in the three and nine months ended September 30, 2023, respectively, and $70,000 was owed by ANP in connection with the employee service agreement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as of September 30, 2023.</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14. Goodwill and Acquisition-Related Intangibles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Summaries of goodwill and intangibles balances assets as of September 30, 2023 and December 31, 2022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rPr>
              <w:t>September 30,</w:t>
            </w:r>
          </w:p>
        </w:tc>
        <w:tc>
          <w:tcPr>
            <w:tcW w:w="220" w:type="dxa"/>
            <w:vAlign w:val="bottom"/>
          </w:tcPr>
          <w:p>
            <w:pPr>
              <w:spacing w:after="0"/>
              <w:rPr>
                <w:sz w:val="12"/>
                <w:szCs w:val="12"/>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34"/>
        </w:trPr>
        <w:tc>
          <w:tcPr>
            <w:tcW w:w="4000" w:type="dxa"/>
            <w:vAlign w:val="bottom"/>
          </w:tcPr>
          <w:p>
            <w:pPr>
              <w:spacing w:after="0"/>
              <w:rPr>
                <w:sz w:val="11"/>
                <w:szCs w:val="11"/>
                <w:color w:val="auto"/>
              </w:rPr>
            </w:pPr>
          </w:p>
        </w:tc>
        <w:tc>
          <w:tcPr>
            <w:tcW w:w="38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8"/>
              </w:rPr>
              <w:t>Weighted-Average Amortization Period</w:t>
            </w: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right"/>
              <w:ind w:right="649"/>
              <w:spacing w:after="0"/>
              <w:rPr>
                <w:sz w:val="20"/>
                <w:szCs w:val="20"/>
                <w:color w:val="auto"/>
              </w:rPr>
            </w:pPr>
            <w:r>
              <w:rPr>
                <w:rFonts w:ascii="Arial" w:cs="Arial" w:eastAsia="Arial" w:hAnsi="Arial"/>
                <w:sz w:val="12"/>
                <w:szCs w:val="12"/>
                <w:b w:val="1"/>
                <w:bCs w:val="1"/>
                <w:color w:val="auto"/>
              </w:rPr>
              <w:t>2023</w:t>
            </w:r>
          </w:p>
        </w:tc>
        <w:tc>
          <w:tcPr>
            <w:tcW w:w="3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28"/>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4000" w:type="dxa"/>
            <w:vAlign w:val="bottom"/>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vMerge w:val="continue"/>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3"/>
          </w:tcPr>
          <w:p>
            <w:pPr>
              <w:jc w:val="right"/>
              <w:ind w:right="87"/>
              <w:spacing w:after="0"/>
              <w:rPr>
                <w:sz w:val="20"/>
                <w:szCs w:val="20"/>
                <w:color w:val="auto"/>
              </w:rPr>
            </w:pPr>
            <w:r>
              <w:rPr>
                <w:rFonts w:ascii="Arial" w:cs="Arial" w:eastAsia="Arial" w:hAnsi="Arial"/>
                <w:sz w:val="12"/>
                <w:szCs w:val="12"/>
                <w:b w:val="1"/>
                <w:bCs w:val="1"/>
                <w:color w:val="auto"/>
              </w:rPr>
              <w:t>(in thousands)</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400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Goodwill</w:t>
            </w:r>
          </w:p>
        </w:tc>
        <w:tc>
          <w:tcPr>
            <w:tcW w:w="38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141,844</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143,027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FF0FC"/>
          </w:tcPr>
          <w:p>
            <w:pPr>
              <w:ind w:left="20"/>
              <w:spacing w:after="0"/>
              <w:rPr>
                <w:sz w:val="20"/>
                <w:szCs w:val="20"/>
                <w:color w:val="auto"/>
              </w:rPr>
            </w:pPr>
            <w:r>
              <w:rPr>
                <w:rFonts w:ascii="Arial" w:cs="Arial" w:eastAsia="Arial" w:hAnsi="Arial"/>
                <w:sz w:val="15"/>
                <w:szCs w:val="15"/>
                <w:color w:val="auto"/>
              </w:rPr>
              <w:t>In-process research &amp; development</w:t>
            </w:r>
          </w:p>
        </w:tc>
        <w:tc>
          <w:tcPr>
            <w:tcW w:w="38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6"/>
              </w:rPr>
              <w:t>n/a</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64,590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64,590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FF0FC"/>
          </w:tcPr>
          <w:p>
            <w:pPr>
              <w:ind w:left="20"/>
              <w:spacing w:after="0"/>
              <w:rPr>
                <w:sz w:val="20"/>
                <w:szCs w:val="20"/>
                <w:color w:val="auto"/>
              </w:rPr>
            </w:pPr>
            <w:r>
              <w:rPr>
                <w:rFonts w:ascii="Arial" w:cs="Arial" w:eastAsia="Arial" w:hAnsi="Arial"/>
                <w:sz w:val="15"/>
                <w:szCs w:val="15"/>
                <w:color w:val="auto"/>
              </w:rPr>
              <w:t>Royalty-free technology</w:t>
            </w:r>
          </w:p>
        </w:tc>
        <w:tc>
          <w:tcPr>
            <w:tcW w:w="38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3"/>
              </w:rPr>
              <w:t>10 Years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5,071</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5"/>
                <w:szCs w:val="15"/>
                <w:color w:val="auto"/>
              </w:rPr>
              <w:t>Less: accumulated amortization</w:t>
            </w: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(1,225 )</w:t>
            </w:r>
          </w:p>
        </w:tc>
        <w:tc>
          <w:tcPr>
            <w:tcW w:w="2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5"/>
                <w:szCs w:val="15"/>
                <w:color w:val="auto"/>
              </w:rPr>
              <w:t>(894 )</w:t>
            </w:r>
          </w:p>
        </w:tc>
        <w:tc>
          <w:tcPr>
            <w:tcW w:w="0" w:type="dxa"/>
            <w:vAlign w:val="bottom"/>
          </w:tcPr>
          <w:p>
            <w:pPr>
              <w:spacing w:after="0"/>
              <w:rPr>
                <w:sz w:val="1"/>
                <w:szCs w:val="1"/>
                <w:color w:val="auto"/>
              </w:rPr>
            </w:pPr>
          </w:p>
        </w:tc>
      </w:tr>
      <w:tr>
        <w:trPr>
          <w:trHeight w:val="188"/>
        </w:trPr>
        <w:tc>
          <w:tcPr>
            <w:tcW w:w="4000" w:type="dxa"/>
            <w:vAlign w:val="bottom"/>
            <w:shd w:val="clear" w:color="auto" w:fill="CFF0FC"/>
          </w:tcPr>
          <w:p>
            <w:pPr>
              <w:ind w:left="20"/>
              <w:spacing w:after="0"/>
              <w:rPr>
                <w:sz w:val="20"/>
                <w:szCs w:val="20"/>
                <w:color w:val="auto"/>
              </w:rPr>
            </w:pPr>
            <w:r>
              <w:rPr>
                <w:rFonts w:ascii="Arial" w:cs="Arial" w:eastAsia="Arial" w:hAnsi="Arial"/>
                <w:sz w:val="15"/>
                <w:szCs w:val="15"/>
                <w:color w:val="auto"/>
              </w:rPr>
              <w:t>Royalty-free technology, net</w:t>
            </w:r>
          </w:p>
        </w:tc>
        <w:tc>
          <w:tcPr>
            <w:tcW w:w="382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3,846</w:t>
            </w:r>
          </w:p>
        </w:tc>
        <w:tc>
          <w:tcPr>
            <w:tcW w:w="30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FF0FC"/>
          </w:tcPr>
          <w:p>
            <w:pPr>
              <w:ind w:left="20"/>
              <w:spacing w:after="0"/>
              <w:rPr>
                <w:sz w:val="20"/>
                <w:szCs w:val="20"/>
                <w:color w:val="auto"/>
              </w:rPr>
            </w:pPr>
            <w:r>
              <w:rPr>
                <w:rFonts w:ascii="Arial" w:cs="Arial" w:eastAsia="Arial" w:hAnsi="Arial"/>
                <w:sz w:val="15"/>
                <w:szCs w:val="15"/>
                <w:color w:val="auto"/>
              </w:rPr>
              <w:t>Customer relationships</w:t>
            </w:r>
          </w:p>
        </w:tc>
        <w:tc>
          <w:tcPr>
            <w:tcW w:w="38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3"/>
              </w:rPr>
              <w:t>13 Years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82,686</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82,750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5"/>
                <w:szCs w:val="15"/>
                <w:color w:val="auto"/>
              </w:rPr>
              <w:t>Less: accumulated amortization</w:t>
            </w: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(10,976 )</w:t>
            </w:r>
          </w:p>
        </w:tc>
        <w:tc>
          <w:tcPr>
            <w:tcW w:w="2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5"/>
                <w:szCs w:val="15"/>
                <w:color w:val="auto"/>
              </w:rPr>
              <w:t>(6,215 )</w:t>
            </w:r>
          </w:p>
        </w:tc>
        <w:tc>
          <w:tcPr>
            <w:tcW w:w="0" w:type="dxa"/>
            <w:vAlign w:val="bottom"/>
          </w:tcPr>
          <w:p>
            <w:pPr>
              <w:spacing w:after="0"/>
              <w:rPr>
                <w:sz w:val="1"/>
                <w:szCs w:val="1"/>
                <w:color w:val="auto"/>
              </w:rPr>
            </w:pPr>
          </w:p>
        </w:tc>
      </w:tr>
      <w:tr>
        <w:trPr>
          <w:trHeight w:val="188"/>
        </w:trPr>
        <w:tc>
          <w:tcPr>
            <w:tcW w:w="4000" w:type="dxa"/>
            <w:vAlign w:val="bottom"/>
            <w:shd w:val="clear" w:color="auto" w:fill="CFF0FC"/>
          </w:tcPr>
          <w:p>
            <w:pPr>
              <w:ind w:left="20"/>
              <w:spacing w:after="0"/>
              <w:rPr>
                <w:sz w:val="20"/>
                <w:szCs w:val="20"/>
                <w:color w:val="auto"/>
              </w:rPr>
            </w:pPr>
            <w:r>
              <w:rPr>
                <w:rFonts w:ascii="Arial" w:cs="Arial" w:eastAsia="Arial" w:hAnsi="Arial"/>
                <w:sz w:val="15"/>
                <w:szCs w:val="15"/>
                <w:color w:val="auto"/>
              </w:rPr>
              <w:t>Customer relationships, net</w:t>
            </w:r>
          </w:p>
        </w:tc>
        <w:tc>
          <w:tcPr>
            <w:tcW w:w="382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71,710</w:t>
            </w:r>
          </w:p>
        </w:tc>
        <w:tc>
          <w:tcPr>
            <w:tcW w:w="30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76,535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FF0FC"/>
          </w:tcPr>
          <w:p>
            <w:pPr>
              <w:ind w:left="20"/>
              <w:spacing w:after="0"/>
              <w:rPr>
                <w:sz w:val="20"/>
                <w:szCs w:val="20"/>
                <w:color w:val="auto"/>
              </w:rPr>
            </w:pPr>
            <w:r>
              <w:rPr>
                <w:rFonts w:ascii="Arial" w:cs="Arial" w:eastAsia="Arial" w:hAnsi="Arial"/>
                <w:sz w:val="15"/>
                <w:szCs w:val="15"/>
                <w:color w:val="auto"/>
              </w:rPr>
              <w:t>Trade name</w:t>
            </w:r>
          </w:p>
        </w:tc>
        <w:tc>
          <w:tcPr>
            <w:tcW w:w="38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5"/>
              </w:rPr>
              <w:t>8 Years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3,790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5"/>
                <w:szCs w:val="15"/>
                <w:color w:val="auto"/>
              </w:rPr>
              <w:t>Less: accumulated amortization</w:t>
            </w: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(782 )</w:t>
            </w:r>
          </w:p>
        </w:tc>
        <w:tc>
          <w:tcPr>
            <w:tcW w:w="2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5"/>
                <w:szCs w:val="15"/>
                <w:color w:val="auto"/>
              </w:rPr>
              <w:t>(412 )</w:t>
            </w:r>
          </w:p>
        </w:tc>
        <w:tc>
          <w:tcPr>
            <w:tcW w:w="0" w:type="dxa"/>
            <w:vAlign w:val="bottom"/>
          </w:tcPr>
          <w:p>
            <w:pPr>
              <w:spacing w:after="0"/>
              <w:rPr>
                <w:sz w:val="1"/>
                <w:szCs w:val="1"/>
                <w:color w:val="auto"/>
              </w:rPr>
            </w:pPr>
          </w:p>
        </w:tc>
      </w:tr>
      <w:tr>
        <w:trPr>
          <w:trHeight w:val="188"/>
        </w:trPr>
        <w:tc>
          <w:tcPr>
            <w:tcW w:w="4000" w:type="dxa"/>
            <w:vAlign w:val="bottom"/>
            <w:shd w:val="clear" w:color="auto" w:fill="CFF0FC"/>
          </w:tcPr>
          <w:p>
            <w:pPr>
              <w:ind w:left="20"/>
              <w:spacing w:after="0"/>
              <w:rPr>
                <w:sz w:val="20"/>
                <w:szCs w:val="20"/>
                <w:color w:val="auto"/>
              </w:rPr>
            </w:pPr>
            <w:r>
              <w:rPr>
                <w:rFonts w:ascii="Arial" w:cs="Arial" w:eastAsia="Arial" w:hAnsi="Arial"/>
                <w:sz w:val="15"/>
                <w:szCs w:val="15"/>
                <w:color w:val="auto"/>
              </w:rPr>
              <w:t>Trade name, net</w:t>
            </w:r>
          </w:p>
        </w:tc>
        <w:tc>
          <w:tcPr>
            <w:tcW w:w="382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3,008</w:t>
            </w:r>
          </w:p>
        </w:tc>
        <w:tc>
          <w:tcPr>
            <w:tcW w:w="30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3,378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FF0FC"/>
          </w:tcPr>
          <w:p>
            <w:pPr>
              <w:ind w:left="20"/>
              <w:spacing w:after="0"/>
              <w:rPr>
                <w:sz w:val="20"/>
                <w:szCs w:val="20"/>
                <w:color w:val="auto"/>
              </w:rPr>
            </w:pPr>
            <w:r>
              <w:rPr>
                <w:rFonts w:ascii="Arial" w:cs="Arial" w:eastAsia="Arial" w:hAnsi="Arial"/>
                <w:sz w:val="15"/>
                <w:szCs w:val="15"/>
                <w:color w:val="auto"/>
              </w:rPr>
              <w:t>In-place lease intangible assets</w:t>
            </w:r>
          </w:p>
        </w:tc>
        <w:tc>
          <w:tcPr>
            <w:tcW w:w="38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5"/>
              </w:rPr>
              <w:t>5 Years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5"/>
                <w:szCs w:val="15"/>
                <w:color w:val="auto"/>
              </w:rPr>
              <w:t>Less: accumulated amortization</w:t>
            </w: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(99 )</w:t>
            </w:r>
          </w:p>
        </w:tc>
        <w:tc>
          <w:tcPr>
            <w:tcW w:w="2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5"/>
                <w:szCs w:val="15"/>
                <w:color w:val="auto"/>
              </w:rPr>
              <w:t>(46 )</w:t>
            </w:r>
          </w:p>
        </w:tc>
        <w:tc>
          <w:tcPr>
            <w:tcW w:w="0" w:type="dxa"/>
            <w:vAlign w:val="bottom"/>
          </w:tcPr>
          <w:p>
            <w:pPr>
              <w:spacing w:after="0"/>
              <w:rPr>
                <w:sz w:val="1"/>
                <w:szCs w:val="1"/>
                <w:color w:val="auto"/>
              </w:rPr>
            </w:pPr>
          </w:p>
        </w:tc>
      </w:tr>
      <w:tr>
        <w:trPr>
          <w:trHeight w:val="188"/>
        </w:trPr>
        <w:tc>
          <w:tcPr>
            <w:tcW w:w="4000" w:type="dxa"/>
            <w:vAlign w:val="bottom"/>
            <w:shd w:val="clear" w:color="auto" w:fill="CFF0FC"/>
          </w:tcPr>
          <w:p>
            <w:pPr>
              <w:ind w:left="20"/>
              <w:spacing w:after="0"/>
              <w:rPr>
                <w:sz w:val="20"/>
                <w:szCs w:val="20"/>
                <w:color w:val="auto"/>
              </w:rPr>
            </w:pPr>
            <w:r>
              <w:rPr>
                <w:rFonts w:ascii="Arial" w:cs="Arial" w:eastAsia="Arial" w:hAnsi="Arial"/>
                <w:sz w:val="15"/>
                <w:szCs w:val="15"/>
                <w:color w:val="auto"/>
              </w:rPr>
              <w:t>In-place lease intangible assets, net</w:t>
            </w:r>
          </w:p>
        </w:tc>
        <w:tc>
          <w:tcPr>
            <w:tcW w:w="382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261</w:t>
            </w:r>
          </w:p>
        </w:tc>
        <w:tc>
          <w:tcPr>
            <w:tcW w:w="30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FF0FC"/>
          </w:tcPr>
          <w:p>
            <w:pPr>
              <w:ind w:left="20"/>
              <w:spacing w:after="0"/>
              <w:rPr>
                <w:sz w:val="20"/>
                <w:szCs w:val="20"/>
                <w:color w:val="auto"/>
              </w:rPr>
            </w:pPr>
            <w:r>
              <w:rPr>
                <w:rFonts w:ascii="Arial" w:cs="Arial" w:eastAsia="Arial" w:hAnsi="Arial"/>
                <w:sz w:val="15"/>
                <w:szCs w:val="15"/>
                <w:color w:val="auto"/>
              </w:rPr>
              <w:t>Laboratory information system platform</w:t>
            </w:r>
          </w:p>
        </w:tc>
        <w:tc>
          <w:tcPr>
            <w:tcW w:w="38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5"/>
              </w:rPr>
              <w:t>5 Years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1,860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5"/>
                <w:szCs w:val="15"/>
                <w:color w:val="auto"/>
              </w:rPr>
              <w:t>Less: accumulated amortization</w:t>
            </w: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(806 )</w:t>
            </w:r>
          </w:p>
        </w:tc>
        <w:tc>
          <w:tcPr>
            <w:tcW w:w="2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5"/>
                <w:szCs w:val="15"/>
                <w:color w:val="auto"/>
              </w:rPr>
              <w:t>(527 )</w:t>
            </w:r>
          </w:p>
        </w:tc>
        <w:tc>
          <w:tcPr>
            <w:tcW w:w="0" w:type="dxa"/>
            <w:vAlign w:val="bottom"/>
          </w:tcPr>
          <w:p>
            <w:pPr>
              <w:spacing w:after="0"/>
              <w:rPr>
                <w:sz w:val="1"/>
                <w:szCs w:val="1"/>
                <w:color w:val="auto"/>
              </w:rPr>
            </w:pPr>
          </w:p>
        </w:tc>
      </w:tr>
      <w:tr>
        <w:trPr>
          <w:trHeight w:val="188"/>
        </w:trPr>
        <w:tc>
          <w:tcPr>
            <w:tcW w:w="4000" w:type="dxa"/>
            <w:vAlign w:val="bottom"/>
            <w:shd w:val="clear" w:color="auto" w:fill="CFF0FC"/>
          </w:tcPr>
          <w:p>
            <w:pPr>
              <w:ind w:left="20"/>
              <w:spacing w:after="0"/>
              <w:rPr>
                <w:sz w:val="20"/>
                <w:szCs w:val="20"/>
                <w:color w:val="auto"/>
              </w:rPr>
            </w:pPr>
            <w:r>
              <w:rPr>
                <w:rFonts w:ascii="Arial" w:cs="Arial" w:eastAsia="Arial" w:hAnsi="Arial"/>
                <w:sz w:val="15"/>
                <w:szCs w:val="15"/>
                <w:color w:val="auto"/>
              </w:rPr>
              <w:t>Laboratory information system platform, net</w:t>
            </w:r>
          </w:p>
        </w:tc>
        <w:tc>
          <w:tcPr>
            <w:tcW w:w="382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1,054</w:t>
            </w:r>
          </w:p>
        </w:tc>
        <w:tc>
          <w:tcPr>
            <w:tcW w:w="30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FF0FC"/>
          </w:tcPr>
          <w:p>
            <w:pPr>
              <w:ind w:left="20"/>
              <w:spacing w:after="0"/>
              <w:rPr>
                <w:sz w:val="20"/>
                <w:szCs w:val="20"/>
                <w:color w:val="auto"/>
              </w:rPr>
            </w:pPr>
            <w:r>
              <w:rPr>
                <w:rFonts w:ascii="Arial" w:cs="Arial" w:eastAsia="Arial" w:hAnsi="Arial"/>
                <w:sz w:val="15"/>
                <w:szCs w:val="15"/>
                <w:color w:val="auto"/>
              </w:rPr>
              <w:t>Purchased patent</w:t>
            </w:r>
          </w:p>
        </w:tc>
        <w:tc>
          <w:tcPr>
            <w:tcW w:w="38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3"/>
              </w:rPr>
              <w:t>10 Years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5"/>
                <w:szCs w:val="15"/>
                <w:color w:val="auto"/>
              </w:rPr>
              <w:t>Less: accumulated amortization</w:t>
            </w: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(7 )</w:t>
            </w:r>
          </w:p>
        </w:tc>
        <w:tc>
          <w:tcPr>
            <w:tcW w:w="2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5"/>
                <w:szCs w:val="15"/>
                <w:color w:val="auto"/>
              </w:rPr>
              <w:t>(6 )</w:t>
            </w:r>
          </w:p>
        </w:tc>
        <w:tc>
          <w:tcPr>
            <w:tcW w:w="0" w:type="dxa"/>
            <w:vAlign w:val="bottom"/>
          </w:tcPr>
          <w:p>
            <w:pPr>
              <w:spacing w:after="0"/>
              <w:rPr>
                <w:sz w:val="1"/>
                <w:szCs w:val="1"/>
                <w:color w:val="auto"/>
              </w:rPr>
            </w:pPr>
          </w:p>
        </w:tc>
      </w:tr>
      <w:tr>
        <w:trPr>
          <w:trHeight w:val="188"/>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Purchased patent, net</w:t>
            </w:r>
          </w:p>
        </w:tc>
        <w:tc>
          <w:tcPr>
            <w:tcW w:w="38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3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20"/>
              <w:spacing w:after="0"/>
              <w:rPr>
                <w:sz w:val="20"/>
                <w:szCs w:val="20"/>
                <w:color w:val="auto"/>
              </w:rPr>
            </w:pPr>
            <w:r>
              <w:rPr>
                <w:rFonts w:ascii="Arial" w:cs="Arial" w:eastAsia="Arial" w:hAnsi="Arial"/>
                <w:sz w:val="15"/>
                <w:szCs w:val="15"/>
                <w:color w:val="auto"/>
              </w:rPr>
              <w:t>Total intangible assets, net</w:t>
            </w:r>
          </w:p>
        </w:tc>
        <w:tc>
          <w:tcPr>
            <w:tcW w:w="3820" w:type="dxa"/>
            <w:vAlign w:val="bottom"/>
          </w:tcPr>
          <w:p>
            <w:pPr>
              <w:spacing w:after="0"/>
              <w:rPr>
                <w:sz w:val="16"/>
                <w:szCs w:val="16"/>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144,489</w:t>
            </w:r>
          </w:p>
        </w:tc>
        <w:tc>
          <w:tcPr>
            <w:tcW w:w="300" w:type="dxa"/>
            <w:vAlign w:val="bottom"/>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150,643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820" w:type="dxa"/>
            <w:vAlign w:val="bottom"/>
            <w:vMerge w:val="restart"/>
          </w:tcPr>
          <w:p>
            <w:pPr>
              <w:jc w:val="right"/>
              <w:ind w:right="2029"/>
              <w:spacing w:after="0"/>
              <w:rPr>
                <w:sz w:val="20"/>
                <w:szCs w:val="20"/>
                <w:color w:val="auto"/>
              </w:rPr>
            </w:pPr>
            <w:r>
              <w:rPr>
                <w:rFonts w:ascii="Arial" w:cs="Arial" w:eastAsia="Arial" w:hAnsi="Arial"/>
                <w:sz w:val="15"/>
                <w:szCs w:val="15"/>
                <w:color w:val="auto"/>
              </w:rPr>
              <w:t>18</w:t>
            </w: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0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4000" w:type="dxa"/>
            <w:vAlign w:val="bottom"/>
            <w:tcBorders>
              <w:bottom w:val="single" w:sz="8" w:color="9A9A9A"/>
            </w:tcBorders>
          </w:tcPr>
          <w:p>
            <w:pPr>
              <w:spacing w:after="0"/>
              <w:rPr>
                <w:sz w:val="6"/>
                <w:szCs w:val="6"/>
                <w:color w:val="auto"/>
              </w:rPr>
            </w:pPr>
          </w:p>
        </w:tc>
        <w:tc>
          <w:tcPr>
            <w:tcW w:w="38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-3859530</wp:posOffset>
            </wp:positionV>
            <wp:extent cx="1138555" cy="146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38555" cy="1460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-548005</wp:posOffset>
            </wp:positionV>
            <wp:extent cx="69215" cy="153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215" cy="15303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-548005</wp:posOffset>
            </wp:positionV>
            <wp:extent cx="69215" cy="153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215" cy="153035"/>
                    </a:xfrm>
                    <a:prstGeom prst="rect">
                      <a:avLst/>
                    </a:prstGeom>
                    <a:noFill/>
                  </pic:spPr>
                </pic:pic>
              </a:graphicData>
            </a:graphic>
          </wp:anchor>
        </w:drawing>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391" w:right="319" w:bottom="1440" w:gutter="0" w:footer="0" w:header="0"/>
        </w:sectPr>
      </w:pPr>
    </w:p>
    <w:bookmarkStart w:id="20" w:name="page21"/>
    <w:bookmarkEnd w:id="20"/>
    <w:p>
      <w:pPr>
        <w:ind w:right="80" w:firstLine="511"/>
        <w:spacing w:after="0" w:line="249" w:lineRule="auto"/>
        <w:rPr>
          <w:sz w:val="20"/>
          <w:szCs w:val="20"/>
          <w:color w:val="auto"/>
        </w:rPr>
      </w:pPr>
      <w:r>
        <w:rPr>
          <w:rFonts w:ascii="Arial" w:cs="Arial" w:eastAsia="Arial" w:hAnsi="Arial"/>
          <w:sz w:val="15"/>
          <w:szCs w:val="15"/>
          <w:color w:val="auto"/>
        </w:rPr>
        <w:t>Acquisition-related intangibles included in the above tables are generally finite-lived and are carried at cost less accumulated amortization, except for In-Process Research and Development, or IPR&amp;D, which is related to a business combination in 2022 and has an indefinite life until research and development efforts are completed or abandoned. All other finite-lived acquisition-related intangibles related to the business combinations in 2022 and 2021 are amortized on a straight-line basis over their estimated lives, which approximates the pattern in which the economic benefits of the intangible assets are expected to be realized.</w:t>
      </w:r>
    </w:p>
    <w:p>
      <w:pPr>
        <w:spacing w:after="0" w:line="33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Changes in the carrying amount of goodwill for the nine months ended September 30, 2023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60" w:type="dxa"/>
            <w:vAlign w:val="bottom"/>
            <w:gridSpan w:val="2"/>
          </w:tcPr>
          <w:p>
            <w:pPr>
              <w:jc w:val="right"/>
              <w:ind w:right="1620"/>
              <w:spacing w:after="0"/>
              <w:rPr>
                <w:sz w:val="20"/>
                <w:szCs w:val="20"/>
                <w:color w:val="auto"/>
              </w:rPr>
            </w:pPr>
            <w:r>
              <w:rPr>
                <w:rFonts w:ascii="Arial" w:cs="Arial" w:eastAsia="Arial" w:hAnsi="Arial"/>
                <w:sz w:val="12"/>
                <w:szCs w:val="12"/>
                <w:b w:val="1"/>
                <w:bCs w:val="1"/>
                <w:color w:val="auto"/>
              </w:rPr>
              <w:t>Amounts</w:t>
            </w:r>
          </w:p>
        </w:tc>
      </w:tr>
      <w:tr>
        <w:trPr>
          <w:trHeight w:val="133"/>
        </w:trPr>
        <w:tc>
          <w:tcPr>
            <w:tcW w:w="76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760" w:type="dxa"/>
            <w:vAlign w:val="bottom"/>
            <w:tcBorders>
              <w:top w:val="single" w:sz="8" w:color="auto"/>
            </w:tcBorders>
          </w:tcPr>
          <w:p>
            <w:pPr>
              <w:jc w:val="right"/>
              <w:ind w:right="1330"/>
              <w:spacing w:after="0" w:line="133" w:lineRule="exact"/>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1"/>
                <w:szCs w:val="11"/>
                <w:color w:val="auto"/>
              </w:rPr>
            </w:pPr>
          </w:p>
        </w:tc>
      </w:tr>
      <w:tr>
        <w:trPr>
          <w:trHeight w:val="197"/>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color w:val="auto"/>
              </w:rPr>
              <w:t>Balance as of January 1, 2023</w:t>
            </w:r>
          </w:p>
        </w:tc>
        <w:tc>
          <w:tcPr>
            <w:tcW w:w="740" w:type="dxa"/>
            <w:vAlign w:val="bottom"/>
            <w:shd w:val="clear" w:color="auto" w:fill="CFF0FC"/>
          </w:tcPr>
          <w:p>
            <w:pPr>
              <w:spacing w:after="0"/>
              <w:rPr>
                <w:sz w:val="17"/>
                <w:szCs w:val="17"/>
                <w:color w:val="auto"/>
              </w:rPr>
            </w:pPr>
          </w:p>
        </w:tc>
        <w:tc>
          <w:tcPr>
            <w:tcW w:w="2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1"/>
        </w:trPr>
        <w:tc>
          <w:tcPr>
            <w:tcW w:w="7680" w:type="dxa"/>
            <w:vAlign w:val="bottom"/>
          </w:tcPr>
          <w:p>
            <w:pPr>
              <w:ind w:left="160"/>
              <w:spacing w:after="0"/>
              <w:rPr>
                <w:sz w:val="20"/>
                <w:szCs w:val="20"/>
                <w:color w:val="auto"/>
              </w:rPr>
            </w:pPr>
            <w:r>
              <w:rPr>
                <w:rFonts w:ascii="Arial" w:cs="Arial" w:eastAsia="Arial" w:hAnsi="Arial"/>
                <w:sz w:val="15"/>
                <w:szCs w:val="15"/>
                <w:color w:val="auto"/>
              </w:rPr>
              <w:t>Goodwill</w:t>
            </w: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2760" w:type="dxa"/>
            <w:vAlign w:val="bottom"/>
          </w:tcPr>
          <w:p>
            <w:pPr>
              <w:jc w:val="right"/>
              <w:spacing w:after="0"/>
              <w:rPr>
                <w:sz w:val="20"/>
                <w:szCs w:val="20"/>
                <w:color w:val="auto"/>
              </w:rPr>
            </w:pPr>
            <w:r>
              <w:rPr>
                <w:rFonts w:ascii="Arial" w:cs="Arial" w:eastAsia="Arial" w:hAnsi="Arial"/>
                <w:sz w:val="15"/>
                <w:szCs w:val="15"/>
                <w:color w:val="auto"/>
              </w:rPr>
              <w:t>143,027</w:t>
            </w:r>
          </w:p>
        </w:tc>
        <w:tc>
          <w:tcPr>
            <w:tcW w:w="100" w:type="dxa"/>
            <w:vAlign w:val="bottom"/>
          </w:tcPr>
          <w:p>
            <w:pPr>
              <w:spacing w:after="0"/>
              <w:rPr>
                <w:sz w:val="16"/>
                <w:szCs w:val="16"/>
                <w:color w:val="auto"/>
              </w:rPr>
            </w:pPr>
          </w:p>
        </w:tc>
      </w:tr>
      <w:tr>
        <w:trPr>
          <w:trHeight w:val="202"/>
        </w:trPr>
        <w:tc>
          <w:tcPr>
            <w:tcW w:w="7680" w:type="dxa"/>
            <w:vAlign w:val="bottom"/>
            <w:shd w:val="clear" w:color="auto" w:fill="CFF0FC"/>
          </w:tcPr>
          <w:p>
            <w:pPr>
              <w:ind w:left="160"/>
              <w:spacing w:after="0"/>
              <w:rPr>
                <w:sz w:val="20"/>
                <w:szCs w:val="20"/>
                <w:color w:val="auto"/>
              </w:rPr>
            </w:pPr>
            <w:r>
              <w:rPr>
                <w:rFonts w:ascii="Arial" w:cs="Arial" w:eastAsia="Arial" w:hAnsi="Arial"/>
                <w:sz w:val="15"/>
                <w:szCs w:val="15"/>
                <w:color w:val="auto"/>
              </w:rPr>
              <w:t>Accumulated impairment losses</w:t>
            </w:r>
          </w:p>
        </w:tc>
        <w:tc>
          <w:tcPr>
            <w:tcW w:w="740" w:type="dxa"/>
            <w:vAlign w:val="bottom"/>
            <w:shd w:val="clear" w:color="auto" w:fill="CFF0FC"/>
          </w:tcPr>
          <w:p>
            <w:pPr>
              <w:spacing w:after="0"/>
              <w:rPr>
                <w:sz w:val="17"/>
                <w:szCs w:val="17"/>
                <w:color w:val="auto"/>
              </w:rPr>
            </w:pPr>
          </w:p>
        </w:tc>
        <w:tc>
          <w:tcPr>
            <w:tcW w:w="2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2"/>
        </w:trPr>
        <w:tc>
          <w:tcPr>
            <w:tcW w:w="768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143,027</w:t>
            </w:r>
          </w:p>
        </w:tc>
        <w:tc>
          <w:tcPr>
            <w:tcW w:w="100" w:type="dxa"/>
            <w:vAlign w:val="bottom"/>
            <w:tcBorders>
              <w:top w:val="single" w:sz="8" w:color="CFF0FC"/>
            </w:tcBorders>
          </w:tcPr>
          <w:p>
            <w:pPr>
              <w:spacing w:after="0"/>
              <w:rPr>
                <w:sz w:val="15"/>
                <w:szCs w:val="15"/>
                <w:color w:val="auto"/>
              </w:rPr>
            </w:pPr>
          </w:p>
        </w:tc>
      </w:tr>
      <w:tr>
        <w:trPr>
          <w:trHeight w:val="213"/>
        </w:trPr>
        <w:tc>
          <w:tcPr>
            <w:tcW w:w="7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60" w:type="dxa"/>
            <w:vAlign w:val="bottom"/>
            <w:gridSpan w:val="2"/>
            <w:shd w:val="clear" w:color="auto" w:fill="CFF0FC"/>
          </w:tcPr>
          <w:p>
            <w:pPr>
              <w:spacing w:after="0"/>
              <w:rPr>
                <w:sz w:val="18"/>
                <w:szCs w:val="18"/>
                <w:color w:val="auto"/>
              </w:rPr>
            </w:pPr>
          </w:p>
        </w:tc>
      </w:tr>
      <w:tr>
        <w:trPr>
          <w:trHeight w:val="191"/>
        </w:trPr>
        <w:tc>
          <w:tcPr>
            <w:tcW w:w="7680" w:type="dxa"/>
            <w:vAlign w:val="bottom"/>
          </w:tcPr>
          <w:p>
            <w:pPr>
              <w:ind w:left="20"/>
              <w:spacing w:after="0"/>
              <w:rPr>
                <w:sz w:val="20"/>
                <w:szCs w:val="20"/>
                <w:color w:val="auto"/>
              </w:rPr>
            </w:pPr>
            <w:r>
              <w:rPr>
                <w:rFonts w:ascii="Arial" w:cs="Arial" w:eastAsia="Arial" w:hAnsi="Arial"/>
                <w:sz w:val="15"/>
                <w:szCs w:val="15"/>
                <w:color w:val="auto"/>
              </w:rPr>
              <w:t>Net foreign currency exchange differences</w:t>
            </w:r>
          </w:p>
        </w:tc>
        <w:tc>
          <w:tcPr>
            <w:tcW w:w="740" w:type="dxa"/>
            <w:vAlign w:val="bottom"/>
          </w:tcPr>
          <w:p>
            <w:pPr>
              <w:spacing w:after="0"/>
              <w:rPr>
                <w:sz w:val="16"/>
                <w:szCs w:val="16"/>
                <w:color w:val="auto"/>
              </w:rPr>
            </w:pPr>
          </w:p>
        </w:tc>
        <w:tc>
          <w:tcPr>
            <w:tcW w:w="2860" w:type="dxa"/>
            <w:vAlign w:val="bottom"/>
            <w:gridSpan w:val="2"/>
          </w:tcPr>
          <w:p>
            <w:pPr>
              <w:jc w:val="right"/>
              <w:ind w:right="40"/>
              <w:spacing w:after="0"/>
              <w:rPr>
                <w:sz w:val="20"/>
                <w:szCs w:val="20"/>
                <w:color w:val="auto"/>
              </w:rPr>
            </w:pPr>
            <w:r>
              <w:rPr>
                <w:rFonts w:ascii="Arial" w:cs="Arial" w:eastAsia="Arial" w:hAnsi="Arial"/>
                <w:sz w:val="15"/>
                <w:szCs w:val="15"/>
                <w:color w:val="auto"/>
              </w:rPr>
              <w:t>(1,183 )</w:t>
            </w:r>
          </w:p>
        </w:tc>
      </w:tr>
      <w:tr>
        <w:trPr>
          <w:trHeight w:val="202"/>
        </w:trPr>
        <w:tc>
          <w:tcPr>
            <w:tcW w:w="76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1"/>
        </w:trPr>
        <w:tc>
          <w:tcPr>
            <w:tcW w:w="7680" w:type="dxa"/>
            <w:vAlign w:val="bottom"/>
          </w:tcPr>
          <w:p>
            <w:pPr>
              <w:ind w:left="20"/>
              <w:spacing w:after="0"/>
              <w:rPr>
                <w:sz w:val="20"/>
                <w:szCs w:val="20"/>
                <w:color w:val="auto"/>
              </w:rPr>
            </w:pPr>
            <w:r>
              <w:rPr>
                <w:rFonts w:ascii="Arial" w:cs="Arial" w:eastAsia="Arial" w:hAnsi="Arial"/>
                <w:sz w:val="15"/>
                <w:szCs w:val="15"/>
                <w:color w:val="auto"/>
              </w:rPr>
              <w:t>Balance as of September 30, 2023</w:t>
            </w:r>
          </w:p>
        </w:tc>
        <w:tc>
          <w:tcPr>
            <w:tcW w:w="7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color w:val="auto"/>
              </w:rPr>
              <w:t>Goodwill</w:t>
            </w:r>
          </w:p>
        </w:tc>
        <w:tc>
          <w:tcPr>
            <w:tcW w:w="740" w:type="dxa"/>
            <w:vAlign w:val="bottom"/>
            <w:shd w:val="clear" w:color="auto" w:fill="CFF0FC"/>
          </w:tcPr>
          <w:p>
            <w:pPr>
              <w:spacing w:after="0"/>
              <w:rPr>
                <w:sz w:val="17"/>
                <w:szCs w:val="17"/>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141,844</w:t>
            </w:r>
          </w:p>
        </w:tc>
        <w:tc>
          <w:tcPr>
            <w:tcW w:w="100" w:type="dxa"/>
            <w:vAlign w:val="bottom"/>
            <w:shd w:val="clear" w:color="auto" w:fill="CFF0FC"/>
          </w:tcPr>
          <w:p>
            <w:pPr>
              <w:spacing w:after="0"/>
              <w:rPr>
                <w:sz w:val="17"/>
                <w:szCs w:val="17"/>
                <w:color w:val="auto"/>
              </w:rPr>
            </w:pPr>
          </w:p>
        </w:tc>
      </w:tr>
      <w:tr>
        <w:trPr>
          <w:trHeight w:val="197"/>
        </w:trPr>
        <w:tc>
          <w:tcPr>
            <w:tcW w:w="7680" w:type="dxa"/>
            <w:vAlign w:val="bottom"/>
          </w:tcPr>
          <w:p>
            <w:pPr>
              <w:ind w:left="20"/>
              <w:spacing w:after="0"/>
              <w:rPr>
                <w:sz w:val="20"/>
                <w:szCs w:val="20"/>
                <w:color w:val="auto"/>
              </w:rPr>
            </w:pPr>
            <w:r>
              <w:rPr>
                <w:rFonts w:ascii="Arial" w:cs="Arial" w:eastAsia="Arial" w:hAnsi="Arial"/>
                <w:sz w:val="15"/>
                <w:szCs w:val="15"/>
                <w:color w:val="auto"/>
              </w:rPr>
              <w:t>Accumulated impairment losses</w:t>
            </w:r>
          </w:p>
        </w:tc>
        <w:tc>
          <w:tcPr>
            <w:tcW w:w="740" w:type="dxa"/>
            <w:vAlign w:val="bottom"/>
          </w:tcPr>
          <w:p>
            <w:pPr>
              <w:spacing w:after="0"/>
              <w:rPr>
                <w:sz w:val="17"/>
                <w:szCs w:val="17"/>
                <w:color w:val="auto"/>
              </w:rPr>
            </w:pPr>
          </w:p>
        </w:tc>
        <w:tc>
          <w:tcPr>
            <w:tcW w:w="2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22"/>
        </w:trPr>
        <w:tc>
          <w:tcPr>
            <w:tcW w:w="76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141,844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7093585</wp:posOffset>
            </wp:positionH>
            <wp:positionV relativeFrom="paragraph">
              <wp:posOffset>-1040765</wp:posOffset>
            </wp:positionV>
            <wp:extent cx="69215" cy="1320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-20320</wp:posOffset>
            </wp:positionV>
            <wp:extent cx="6921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-6350</wp:posOffset>
            </wp:positionV>
            <wp:extent cx="6921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215" cy="6985"/>
                    </a:xfrm>
                    <a:prstGeom prst="rect">
                      <a:avLst/>
                    </a:prstGeom>
                    <a:noFill/>
                  </pic:spPr>
                </pic:pic>
              </a:graphicData>
            </a:graphic>
          </wp:anchor>
        </w:drawing>
      </w:r>
    </w:p>
    <w:p>
      <w:pPr>
        <w:spacing w:after="0" w:line="144" w:lineRule="exact"/>
        <w:rPr>
          <w:sz w:val="20"/>
          <w:szCs w:val="20"/>
          <w:color w:val="auto"/>
        </w:rPr>
      </w:pPr>
    </w:p>
    <w:p>
      <w:pPr>
        <w:ind w:right="700" w:firstLine="511"/>
        <w:spacing w:after="0" w:line="262" w:lineRule="auto"/>
        <w:rPr>
          <w:sz w:val="20"/>
          <w:szCs w:val="20"/>
          <w:color w:val="auto"/>
        </w:rPr>
      </w:pPr>
      <w:r>
        <w:rPr>
          <w:rFonts w:ascii="Arial" w:cs="Arial" w:eastAsia="Arial" w:hAnsi="Arial"/>
          <w:sz w:val="15"/>
          <w:szCs w:val="15"/>
          <w:color w:val="auto"/>
        </w:rPr>
        <w:t>Based on the carrying value of finite-lived intangible assets recorded as of September 30, 2023, and assuming no subsequent impairment of the underlying assets, the annual amortization expense for intangible assets is expected to be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jc w:val="right"/>
              <w:ind w:right="1450"/>
              <w:spacing w:after="0"/>
              <w:rPr>
                <w:sz w:val="20"/>
                <w:szCs w:val="20"/>
                <w:color w:val="auto"/>
              </w:rPr>
            </w:pPr>
            <w:r>
              <w:rPr>
                <w:rFonts w:ascii="Arial" w:cs="Arial" w:eastAsia="Arial" w:hAnsi="Arial"/>
                <w:sz w:val="12"/>
                <w:szCs w:val="12"/>
                <w:b w:val="1"/>
                <w:bCs w:val="1"/>
                <w:color w:val="auto"/>
              </w:rPr>
              <w:t>Amounts</w:t>
            </w:r>
          </w:p>
        </w:tc>
        <w:tc>
          <w:tcPr>
            <w:tcW w:w="100" w:type="dxa"/>
            <w:vAlign w:val="bottom"/>
          </w:tcPr>
          <w:p>
            <w:pPr>
              <w:spacing w:after="0"/>
              <w:rPr>
                <w:sz w:val="12"/>
                <w:szCs w:val="12"/>
                <w:color w:val="auto"/>
              </w:rPr>
            </w:pPr>
          </w:p>
        </w:tc>
      </w:tr>
      <w:tr>
        <w:trPr>
          <w:trHeight w:val="133"/>
        </w:trPr>
        <w:tc>
          <w:tcPr>
            <w:tcW w:w="7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760" w:type="dxa"/>
            <w:vAlign w:val="bottom"/>
          </w:tcPr>
          <w:p>
            <w:pPr>
              <w:jc w:val="right"/>
              <w:ind w:right="1330"/>
              <w:spacing w:after="0" w:line="133" w:lineRule="exact"/>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1"/>
                <w:szCs w:val="11"/>
                <w:color w:val="auto"/>
              </w:rPr>
            </w:pPr>
          </w:p>
        </w:tc>
      </w:tr>
      <w:tr>
        <w:trPr>
          <w:trHeight w:val="197"/>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color w:val="auto"/>
              </w:rPr>
              <w:t>Year Ending December 31,</w:t>
            </w:r>
          </w:p>
        </w:tc>
        <w:tc>
          <w:tcPr>
            <w:tcW w:w="740" w:type="dxa"/>
            <w:vAlign w:val="bottom"/>
            <w:shd w:val="clear" w:color="auto" w:fill="CFF0FC"/>
          </w:tcPr>
          <w:p>
            <w:pPr>
              <w:spacing w:after="0"/>
              <w:rPr>
                <w:sz w:val="17"/>
                <w:szCs w:val="17"/>
                <w:color w:val="auto"/>
              </w:rPr>
            </w:pPr>
          </w:p>
        </w:tc>
        <w:tc>
          <w:tcPr>
            <w:tcW w:w="2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1"/>
        </w:trPr>
        <w:tc>
          <w:tcPr>
            <w:tcW w:w="7680" w:type="dxa"/>
            <w:vAlign w:val="bottom"/>
          </w:tcPr>
          <w:p>
            <w:pPr>
              <w:ind w:left="20"/>
              <w:spacing w:after="0"/>
              <w:rPr>
                <w:sz w:val="20"/>
                <w:szCs w:val="20"/>
                <w:color w:val="auto"/>
              </w:rPr>
            </w:pPr>
            <w:r>
              <w:rPr>
                <w:rFonts w:ascii="Arial" w:cs="Arial" w:eastAsia="Arial" w:hAnsi="Arial"/>
                <w:sz w:val="15"/>
                <w:szCs w:val="15"/>
                <w:color w:val="auto"/>
              </w:rPr>
              <w:t>2023 (remaining 3 months)</w:t>
            </w: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2760" w:type="dxa"/>
            <w:vAlign w:val="bottom"/>
          </w:tcPr>
          <w:p>
            <w:pPr>
              <w:jc w:val="right"/>
              <w:spacing w:after="0"/>
              <w:rPr>
                <w:sz w:val="20"/>
                <w:szCs w:val="20"/>
                <w:color w:val="auto"/>
              </w:rPr>
            </w:pPr>
            <w:r>
              <w:rPr>
                <w:rFonts w:ascii="Arial" w:cs="Arial" w:eastAsia="Arial" w:hAnsi="Arial"/>
                <w:sz w:val="15"/>
                <w:szCs w:val="15"/>
                <w:color w:val="auto"/>
              </w:rPr>
              <w:t>1,955</w:t>
            </w:r>
          </w:p>
        </w:tc>
        <w:tc>
          <w:tcPr>
            <w:tcW w:w="100" w:type="dxa"/>
            <w:vAlign w:val="bottom"/>
          </w:tcPr>
          <w:p>
            <w:pPr>
              <w:spacing w:after="0"/>
              <w:rPr>
                <w:sz w:val="16"/>
                <w:szCs w:val="16"/>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color w:val="auto"/>
              </w:rPr>
              <w:t>2024</w:t>
            </w:r>
          </w:p>
        </w:tc>
        <w:tc>
          <w:tcPr>
            <w:tcW w:w="740" w:type="dxa"/>
            <w:vAlign w:val="bottom"/>
            <w:shd w:val="clear" w:color="auto" w:fill="CFF0FC"/>
          </w:tcPr>
          <w:p>
            <w:pPr>
              <w:spacing w:after="0"/>
              <w:rPr>
                <w:sz w:val="17"/>
                <w:szCs w:val="17"/>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7,822</w:t>
            </w:r>
          </w:p>
        </w:tc>
        <w:tc>
          <w:tcPr>
            <w:tcW w:w="100" w:type="dxa"/>
            <w:vAlign w:val="bottom"/>
            <w:shd w:val="clear" w:color="auto" w:fill="CFF0FC"/>
          </w:tcPr>
          <w:p>
            <w:pPr>
              <w:spacing w:after="0"/>
              <w:rPr>
                <w:sz w:val="17"/>
                <w:szCs w:val="17"/>
                <w:color w:val="auto"/>
              </w:rPr>
            </w:pPr>
          </w:p>
        </w:tc>
      </w:tr>
      <w:tr>
        <w:trPr>
          <w:trHeight w:val="191"/>
        </w:trPr>
        <w:tc>
          <w:tcPr>
            <w:tcW w:w="7680" w:type="dxa"/>
            <w:vAlign w:val="bottom"/>
          </w:tcPr>
          <w:p>
            <w:pPr>
              <w:ind w:left="20"/>
              <w:spacing w:after="0"/>
              <w:rPr>
                <w:sz w:val="20"/>
                <w:szCs w:val="20"/>
                <w:color w:val="auto"/>
              </w:rPr>
            </w:pPr>
            <w:r>
              <w:rPr>
                <w:rFonts w:ascii="Arial" w:cs="Arial" w:eastAsia="Arial" w:hAnsi="Arial"/>
                <w:sz w:val="15"/>
                <w:szCs w:val="15"/>
                <w:color w:val="auto"/>
              </w:rPr>
              <w:t>2025</w:t>
            </w:r>
          </w:p>
        </w:tc>
        <w:tc>
          <w:tcPr>
            <w:tcW w:w="740" w:type="dxa"/>
            <w:vAlign w:val="bottom"/>
          </w:tcPr>
          <w:p>
            <w:pPr>
              <w:spacing w:after="0"/>
              <w:rPr>
                <w:sz w:val="16"/>
                <w:szCs w:val="16"/>
                <w:color w:val="auto"/>
              </w:rPr>
            </w:pPr>
          </w:p>
        </w:tc>
        <w:tc>
          <w:tcPr>
            <w:tcW w:w="2760" w:type="dxa"/>
            <w:vAlign w:val="bottom"/>
          </w:tcPr>
          <w:p>
            <w:pPr>
              <w:jc w:val="right"/>
              <w:spacing w:after="0"/>
              <w:rPr>
                <w:sz w:val="20"/>
                <w:szCs w:val="20"/>
                <w:color w:val="auto"/>
              </w:rPr>
            </w:pPr>
            <w:r>
              <w:rPr>
                <w:rFonts w:ascii="Arial" w:cs="Arial" w:eastAsia="Arial" w:hAnsi="Arial"/>
                <w:sz w:val="15"/>
                <w:szCs w:val="15"/>
                <w:color w:val="auto"/>
              </w:rPr>
              <w:t>7,822</w:t>
            </w:r>
          </w:p>
        </w:tc>
        <w:tc>
          <w:tcPr>
            <w:tcW w:w="100" w:type="dxa"/>
            <w:vAlign w:val="bottom"/>
          </w:tcPr>
          <w:p>
            <w:pPr>
              <w:spacing w:after="0"/>
              <w:rPr>
                <w:sz w:val="16"/>
                <w:szCs w:val="16"/>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color w:val="auto"/>
              </w:rPr>
              <w:t>2026</w:t>
            </w:r>
          </w:p>
        </w:tc>
        <w:tc>
          <w:tcPr>
            <w:tcW w:w="740" w:type="dxa"/>
            <w:vAlign w:val="bottom"/>
            <w:shd w:val="clear" w:color="auto" w:fill="CFF0FC"/>
          </w:tcPr>
          <w:p>
            <w:pPr>
              <w:spacing w:after="0"/>
              <w:rPr>
                <w:sz w:val="17"/>
                <w:szCs w:val="17"/>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7,521</w:t>
            </w:r>
          </w:p>
        </w:tc>
        <w:tc>
          <w:tcPr>
            <w:tcW w:w="100" w:type="dxa"/>
            <w:vAlign w:val="bottom"/>
            <w:shd w:val="clear" w:color="auto" w:fill="CFF0FC"/>
          </w:tcPr>
          <w:p>
            <w:pPr>
              <w:spacing w:after="0"/>
              <w:rPr>
                <w:sz w:val="17"/>
                <w:szCs w:val="17"/>
                <w:color w:val="auto"/>
              </w:rPr>
            </w:pPr>
          </w:p>
        </w:tc>
      </w:tr>
      <w:tr>
        <w:trPr>
          <w:trHeight w:val="191"/>
        </w:trPr>
        <w:tc>
          <w:tcPr>
            <w:tcW w:w="7680" w:type="dxa"/>
            <w:vAlign w:val="bottom"/>
          </w:tcPr>
          <w:p>
            <w:pPr>
              <w:ind w:left="20"/>
              <w:spacing w:after="0"/>
              <w:rPr>
                <w:sz w:val="20"/>
                <w:szCs w:val="20"/>
                <w:color w:val="auto"/>
              </w:rPr>
            </w:pPr>
            <w:r>
              <w:rPr>
                <w:rFonts w:ascii="Arial" w:cs="Arial" w:eastAsia="Arial" w:hAnsi="Arial"/>
                <w:sz w:val="15"/>
                <w:szCs w:val="15"/>
                <w:color w:val="auto"/>
              </w:rPr>
              <w:t>2027</w:t>
            </w:r>
          </w:p>
        </w:tc>
        <w:tc>
          <w:tcPr>
            <w:tcW w:w="740" w:type="dxa"/>
            <w:vAlign w:val="bottom"/>
          </w:tcPr>
          <w:p>
            <w:pPr>
              <w:spacing w:after="0"/>
              <w:rPr>
                <w:sz w:val="16"/>
                <w:szCs w:val="16"/>
                <w:color w:val="auto"/>
              </w:rPr>
            </w:pPr>
          </w:p>
        </w:tc>
        <w:tc>
          <w:tcPr>
            <w:tcW w:w="2760" w:type="dxa"/>
            <w:vAlign w:val="bottom"/>
          </w:tcPr>
          <w:p>
            <w:pPr>
              <w:jc w:val="right"/>
              <w:spacing w:after="0"/>
              <w:rPr>
                <w:sz w:val="20"/>
                <w:szCs w:val="20"/>
                <w:color w:val="auto"/>
              </w:rPr>
            </w:pPr>
            <w:r>
              <w:rPr>
                <w:rFonts w:ascii="Arial" w:cs="Arial" w:eastAsia="Arial" w:hAnsi="Arial"/>
                <w:sz w:val="15"/>
                <w:szCs w:val="15"/>
                <w:color w:val="auto"/>
              </w:rPr>
              <w:t>7,196</w:t>
            </w:r>
          </w:p>
        </w:tc>
        <w:tc>
          <w:tcPr>
            <w:tcW w:w="100" w:type="dxa"/>
            <w:vAlign w:val="bottom"/>
          </w:tcPr>
          <w:p>
            <w:pPr>
              <w:spacing w:after="0"/>
              <w:rPr>
                <w:sz w:val="16"/>
                <w:szCs w:val="16"/>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5"/>
                <w:szCs w:val="15"/>
                <w:color w:val="auto"/>
              </w:rPr>
              <w:t>2028</w:t>
            </w:r>
          </w:p>
        </w:tc>
        <w:tc>
          <w:tcPr>
            <w:tcW w:w="740" w:type="dxa"/>
            <w:vAlign w:val="bottom"/>
            <w:shd w:val="clear" w:color="auto" w:fill="CFF0FC"/>
          </w:tcPr>
          <w:p>
            <w:pPr>
              <w:spacing w:after="0"/>
              <w:rPr>
                <w:sz w:val="17"/>
                <w:szCs w:val="17"/>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7,161</w:t>
            </w:r>
          </w:p>
        </w:tc>
        <w:tc>
          <w:tcPr>
            <w:tcW w:w="100" w:type="dxa"/>
            <w:vAlign w:val="bottom"/>
            <w:shd w:val="clear" w:color="auto" w:fill="CFF0FC"/>
          </w:tcPr>
          <w:p>
            <w:pPr>
              <w:spacing w:after="0"/>
              <w:rPr>
                <w:sz w:val="17"/>
                <w:szCs w:val="17"/>
                <w:color w:val="auto"/>
              </w:rPr>
            </w:pPr>
          </w:p>
        </w:tc>
      </w:tr>
      <w:tr>
        <w:trPr>
          <w:trHeight w:val="197"/>
        </w:trPr>
        <w:tc>
          <w:tcPr>
            <w:tcW w:w="768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7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40,422</w:t>
            </w:r>
          </w:p>
        </w:tc>
        <w:tc>
          <w:tcPr>
            <w:tcW w:w="100" w:type="dxa"/>
            <w:vAlign w:val="bottom"/>
          </w:tcPr>
          <w:p>
            <w:pPr>
              <w:spacing w:after="0"/>
              <w:rPr>
                <w:sz w:val="17"/>
                <w:szCs w:val="17"/>
                <w:color w:val="auto"/>
              </w:rPr>
            </w:pPr>
          </w:p>
        </w:tc>
      </w:tr>
      <w:tr>
        <w:trPr>
          <w:trHeight w:val="228"/>
        </w:trPr>
        <w:tc>
          <w:tcPr>
            <w:tcW w:w="76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Total</w:t>
            </w: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79,899</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7093585</wp:posOffset>
            </wp:positionH>
            <wp:positionV relativeFrom="paragraph">
              <wp:posOffset>-20320</wp:posOffset>
            </wp:positionV>
            <wp:extent cx="6921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-6350</wp:posOffset>
            </wp:positionV>
            <wp:extent cx="6921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215" cy="69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15. Stock Repurchase Program</w:t>
      </w:r>
    </w:p>
    <w:p>
      <w:pPr>
        <w:spacing w:after="0" w:line="94" w:lineRule="exact"/>
        <w:rPr>
          <w:sz w:val="20"/>
          <w:szCs w:val="20"/>
          <w:color w:val="auto"/>
        </w:rPr>
      </w:pPr>
    </w:p>
    <w:p>
      <w:pPr>
        <w:ind w:right="260" w:firstLine="496"/>
        <w:spacing w:after="0" w:line="262" w:lineRule="auto"/>
        <w:rPr>
          <w:sz w:val="20"/>
          <w:szCs w:val="20"/>
          <w:color w:val="auto"/>
        </w:rPr>
      </w:pPr>
      <w:r>
        <w:rPr>
          <w:rFonts w:ascii="Arial" w:cs="Arial" w:eastAsia="Arial" w:hAnsi="Arial"/>
          <w:sz w:val="15"/>
          <w:szCs w:val="15"/>
          <w:color w:val="auto"/>
        </w:rPr>
        <w:t>In March 2022, the Board authorized a $250.0 million stock repurchase program. Under the stock repurchase program, the Company may repurchase shares from time to time in the open market or in privately negotiated transactions. The stock repurchase program has no expiration from the date of authorization.</w:t>
      </w:r>
    </w:p>
    <w:p>
      <w:pPr>
        <w:spacing w:after="0" w:line="148" w:lineRule="exact"/>
        <w:rPr>
          <w:sz w:val="20"/>
          <w:szCs w:val="20"/>
          <w:color w:val="auto"/>
        </w:rPr>
      </w:pPr>
    </w:p>
    <w:p>
      <w:pPr>
        <w:ind w:right="140" w:firstLine="496"/>
        <w:spacing w:after="0" w:line="273" w:lineRule="auto"/>
        <w:rPr>
          <w:sz w:val="20"/>
          <w:szCs w:val="20"/>
          <w:color w:val="auto"/>
        </w:rPr>
      </w:pPr>
      <w:r>
        <w:rPr>
          <w:rFonts w:ascii="Arial" w:cs="Arial" w:eastAsia="Arial" w:hAnsi="Arial"/>
          <w:sz w:val="14"/>
          <w:szCs w:val="14"/>
          <w:color w:val="auto"/>
        </w:rPr>
        <w:t>During the three and nine months ended September 30, 2023, the Company repurchased 80,000 shares of its common stock at an aggregate cost of $2.2 million under the stock repurchase program. During the three months ended September 30, 2022, the Company repurchased 780,000 shares of its common stock at an aggregate cost of $34.7 million. During the nine months ended September 30, 2022, the Company repurchased 995,000 shares of its common stock at an aggregate cost of $45.3 million. As of September 30, 2023, a total of approximately $173.5 million remained available for future repurchases of its common stock under the stock repurchase program.</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16. Subsequent Events</w:t>
      </w:r>
    </w:p>
    <w:p>
      <w:pPr>
        <w:spacing w:after="0" w:line="94" w:lineRule="exact"/>
        <w:rPr>
          <w:sz w:val="20"/>
          <w:szCs w:val="20"/>
          <w:color w:val="auto"/>
        </w:rPr>
      </w:pPr>
    </w:p>
    <w:p>
      <w:pPr>
        <w:ind w:right="40" w:firstLine="496"/>
        <w:spacing w:after="0" w:line="262" w:lineRule="auto"/>
        <w:rPr>
          <w:sz w:val="20"/>
          <w:szCs w:val="20"/>
          <w:color w:val="auto"/>
        </w:rPr>
      </w:pPr>
      <w:r>
        <w:rPr>
          <w:rFonts w:ascii="Arial" w:cs="Arial" w:eastAsia="Arial" w:hAnsi="Arial"/>
          <w:sz w:val="15"/>
          <w:szCs w:val="15"/>
          <w:color w:val="auto"/>
        </w:rPr>
        <w:t>In October 2023, the Company repurchased 533,000 shares of its common stock at an aggregate cost of $13.7 million under the stock repurchase program approved in March 2022. See Note 15, Stock Repurchase Program.</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479" w:right="319" w:bottom="1440" w:gutter="0" w:footer="0" w:header="0"/>
        </w:sectPr>
      </w:pPr>
    </w:p>
    <w:bookmarkStart w:id="21" w:name="page22"/>
    <w:bookmarkEnd w:id="21"/>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94" w:lineRule="exact"/>
        <w:rPr>
          <w:sz w:val="20"/>
          <w:szCs w:val="20"/>
          <w:color w:val="auto"/>
        </w:rPr>
      </w:pPr>
    </w:p>
    <w:p>
      <w:pPr>
        <w:ind w:right="200"/>
        <w:spacing w:after="0" w:line="325"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U.S. Securities and Exchange Commission, or SEC, in preparing this discussion and analysis, we presume that readers have access to and have read the discussion and analysis of our financial condition and results of operations included in our annual report on Form 10-K for our fiscal year ended December 31, 2022, filed with the SEC on February 28, 2023, or the 2022 Annual Report. As used in this discussion and analysis and elsewhere in this report, unless the context otherwise requires, the terms “Fulgent,” the “Company,” “we,” “us” and “our” refer to Fulgent Genetics, Inc. and its consolidated subsidiaries.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Forward-Looking Statements</w:t>
      </w:r>
    </w:p>
    <w:p>
      <w:pPr>
        <w:spacing w:after="0" w:line="90" w:lineRule="exact"/>
        <w:rPr>
          <w:sz w:val="20"/>
          <w:szCs w:val="20"/>
          <w:color w:val="auto"/>
        </w:rPr>
      </w:pPr>
    </w:p>
    <w:p>
      <w:pPr>
        <w:spacing w:after="0" w:line="311" w:lineRule="auto"/>
        <w:rPr>
          <w:sz w:val="20"/>
          <w:szCs w:val="20"/>
          <w:color w:val="auto"/>
        </w:rPr>
      </w:pPr>
      <w:r>
        <w:rPr>
          <w:rFonts w:ascii="Arial" w:cs="Arial" w:eastAsia="Arial" w:hAnsi="Arial"/>
          <w:sz w:val="12"/>
          <w:szCs w:val="12"/>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 of the 2022 Annual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Overview</w:t>
      </w:r>
    </w:p>
    <w:p>
      <w:pPr>
        <w:spacing w:after="0" w:line="94" w:lineRule="exact"/>
        <w:rPr>
          <w:sz w:val="20"/>
          <w:szCs w:val="20"/>
          <w:color w:val="auto"/>
        </w:rPr>
      </w:pPr>
    </w:p>
    <w:p>
      <w:pPr>
        <w:ind w:right="20" w:firstLine="511"/>
        <w:spacing w:after="0" w:line="270" w:lineRule="auto"/>
        <w:rPr>
          <w:sz w:val="20"/>
          <w:szCs w:val="20"/>
          <w:color w:val="auto"/>
        </w:rPr>
      </w:pPr>
      <w:r>
        <w:rPr>
          <w:rFonts w:ascii="Arial" w:cs="Arial" w:eastAsia="Arial" w:hAnsi="Arial"/>
          <w:sz w:val="14"/>
          <w:szCs w:val="14"/>
          <w:color w:val="auto"/>
        </w:rPr>
        <w:t>We are a technology-based company with a well-established clinical diagnostic business and a therapeutic development business. Our clinical diagnostic business offers molecular diagnostic testing services, comprehensive genetic testing, and high-quality anatomic pathology laboratory services designed to provide physicians and patients with clinically actionable diagnostic information to improve the quality of patient care. Our therapeutic development business is focused on developing drug candidates for treating a broad range of cancers using a novel nanoencapsulation and targeted therapy platform designed to improve the therapeutic window and pharmacokinetic profile of new and existing cancer drugs. We aim to transform from a genomic diagnostic business into a fully integrated precision medicine company.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Business Risks and Uncertainties and Other Factors Affecting Our Performance</w:t>
      </w:r>
    </w:p>
    <w:p>
      <w:pPr>
        <w:spacing w:after="0" w:line="94" w:lineRule="exact"/>
        <w:rPr>
          <w:sz w:val="20"/>
          <w:szCs w:val="20"/>
          <w:color w:val="auto"/>
        </w:rPr>
      </w:pPr>
    </w:p>
    <w:p>
      <w:pPr>
        <w:ind w:right="200" w:firstLine="511"/>
        <w:spacing w:after="0" w:line="252" w:lineRule="auto"/>
        <w:rPr>
          <w:sz w:val="20"/>
          <w:szCs w:val="20"/>
          <w:color w:val="auto"/>
        </w:rPr>
      </w:pPr>
      <w:r>
        <w:rPr>
          <w:rFonts w:ascii="Arial" w:cs="Arial" w:eastAsia="Arial" w:hAnsi="Arial"/>
          <w:sz w:val="15"/>
          <w:szCs w:val="15"/>
          <w:color w:val="auto"/>
        </w:rPr>
        <w:t>Our business and prospects are exposed to numerous risks and uncertainties. For more information, see “Item 1A. Risk Factors” in Part I of the 2022 Annual Report. In addition, our performance in any period is affected by a number of other factors. See the description of some of the material factors affecting our performance in “Item 7. Management’s Discussion and Analysis of Financial Condition and Results of Operations” of the 2022 Annual Report.</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562"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5"/>
          <w:szCs w:val="15"/>
          <w:b w:val="1"/>
          <w:bCs w:val="1"/>
          <w:color w:val="auto"/>
        </w:rPr>
        <w:t>Results of Operations</w:t>
      </w:r>
    </w:p>
    <w:p>
      <w:pPr>
        <w:spacing w:after="0" w:line="94" w:lineRule="exact"/>
        <w:rPr>
          <w:sz w:val="20"/>
          <w:szCs w:val="20"/>
          <w:color w:val="auto"/>
        </w:rPr>
      </w:pPr>
    </w:p>
    <w:p>
      <w:pPr>
        <w:jc w:val="both"/>
        <w:ind w:right="100" w:firstLine="511"/>
        <w:spacing w:after="0" w:line="252" w:lineRule="auto"/>
        <w:rPr>
          <w:sz w:val="20"/>
          <w:szCs w:val="20"/>
          <w:color w:val="auto"/>
        </w:rPr>
      </w:pPr>
      <w:r>
        <w:rPr>
          <w:rFonts w:ascii="Arial" w:cs="Arial" w:eastAsia="Arial" w:hAnsi="Arial"/>
          <w:sz w:val="15"/>
          <w:szCs w:val="15"/>
          <w:color w:val="auto"/>
        </w:rPr>
        <w:t>The table below summarizes our results of our continuing operations for each of the periods presented. For a financial overview relating to our results of operations, including general descriptions of the make-up of material line items of our statement of operation data, see “Item 7. Management’s Discussion and Analysis of Financial Condition and Results of Operations” of the 2022 Annual Report.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4"/>
          </w:tcPr>
          <w:p>
            <w:pPr>
              <w:jc w:val="right"/>
              <w:ind w:right="548"/>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gridSpan w:val="4"/>
          </w:tcPr>
          <w:p>
            <w:pPr>
              <w:jc w:val="right"/>
              <w:ind w:right="548"/>
              <w:spacing w:after="0"/>
              <w:rPr>
                <w:sz w:val="20"/>
                <w:szCs w:val="20"/>
                <w:color w:val="auto"/>
              </w:rPr>
            </w:pPr>
            <w:r>
              <w:rPr>
                <w:rFonts w:ascii="Arial" w:cs="Arial" w:eastAsia="Arial" w:hAnsi="Arial"/>
                <w:sz w:val="12"/>
                <w:szCs w:val="12"/>
                <w:b w:val="1"/>
                <w:bCs w:val="1"/>
                <w:color w:val="auto"/>
              </w:rPr>
              <w:t>Nine Months 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469"/>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449"/>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2"/>
          </w:tcPr>
          <w:p>
            <w:pPr>
              <w:jc w:val="center"/>
              <w:ind w:left="48"/>
              <w:spacing w:after="0"/>
              <w:rPr>
                <w:sz w:val="20"/>
                <w:szCs w:val="20"/>
                <w:color w:val="auto"/>
              </w:rPr>
            </w:pPr>
            <w:r>
              <w:rPr>
                <w:rFonts w:ascii="Arial" w:cs="Arial" w:eastAsia="Arial" w:hAnsi="Arial"/>
                <w:sz w:val="12"/>
                <w:szCs w:val="12"/>
                <w:b w:val="1"/>
                <w:bCs w:val="1"/>
                <w:color w:val="auto"/>
              </w:rPr>
              <w:t>%</w:t>
            </w:r>
          </w:p>
        </w:tc>
      </w:tr>
      <w:tr>
        <w:trPr>
          <w:trHeight w:val="133"/>
        </w:trPr>
        <w:tc>
          <w:tcPr>
            <w:tcW w:w="33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9"/>
              <w:spacing w:after="0" w:line="133" w:lineRule="exact"/>
              <w:rPr>
                <w:sz w:val="20"/>
                <w:szCs w:val="20"/>
                <w:color w:val="auto"/>
              </w:rPr>
            </w:pPr>
            <w:r>
              <w:rPr>
                <w:rFonts w:ascii="Arial" w:cs="Arial" w:eastAsia="Arial" w:hAnsi="Arial"/>
                <w:sz w:val="12"/>
                <w:szCs w:val="12"/>
                <w:b w:val="1"/>
                <w:bCs w:val="1"/>
                <w:color w:val="auto"/>
              </w:rPr>
              <w:t>2023</w:t>
            </w: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88"/>
              <w:spacing w:after="0" w:line="133" w:lineRule="exact"/>
              <w:rPr>
                <w:sz w:val="20"/>
                <w:szCs w:val="20"/>
                <w:color w:val="auto"/>
              </w:rPr>
            </w:pPr>
            <w:r>
              <w:rPr>
                <w:rFonts w:ascii="Arial" w:cs="Arial" w:eastAsia="Arial" w:hAnsi="Arial"/>
                <w:sz w:val="12"/>
                <w:szCs w:val="12"/>
                <w:b w:val="1"/>
                <w:bCs w:val="1"/>
                <w:color w:val="auto"/>
                <w:w w:val="97"/>
              </w:rPr>
              <w:t>2022</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09"/>
              <w:spacing w:after="0" w:line="133" w:lineRule="exact"/>
              <w:rPr>
                <w:sz w:val="20"/>
                <w:szCs w:val="20"/>
                <w:color w:val="auto"/>
              </w:rPr>
            </w:pPr>
            <w:r>
              <w:rPr>
                <w:rFonts w:ascii="Arial" w:cs="Arial" w:eastAsia="Arial" w:hAnsi="Arial"/>
                <w:sz w:val="12"/>
                <w:szCs w:val="12"/>
                <w:b w:val="1"/>
                <w:bCs w:val="1"/>
                <w:color w:val="auto"/>
              </w:rPr>
              <w:t>Change</w:t>
            </w:r>
          </w:p>
        </w:tc>
        <w:tc>
          <w:tcPr>
            <w:tcW w:w="100" w:type="dxa"/>
            <w:vAlign w:val="bottom"/>
          </w:tcPr>
          <w:p>
            <w:pPr>
              <w:spacing w:after="0"/>
              <w:rPr>
                <w:sz w:val="11"/>
                <w:szCs w:val="11"/>
                <w:color w:val="auto"/>
              </w:rPr>
            </w:pPr>
          </w:p>
        </w:tc>
        <w:tc>
          <w:tcPr>
            <w:tcW w:w="640" w:type="dxa"/>
            <w:vAlign w:val="bottom"/>
            <w:tcBorders>
              <w:bottom w:val="single" w:sz="8" w:color="auto"/>
            </w:tcBorders>
          </w:tcPr>
          <w:p>
            <w:pPr>
              <w:ind w:left="80"/>
              <w:spacing w:after="0" w:line="133" w:lineRule="exact"/>
              <w:rPr>
                <w:sz w:val="20"/>
                <w:szCs w:val="20"/>
                <w:color w:val="auto"/>
              </w:rPr>
            </w:pPr>
            <w:r>
              <w:rPr>
                <w:rFonts w:ascii="Arial" w:cs="Arial" w:eastAsia="Arial" w:hAnsi="Arial"/>
                <w:sz w:val="12"/>
                <w:szCs w:val="12"/>
                <w:b w:val="1"/>
                <w:bCs w:val="1"/>
                <w:color w:val="auto"/>
              </w:rPr>
              <w:t>Change</w:t>
            </w: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69"/>
              <w:spacing w:after="0" w:line="133" w:lineRule="exact"/>
              <w:rPr>
                <w:sz w:val="20"/>
                <w:szCs w:val="20"/>
                <w:color w:val="auto"/>
              </w:rPr>
            </w:pPr>
            <w:r>
              <w:rPr>
                <w:rFonts w:ascii="Arial" w:cs="Arial" w:eastAsia="Arial" w:hAnsi="Arial"/>
                <w:sz w:val="12"/>
                <w:szCs w:val="12"/>
                <w:b w:val="1"/>
                <w:bCs w:val="1"/>
                <w:color w:val="auto"/>
                <w:w w:val="97"/>
              </w:rPr>
              <w:t>2023</w:t>
            </w: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68"/>
              <w:spacing w:after="0" w:line="133" w:lineRule="exact"/>
              <w:rPr>
                <w:sz w:val="20"/>
                <w:szCs w:val="20"/>
                <w:color w:val="auto"/>
              </w:rPr>
            </w:pPr>
            <w:r>
              <w:rPr>
                <w:rFonts w:ascii="Arial" w:cs="Arial" w:eastAsia="Arial" w:hAnsi="Arial"/>
                <w:sz w:val="12"/>
                <w:szCs w:val="12"/>
                <w:b w:val="1"/>
                <w:bCs w:val="1"/>
                <w:color w:val="auto"/>
                <w:w w:val="97"/>
              </w:rPr>
              <w:t>2022</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89"/>
              <w:spacing w:after="0" w:line="133" w:lineRule="exact"/>
              <w:rPr>
                <w:sz w:val="20"/>
                <w:szCs w:val="20"/>
                <w:color w:val="auto"/>
              </w:rPr>
            </w:pPr>
            <w:r>
              <w:rPr>
                <w:rFonts w:ascii="Arial" w:cs="Arial" w:eastAsia="Arial" w:hAnsi="Arial"/>
                <w:sz w:val="12"/>
                <w:szCs w:val="12"/>
                <w:b w:val="1"/>
                <w:bCs w:val="1"/>
                <w:color w:val="auto"/>
              </w:rPr>
              <w:t>Change</w:t>
            </w:r>
          </w:p>
        </w:tc>
        <w:tc>
          <w:tcPr>
            <w:tcW w:w="100" w:type="dxa"/>
            <w:vAlign w:val="bottom"/>
          </w:tcPr>
          <w:p>
            <w:pPr>
              <w:spacing w:after="0"/>
              <w:rPr>
                <w:sz w:val="11"/>
                <w:szCs w:val="11"/>
                <w:color w:val="auto"/>
              </w:rPr>
            </w:pPr>
          </w:p>
        </w:tc>
        <w:tc>
          <w:tcPr>
            <w:tcW w:w="540" w:type="dxa"/>
            <w:vAlign w:val="bottom"/>
            <w:tcBorders>
              <w:bottom w:val="single" w:sz="8" w:color="auto"/>
            </w:tcBorders>
          </w:tcPr>
          <w:p>
            <w:pPr>
              <w:ind w:left="80"/>
              <w:spacing w:after="0" w:line="133" w:lineRule="exact"/>
              <w:rPr>
                <w:sz w:val="20"/>
                <w:szCs w:val="20"/>
                <w:color w:val="auto"/>
              </w:rPr>
            </w:pPr>
            <w:r>
              <w:rPr>
                <w:rFonts w:ascii="Arial" w:cs="Arial" w:eastAsia="Arial" w:hAnsi="Arial"/>
                <w:sz w:val="12"/>
                <w:szCs w:val="12"/>
                <w:b w:val="1"/>
                <w:bCs w:val="1"/>
                <w:color w:val="auto"/>
                <w:w w:val="99"/>
              </w:rPr>
              <w:t>Change</w:t>
            </w:r>
          </w:p>
        </w:tc>
      </w:tr>
      <w:tr>
        <w:trPr>
          <w:trHeight w:val="188"/>
        </w:trPr>
        <w:tc>
          <w:tcPr>
            <w:tcW w:w="3300" w:type="dxa"/>
            <w:vAlign w:val="bottom"/>
          </w:tcPr>
          <w:p>
            <w:pPr>
              <w:ind w:left="20"/>
              <w:spacing w:after="0"/>
              <w:rPr>
                <w:sz w:val="20"/>
                <w:szCs w:val="20"/>
                <w:color w:val="auto"/>
              </w:rPr>
            </w:pPr>
            <w:r>
              <w:rPr>
                <w:rFonts w:ascii="Arial" w:cs="Arial" w:eastAsia="Arial" w:hAnsi="Arial"/>
                <w:sz w:val="15"/>
                <w:szCs w:val="15"/>
                <w:b w:val="1"/>
                <w:bCs w:val="1"/>
                <w:color w:val="auto"/>
              </w:rPr>
              <w:t>Statement of Operation Data:</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b w:val="1"/>
                <w:bCs w:val="1"/>
                <w:color w:val="auto"/>
              </w:rPr>
              <w:t>(in thousands)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7"/>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Revenue</w:t>
            </w:r>
          </w:p>
        </w:tc>
        <w:tc>
          <w:tcPr>
            <w:tcW w:w="22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ind w:right="69"/>
              <w:spacing w:after="0"/>
              <w:rPr>
                <w:sz w:val="20"/>
                <w:szCs w:val="20"/>
                <w:color w:val="auto"/>
              </w:rPr>
            </w:pPr>
            <w:r>
              <w:rPr>
                <w:rFonts w:ascii="Arial" w:cs="Arial" w:eastAsia="Arial" w:hAnsi="Arial"/>
                <w:sz w:val="15"/>
                <w:szCs w:val="15"/>
                <w:color w:val="auto"/>
              </w:rPr>
              <w:t>84,687</w:t>
            </w:r>
          </w:p>
        </w:tc>
        <w:tc>
          <w:tcPr>
            <w:tcW w:w="400" w:type="dxa"/>
            <w:vAlign w:val="bottom"/>
            <w:gridSpan w:val="2"/>
            <w:shd w:val="clear" w:color="auto" w:fill="CFF0FC"/>
          </w:tcPr>
          <w:p>
            <w:pPr>
              <w:jc w:val="right"/>
              <w:ind w:right="127"/>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105,655</w:t>
            </w:r>
          </w:p>
        </w:tc>
        <w:tc>
          <w:tcPr>
            <w:tcW w:w="300" w:type="dxa"/>
            <w:vAlign w:val="bottom"/>
            <w:gridSpan w:val="2"/>
            <w:shd w:val="clear" w:color="auto" w:fill="CFF0FC"/>
          </w:tcPr>
          <w:p>
            <w:pPr>
              <w:jc w:val="right"/>
              <w:ind w:right="7"/>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(20,968 )</w:t>
            </w:r>
          </w:p>
        </w:tc>
        <w:tc>
          <w:tcPr>
            <w:tcW w:w="740" w:type="dxa"/>
            <w:vAlign w:val="bottom"/>
            <w:gridSpan w:val="2"/>
            <w:shd w:val="clear" w:color="auto" w:fill="CFF0FC"/>
          </w:tcPr>
          <w:p>
            <w:pPr>
              <w:jc w:val="center"/>
              <w:spacing w:after="0"/>
              <w:rPr>
                <w:sz w:val="20"/>
                <w:szCs w:val="20"/>
                <w:color w:val="auto"/>
              </w:rPr>
            </w:pPr>
            <w:r>
              <w:rPr>
                <w:rFonts w:ascii="Arial" w:cs="Arial" w:eastAsia="Arial" w:hAnsi="Arial"/>
                <w:sz w:val="15"/>
                <w:szCs w:val="15"/>
                <w:color w:val="auto"/>
                <w:w w:val="89"/>
              </w:rPr>
              <w:t>(20%)</w:t>
            </w:r>
          </w:p>
        </w:tc>
        <w:tc>
          <w:tcPr>
            <w:tcW w:w="30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FF0FC"/>
          </w:tcPr>
          <w:p>
            <w:pPr>
              <w:jc w:val="right"/>
              <w:ind w:right="49"/>
              <w:spacing w:after="0"/>
              <w:rPr>
                <w:sz w:val="20"/>
                <w:szCs w:val="20"/>
                <w:color w:val="auto"/>
              </w:rPr>
            </w:pPr>
            <w:r>
              <w:rPr>
                <w:rFonts w:ascii="Arial" w:cs="Arial" w:eastAsia="Arial" w:hAnsi="Arial"/>
                <w:sz w:val="15"/>
                <w:szCs w:val="15"/>
                <w:color w:val="auto"/>
              </w:rPr>
              <w:t>218,708</w:t>
            </w:r>
          </w:p>
        </w:tc>
        <w:tc>
          <w:tcPr>
            <w:tcW w:w="400" w:type="dxa"/>
            <w:vAlign w:val="bottom"/>
            <w:gridSpan w:val="2"/>
            <w:shd w:val="clear" w:color="auto" w:fill="CFF0FC"/>
          </w:tcPr>
          <w:p>
            <w:pPr>
              <w:jc w:val="right"/>
              <w:ind w:right="127"/>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551,264</w:t>
            </w:r>
          </w:p>
        </w:tc>
        <w:tc>
          <w:tcPr>
            <w:tcW w:w="260" w:type="dxa"/>
            <w:vAlign w:val="bottom"/>
            <w:gridSpan w:val="2"/>
            <w:shd w:val="clear" w:color="auto" w:fill="CFF0FC"/>
          </w:tcPr>
          <w:p>
            <w:pPr>
              <w:jc w:val="right"/>
              <w:ind w:right="7"/>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(332,556 )</w:t>
            </w:r>
          </w:p>
        </w:tc>
        <w:tc>
          <w:tcPr>
            <w:tcW w:w="640" w:type="dxa"/>
            <w:vAlign w:val="bottom"/>
            <w:gridSpan w:val="2"/>
            <w:shd w:val="clear" w:color="auto" w:fill="CFF0FC"/>
          </w:tcPr>
          <w:p>
            <w:pPr>
              <w:jc w:val="center"/>
              <w:ind w:left="48"/>
              <w:spacing w:after="0"/>
              <w:rPr>
                <w:sz w:val="20"/>
                <w:szCs w:val="20"/>
                <w:color w:val="auto"/>
              </w:rPr>
            </w:pPr>
            <w:r>
              <w:rPr>
                <w:rFonts w:ascii="Arial" w:cs="Arial" w:eastAsia="Arial" w:hAnsi="Arial"/>
                <w:sz w:val="15"/>
                <w:szCs w:val="15"/>
                <w:color w:val="auto"/>
                <w:w w:val="89"/>
              </w:rPr>
              <w:t>(60%)</w:t>
            </w:r>
          </w:p>
        </w:tc>
      </w:tr>
      <w:tr>
        <w:trPr>
          <w:trHeight w:val="197"/>
        </w:trPr>
        <w:tc>
          <w:tcPr>
            <w:tcW w:w="3300" w:type="dxa"/>
            <w:vAlign w:val="bottom"/>
          </w:tcPr>
          <w:p>
            <w:pPr>
              <w:ind w:left="20"/>
              <w:spacing w:after="0"/>
              <w:rPr>
                <w:sz w:val="20"/>
                <w:szCs w:val="20"/>
                <w:color w:val="auto"/>
              </w:rPr>
            </w:pPr>
            <w:r>
              <w:rPr>
                <w:rFonts w:ascii="Arial" w:cs="Arial" w:eastAsia="Arial" w:hAnsi="Arial"/>
                <w:sz w:val="15"/>
                <w:szCs w:val="15"/>
                <w:color w:val="auto"/>
              </w:rPr>
              <w:t>Cost of revenue</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44,843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59,560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(14,717 )</w:t>
            </w:r>
          </w:p>
        </w:tc>
        <w:tc>
          <w:tcPr>
            <w:tcW w:w="740" w:type="dxa"/>
            <w:vAlign w:val="bottom"/>
            <w:gridSpan w:val="2"/>
          </w:tcPr>
          <w:p>
            <w:pPr>
              <w:jc w:val="center"/>
              <w:spacing w:after="0"/>
              <w:rPr>
                <w:sz w:val="20"/>
                <w:szCs w:val="20"/>
                <w:color w:val="auto"/>
              </w:rPr>
            </w:pPr>
            <w:r>
              <w:rPr>
                <w:rFonts w:ascii="Arial" w:cs="Arial" w:eastAsia="Arial" w:hAnsi="Arial"/>
                <w:sz w:val="15"/>
                <w:szCs w:val="15"/>
                <w:color w:val="auto"/>
                <w:w w:val="89"/>
              </w:rPr>
              <w:t>(25%)</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139,481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197,350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(57,869 )</w:t>
            </w:r>
          </w:p>
        </w:tc>
        <w:tc>
          <w:tcPr>
            <w:tcW w:w="640" w:type="dxa"/>
            <w:vAlign w:val="bottom"/>
            <w:gridSpan w:val="2"/>
          </w:tcPr>
          <w:p>
            <w:pPr>
              <w:jc w:val="center"/>
              <w:ind w:left="48"/>
              <w:spacing w:after="0"/>
              <w:rPr>
                <w:sz w:val="20"/>
                <w:szCs w:val="20"/>
                <w:color w:val="auto"/>
              </w:rPr>
            </w:pPr>
            <w:r>
              <w:rPr>
                <w:rFonts w:ascii="Arial" w:cs="Arial" w:eastAsia="Arial" w:hAnsi="Arial"/>
                <w:sz w:val="15"/>
                <w:szCs w:val="15"/>
                <w:color w:val="auto"/>
                <w:w w:val="89"/>
              </w:rPr>
              <w:t>(29%)</w:t>
            </w:r>
          </w:p>
        </w:tc>
      </w:tr>
      <w:tr>
        <w:trPr>
          <w:trHeight w:val="188"/>
        </w:trPr>
        <w:tc>
          <w:tcPr>
            <w:tcW w:w="33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Gross profit</w:t>
            </w: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5"/>
                <w:szCs w:val="15"/>
                <w:color w:val="auto"/>
              </w:rPr>
              <w:t>39,844</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rPr>
              <w:t>46,095</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(6,251 )</w:t>
            </w:r>
          </w:p>
        </w:tc>
        <w:tc>
          <w:tcPr>
            <w:tcW w:w="74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5"/>
                <w:szCs w:val="15"/>
                <w:color w:val="auto"/>
                <w:w w:val="89"/>
              </w:rPr>
              <w:t>(14%)</w:t>
            </w:r>
          </w:p>
        </w:tc>
        <w:tc>
          <w:tcPr>
            <w:tcW w:w="3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5"/>
                <w:szCs w:val="15"/>
                <w:color w:val="auto"/>
              </w:rPr>
              <w:t>79,227</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rPr>
              <w:t>353,914</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(274,687 )</w:t>
            </w:r>
          </w:p>
        </w:tc>
        <w:tc>
          <w:tcPr>
            <w:tcW w:w="6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Arial" w:cs="Arial" w:eastAsia="Arial" w:hAnsi="Arial"/>
                <w:sz w:val="15"/>
                <w:szCs w:val="15"/>
                <w:color w:val="auto"/>
                <w:w w:val="89"/>
              </w:rPr>
              <w:t>(78%)</w:t>
            </w:r>
          </w:p>
        </w:tc>
      </w:tr>
      <w:tr>
        <w:trPr>
          <w:trHeight w:val="182"/>
        </w:trPr>
        <w:tc>
          <w:tcPr>
            <w:tcW w:w="330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2"/>
        </w:trPr>
        <w:tc>
          <w:tcPr>
            <w:tcW w:w="33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Research and development</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9"/>
              <w:spacing w:after="0"/>
              <w:rPr>
                <w:sz w:val="20"/>
                <w:szCs w:val="20"/>
                <w:color w:val="auto"/>
              </w:rPr>
            </w:pPr>
            <w:r>
              <w:rPr>
                <w:rFonts w:ascii="Arial" w:cs="Arial" w:eastAsia="Arial" w:hAnsi="Arial"/>
                <w:sz w:val="15"/>
                <w:szCs w:val="15"/>
                <w:color w:val="auto"/>
              </w:rPr>
              <w:t>10,014</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7,507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9"/>
              <w:spacing w:after="0"/>
              <w:rPr>
                <w:sz w:val="20"/>
                <w:szCs w:val="20"/>
                <w:color w:val="auto"/>
              </w:rPr>
            </w:pPr>
            <w:r>
              <w:rPr>
                <w:rFonts w:ascii="Arial" w:cs="Arial" w:eastAsia="Arial" w:hAnsi="Arial"/>
                <w:sz w:val="15"/>
                <w:szCs w:val="15"/>
                <w:color w:val="auto"/>
              </w:rPr>
              <w:t>2,507</w:t>
            </w:r>
          </w:p>
        </w:tc>
        <w:tc>
          <w:tcPr>
            <w:tcW w:w="740" w:type="dxa"/>
            <w:vAlign w:val="bottom"/>
            <w:gridSpan w:val="2"/>
            <w:shd w:val="clear" w:color="auto" w:fill="CFF0FC"/>
          </w:tcPr>
          <w:p>
            <w:pPr>
              <w:jc w:val="center"/>
              <w:spacing w:after="0"/>
              <w:rPr>
                <w:sz w:val="20"/>
                <w:szCs w:val="20"/>
                <w:color w:val="auto"/>
              </w:rPr>
            </w:pPr>
            <w:r>
              <w:rPr>
                <w:rFonts w:ascii="Arial" w:cs="Arial" w:eastAsia="Arial" w:hAnsi="Arial"/>
                <w:sz w:val="15"/>
                <w:szCs w:val="15"/>
                <w:color w:val="auto"/>
                <w:w w:val="86"/>
              </w:rPr>
              <w:t>33%</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9"/>
              <w:spacing w:after="0"/>
              <w:rPr>
                <w:sz w:val="20"/>
                <w:szCs w:val="20"/>
                <w:color w:val="auto"/>
              </w:rPr>
            </w:pPr>
            <w:r>
              <w:rPr>
                <w:rFonts w:ascii="Arial" w:cs="Arial" w:eastAsia="Arial" w:hAnsi="Arial"/>
                <w:sz w:val="15"/>
                <w:szCs w:val="15"/>
                <w:color w:val="auto"/>
              </w:rPr>
              <w:t>29,488</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20,401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9"/>
              <w:spacing w:after="0"/>
              <w:rPr>
                <w:sz w:val="20"/>
                <w:szCs w:val="20"/>
                <w:color w:val="auto"/>
              </w:rPr>
            </w:pPr>
            <w:r>
              <w:rPr>
                <w:rFonts w:ascii="Arial" w:cs="Arial" w:eastAsia="Arial" w:hAnsi="Arial"/>
                <w:sz w:val="15"/>
                <w:szCs w:val="15"/>
                <w:color w:val="auto"/>
              </w:rPr>
              <w:t>9,087</w:t>
            </w:r>
          </w:p>
        </w:tc>
        <w:tc>
          <w:tcPr>
            <w:tcW w:w="640" w:type="dxa"/>
            <w:vAlign w:val="bottom"/>
            <w:gridSpan w:val="2"/>
            <w:shd w:val="clear" w:color="auto" w:fill="CFF0FC"/>
          </w:tcPr>
          <w:p>
            <w:pPr>
              <w:jc w:val="center"/>
              <w:ind w:left="28"/>
              <w:spacing w:after="0"/>
              <w:rPr>
                <w:sz w:val="20"/>
                <w:szCs w:val="20"/>
                <w:color w:val="auto"/>
              </w:rPr>
            </w:pPr>
            <w:r>
              <w:rPr>
                <w:rFonts w:ascii="Arial" w:cs="Arial" w:eastAsia="Arial" w:hAnsi="Arial"/>
                <w:sz w:val="15"/>
                <w:szCs w:val="15"/>
                <w:color w:val="auto"/>
                <w:w w:val="86"/>
              </w:rPr>
              <w:t>45%</w:t>
            </w:r>
          </w:p>
        </w:tc>
      </w:tr>
      <w:tr>
        <w:trPr>
          <w:trHeight w:val="191"/>
        </w:trPr>
        <w:tc>
          <w:tcPr>
            <w:tcW w:w="3300" w:type="dxa"/>
            <w:vAlign w:val="bottom"/>
          </w:tcPr>
          <w:p>
            <w:pPr>
              <w:ind w:left="160"/>
              <w:spacing w:after="0"/>
              <w:rPr>
                <w:sz w:val="20"/>
                <w:szCs w:val="20"/>
                <w:color w:val="auto"/>
              </w:rPr>
            </w:pPr>
            <w:r>
              <w:rPr>
                <w:rFonts w:ascii="Arial" w:cs="Arial" w:eastAsia="Arial" w:hAnsi="Arial"/>
                <w:sz w:val="15"/>
                <w:szCs w:val="15"/>
                <w:color w:val="auto"/>
              </w:rPr>
              <w:t>Selling and marketing</w:t>
            </w:r>
          </w:p>
        </w:tc>
        <w:tc>
          <w:tcPr>
            <w:tcW w:w="22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Arial" w:cs="Arial" w:eastAsia="Arial" w:hAnsi="Arial"/>
                <w:sz w:val="15"/>
                <w:szCs w:val="15"/>
                <w:color w:val="auto"/>
              </w:rPr>
              <w:t>10,161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5"/>
                <w:szCs w:val="15"/>
                <w:color w:val="auto"/>
              </w:rPr>
              <w:t>9,859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5"/>
                <w:szCs w:val="15"/>
                <w:color w:val="auto"/>
              </w:rPr>
              <w:t>302</w:t>
            </w:r>
          </w:p>
        </w:tc>
        <w:tc>
          <w:tcPr>
            <w:tcW w:w="740" w:type="dxa"/>
            <w:vAlign w:val="bottom"/>
            <w:gridSpan w:val="2"/>
          </w:tcPr>
          <w:p>
            <w:pPr>
              <w:jc w:val="center"/>
              <w:spacing w:after="0"/>
              <w:rPr>
                <w:sz w:val="20"/>
                <w:szCs w:val="20"/>
                <w:color w:val="auto"/>
              </w:rPr>
            </w:pPr>
            <w:r>
              <w:rPr>
                <w:rFonts w:ascii="Arial" w:cs="Arial" w:eastAsia="Arial" w:hAnsi="Arial"/>
                <w:sz w:val="15"/>
                <w:szCs w:val="15"/>
                <w:color w:val="auto"/>
                <w:w w:val="82"/>
              </w:rPr>
              <w:t>3%</w:t>
            </w:r>
          </w:p>
        </w:tc>
        <w:tc>
          <w:tcPr>
            <w:tcW w:w="3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5"/>
                <w:szCs w:val="15"/>
                <w:color w:val="auto"/>
              </w:rPr>
              <w:t>30,967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28,665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Arial" w:cs="Arial" w:eastAsia="Arial" w:hAnsi="Arial"/>
                <w:sz w:val="15"/>
                <w:szCs w:val="15"/>
                <w:color w:val="auto"/>
              </w:rPr>
              <w:t>2,302</w:t>
            </w:r>
          </w:p>
        </w:tc>
        <w:tc>
          <w:tcPr>
            <w:tcW w:w="640" w:type="dxa"/>
            <w:vAlign w:val="bottom"/>
            <w:gridSpan w:val="2"/>
          </w:tcPr>
          <w:p>
            <w:pPr>
              <w:jc w:val="center"/>
              <w:ind w:left="28"/>
              <w:spacing w:after="0"/>
              <w:rPr>
                <w:sz w:val="20"/>
                <w:szCs w:val="20"/>
                <w:color w:val="auto"/>
              </w:rPr>
            </w:pPr>
            <w:r>
              <w:rPr>
                <w:rFonts w:ascii="Arial" w:cs="Arial" w:eastAsia="Arial" w:hAnsi="Arial"/>
                <w:sz w:val="15"/>
                <w:szCs w:val="15"/>
                <w:color w:val="auto"/>
                <w:w w:val="82"/>
              </w:rPr>
              <w:t>8%</w:t>
            </w:r>
          </w:p>
        </w:tc>
      </w:tr>
      <w:tr>
        <w:trPr>
          <w:trHeight w:val="202"/>
        </w:trPr>
        <w:tc>
          <w:tcPr>
            <w:tcW w:w="33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General and administrative</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9"/>
              <w:spacing w:after="0"/>
              <w:rPr>
                <w:sz w:val="20"/>
                <w:szCs w:val="20"/>
                <w:color w:val="auto"/>
              </w:rPr>
            </w:pPr>
            <w:r>
              <w:rPr>
                <w:rFonts w:ascii="Arial" w:cs="Arial" w:eastAsia="Arial" w:hAnsi="Arial"/>
                <w:sz w:val="15"/>
                <w:szCs w:val="15"/>
                <w:color w:val="auto"/>
              </w:rPr>
              <w:t>17,498</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26,266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(8,768 )</w:t>
            </w:r>
          </w:p>
        </w:tc>
        <w:tc>
          <w:tcPr>
            <w:tcW w:w="740" w:type="dxa"/>
            <w:vAlign w:val="bottom"/>
            <w:gridSpan w:val="2"/>
            <w:shd w:val="clear" w:color="auto" w:fill="CFF0FC"/>
          </w:tcPr>
          <w:p>
            <w:pPr>
              <w:jc w:val="center"/>
              <w:spacing w:after="0"/>
              <w:rPr>
                <w:sz w:val="20"/>
                <w:szCs w:val="20"/>
                <w:color w:val="auto"/>
              </w:rPr>
            </w:pPr>
            <w:r>
              <w:rPr>
                <w:rFonts w:ascii="Arial" w:cs="Arial" w:eastAsia="Arial" w:hAnsi="Arial"/>
                <w:sz w:val="15"/>
                <w:szCs w:val="15"/>
                <w:color w:val="auto"/>
                <w:w w:val="89"/>
              </w:rPr>
              <w:t>(33%)</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9"/>
              <w:spacing w:after="0"/>
              <w:rPr>
                <w:sz w:val="20"/>
                <w:szCs w:val="20"/>
                <w:color w:val="auto"/>
              </w:rPr>
            </w:pPr>
            <w:r>
              <w:rPr>
                <w:rFonts w:ascii="Arial" w:cs="Arial" w:eastAsia="Arial" w:hAnsi="Arial"/>
                <w:sz w:val="15"/>
                <w:szCs w:val="15"/>
                <w:color w:val="auto"/>
              </w:rPr>
              <w:t>57,293</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82,281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(24,988 )</w:t>
            </w:r>
          </w:p>
        </w:tc>
        <w:tc>
          <w:tcPr>
            <w:tcW w:w="640" w:type="dxa"/>
            <w:vAlign w:val="bottom"/>
            <w:gridSpan w:val="2"/>
            <w:shd w:val="clear" w:color="auto" w:fill="CFF0FC"/>
          </w:tcPr>
          <w:p>
            <w:pPr>
              <w:jc w:val="center"/>
              <w:ind w:left="48"/>
              <w:spacing w:after="0"/>
              <w:rPr>
                <w:sz w:val="20"/>
                <w:szCs w:val="20"/>
                <w:color w:val="auto"/>
              </w:rPr>
            </w:pPr>
            <w:r>
              <w:rPr>
                <w:rFonts w:ascii="Arial" w:cs="Arial" w:eastAsia="Arial" w:hAnsi="Arial"/>
                <w:sz w:val="15"/>
                <w:szCs w:val="15"/>
                <w:color w:val="auto"/>
                <w:w w:val="89"/>
              </w:rPr>
              <w:t>(30%)</w:t>
            </w:r>
          </w:p>
        </w:tc>
      </w:tr>
      <w:tr>
        <w:trPr>
          <w:trHeight w:val="191"/>
        </w:trPr>
        <w:tc>
          <w:tcPr>
            <w:tcW w:w="3300" w:type="dxa"/>
            <w:vAlign w:val="bottom"/>
          </w:tcPr>
          <w:p>
            <w:pPr>
              <w:ind w:left="160"/>
              <w:spacing w:after="0"/>
              <w:rPr>
                <w:sz w:val="20"/>
                <w:szCs w:val="20"/>
                <w:color w:val="auto"/>
              </w:rPr>
            </w:pPr>
            <w:r>
              <w:rPr>
                <w:rFonts w:ascii="Arial" w:cs="Arial" w:eastAsia="Arial" w:hAnsi="Arial"/>
                <w:sz w:val="15"/>
                <w:szCs w:val="15"/>
                <w:color w:val="auto"/>
              </w:rPr>
              <w:t>Amortization of intangible assets</w:t>
            </w:r>
          </w:p>
        </w:tc>
        <w:tc>
          <w:tcPr>
            <w:tcW w:w="22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Arial" w:cs="Arial" w:eastAsia="Arial" w:hAnsi="Arial"/>
                <w:sz w:val="15"/>
                <w:szCs w:val="15"/>
                <w:color w:val="auto"/>
              </w:rPr>
              <w:t>1,957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5"/>
                <w:szCs w:val="15"/>
                <w:color w:val="auto"/>
              </w:rPr>
              <w:t>2,006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(49 )</w:t>
            </w:r>
          </w:p>
        </w:tc>
        <w:tc>
          <w:tcPr>
            <w:tcW w:w="740" w:type="dxa"/>
            <w:vAlign w:val="bottom"/>
            <w:gridSpan w:val="2"/>
          </w:tcPr>
          <w:p>
            <w:pPr>
              <w:jc w:val="center"/>
              <w:spacing w:after="0"/>
              <w:rPr>
                <w:sz w:val="20"/>
                <w:szCs w:val="20"/>
                <w:color w:val="auto"/>
              </w:rPr>
            </w:pPr>
            <w:r>
              <w:rPr>
                <w:rFonts w:ascii="Arial" w:cs="Arial" w:eastAsia="Arial" w:hAnsi="Arial"/>
                <w:sz w:val="15"/>
                <w:szCs w:val="15"/>
                <w:color w:val="auto"/>
                <w:w w:val="94"/>
              </w:rPr>
              <w:t>(2%)</w:t>
            </w:r>
          </w:p>
        </w:tc>
        <w:tc>
          <w:tcPr>
            <w:tcW w:w="3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5"/>
                <w:szCs w:val="15"/>
                <w:color w:val="auto"/>
              </w:rPr>
              <w:t>5,887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4,487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Arial" w:cs="Arial" w:eastAsia="Arial" w:hAnsi="Arial"/>
                <w:sz w:val="15"/>
                <w:szCs w:val="15"/>
                <w:color w:val="auto"/>
              </w:rPr>
              <w:t>1,400</w:t>
            </w:r>
          </w:p>
        </w:tc>
        <w:tc>
          <w:tcPr>
            <w:tcW w:w="640" w:type="dxa"/>
            <w:vAlign w:val="bottom"/>
            <w:gridSpan w:val="2"/>
          </w:tcPr>
          <w:p>
            <w:pPr>
              <w:jc w:val="center"/>
              <w:ind w:left="28"/>
              <w:spacing w:after="0"/>
              <w:rPr>
                <w:sz w:val="20"/>
                <w:szCs w:val="20"/>
                <w:color w:val="auto"/>
              </w:rPr>
            </w:pPr>
            <w:r>
              <w:rPr>
                <w:rFonts w:ascii="Arial" w:cs="Arial" w:eastAsia="Arial" w:hAnsi="Arial"/>
                <w:sz w:val="15"/>
                <w:szCs w:val="15"/>
                <w:color w:val="auto"/>
                <w:w w:val="86"/>
              </w:rPr>
              <w:t>31%</w:t>
            </w:r>
          </w:p>
        </w:tc>
      </w:tr>
      <w:tr>
        <w:trPr>
          <w:trHeight w:val="202"/>
        </w:trPr>
        <w:tc>
          <w:tcPr>
            <w:tcW w:w="33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5"/>
                <w:szCs w:val="15"/>
                <w:color w:val="auto"/>
              </w:rPr>
              <w:t>Restructuring costs</w:t>
            </w: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rPr>
              <w:t>105</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(105 )</w:t>
            </w:r>
          </w:p>
        </w:tc>
        <w:tc>
          <w:tcPr>
            <w:tcW w:w="74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5"/>
                <w:szCs w:val="15"/>
                <w:color w:val="auto"/>
                <w:w w:val="90"/>
              </w:rPr>
              <w:t>(100%)</w:t>
            </w:r>
          </w:p>
        </w:tc>
        <w:tc>
          <w:tcPr>
            <w:tcW w:w="3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rPr>
              <w:t>3,001</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(3,001 )</w:t>
            </w:r>
          </w:p>
        </w:tc>
        <w:tc>
          <w:tcPr>
            <w:tcW w:w="6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Arial" w:cs="Arial" w:eastAsia="Arial" w:hAnsi="Arial"/>
                <w:sz w:val="15"/>
                <w:szCs w:val="15"/>
                <w:color w:val="auto"/>
                <w:w w:val="90"/>
              </w:rPr>
              <w:t>(100%)</w:t>
            </w:r>
          </w:p>
        </w:tc>
      </w:tr>
      <w:tr>
        <w:trPr>
          <w:trHeight w:val="188"/>
        </w:trPr>
        <w:tc>
          <w:tcPr>
            <w:tcW w:w="3300" w:type="dxa"/>
            <w:vAlign w:val="bottom"/>
          </w:tcPr>
          <w:p>
            <w:pPr>
              <w:ind w:left="20"/>
              <w:spacing w:after="0"/>
              <w:rPr>
                <w:sz w:val="20"/>
                <w:szCs w:val="20"/>
                <w:color w:val="auto"/>
              </w:rPr>
            </w:pPr>
            <w:r>
              <w:rPr>
                <w:rFonts w:ascii="Arial" w:cs="Arial" w:eastAsia="Arial" w:hAnsi="Arial"/>
                <w:sz w:val="15"/>
                <w:szCs w:val="15"/>
                <w:color w:val="auto"/>
              </w:rPr>
              <w:t>Total operating expenses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39,630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45,743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(6,113 )</w:t>
            </w:r>
          </w:p>
        </w:tc>
        <w:tc>
          <w:tcPr>
            <w:tcW w:w="740" w:type="dxa"/>
            <w:vAlign w:val="bottom"/>
            <w:gridSpan w:val="2"/>
          </w:tcPr>
          <w:p>
            <w:pPr>
              <w:jc w:val="center"/>
              <w:spacing w:after="0"/>
              <w:rPr>
                <w:sz w:val="20"/>
                <w:szCs w:val="20"/>
                <w:color w:val="auto"/>
              </w:rPr>
            </w:pPr>
            <w:r>
              <w:rPr>
                <w:rFonts w:ascii="Arial" w:cs="Arial" w:eastAsia="Arial" w:hAnsi="Arial"/>
                <w:sz w:val="15"/>
                <w:szCs w:val="15"/>
                <w:color w:val="auto"/>
                <w:w w:val="89"/>
              </w:rPr>
              <w:t>(13%)</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123,635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138,835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(15,200 )</w:t>
            </w:r>
          </w:p>
        </w:tc>
        <w:tc>
          <w:tcPr>
            <w:tcW w:w="640" w:type="dxa"/>
            <w:vAlign w:val="bottom"/>
            <w:gridSpan w:val="2"/>
          </w:tcPr>
          <w:p>
            <w:pPr>
              <w:jc w:val="center"/>
              <w:ind w:left="48"/>
              <w:spacing w:after="0"/>
              <w:rPr>
                <w:sz w:val="20"/>
                <w:szCs w:val="20"/>
                <w:color w:val="auto"/>
              </w:rPr>
            </w:pPr>
            <w:r>
              <w:rPr>
                <w:rFonts w:ascii="Arial" w:cs="Arial" w:eastAsia="Arial" w:hAnsi="Arial"/>
                <w:sz w:val="15"/>
                <w:szCs w:val="15"/>
                <w:color w:val="auto"/>
                <w:w w:val="89"/>
              </w:rPr>
              <w:t>(11%)</w:t>
            </w:r>
          </w:p>
        </w:tc>
      </w:tr>
      <w:tr>
        <w:trPr>
          <w:trHeight w:val="188"/>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Operating income (loss)</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9"/>
              <w:spacing w:after="0"/>
              <w:rPr>
                <w:sz w:val="20"/>
                <w:szCs w:val="20"/>
                <w:color w:val="auto"/>
              </w:rPr>
            </w:pPr>
            <w:r>
              <w:rPr>
                <w:rFonts w:ascii="Arial" w:cs="Arial" w:eastAsia="Arial" w:hAnsi="Arial"/>
                <w:sz w:val="15"/>
                <w:szCs w:val="15"/>
                <w:color w:val="auto"/>
              </w:rPr>
              <w:t>214</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352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(138 )</w:t>
            </w:r>
          </w:p>
        </w:tc>
        <w:tc>
          <w:tcPr>
            <w:tcW w:w="740" w:type="dxa"/>
            <w:vAlign w:val="bottom"/>
            <w:gridSpan w:val="2"/>
            <w:shd w:val="clear" w:color="auto" w:fill="CFF0FC"/>
          </w:tcPr>
          <w:p>
            <w:pPr>
              <w:jc w:val="center"/>
              <w:spacing w:after="0"/>
              <w:rPr>
                <w:sz w:val="20"/>
                <w:szCs w:val="20"/>
                <w:color w:val="auto"/>
              </w:rPr>
            </w:pPr>
            <w:r>
              <w:rPr>
                <w:rFonts w:ascii="Arial" w:cs="Arial" w:eastAsia="Arial" w:hAnsi="Arial"/>
                <w:sz w:val="15"/>
                <w:szCs w:val="15"/>
                <w:color w:val="auto"/>
                <w:w w:val="89"/>
              </w:rPr>
              <w:t>(39%)</w:t>
            </w: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(44,408 )</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215,079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(259,487 )</w:t>
            </w:r>
          </w:p>
        </w:tc>
        <w:tc>
          <w:tcPr>
            <w:tcW w:w="640" w:type="dxa"/>
            <w:vAlign w:val="bottom"/>
            <w:gridSpan w:val="2"/>
            <w:shd w:val="clear" w:color="auto" w:fill="CFF0FC"/>
          </w:tcPr>
          <w:p>
            <w:pPr>
              <w:jc w:val="center"/>
              <w:ind w:left="48"/>
              <w:spacing w:after="0"/>
              <w:rPr>
                <w:sz w:val="20"/>
                <w:szCs w:val="20"/>
                <w:color w:val="auto"/>
              </w:rPr>
            </w:pPr>
            <w:r>
              <w:rPr>
                <w:rFonts w:ascii="Arial" w:cs="Arial" w:eastAsia="Arial" w:hAnsi="Arial"/>
                <w:sz w:val="15"/>
                <w:szCs w:val="15"/>
                <w:color w:val="auto"/>
                <w:w w:val="90"/>
              </w:rPr>
              <w:t>(121%)</w:t>
            </w:r>
          </w:p>
        </w:tc>
      </w:tr>
      <w:tr>
        <w:trPr>
          <w:trHeight w:val="197"/>
        </w:trPr>
        <w:tc>
          <w:tcPr>
            <w:tcW w:w="3300" w:type="dxa"/>
            <w:vAlign w:val="bottom"/>
          </w:tcPr>
          <w:p>
            <w:pPr>
              <w:ind w:left="20"/>
              <w:spacing w:after="0"/>
              <w:rPr>
                <w:sz w:val="20"/>
                <w:szCs w:val="20"/>
                <w:color w:val="auto"/>
              </w:rPr>
            </w:pPr>
            <w:r>
              <w:rPr>
                <w:rFonts w:ascii="Arial" w:cs="Arial" w:eastAsia="Arial" w:hAnsi="Arial"/>
                <w:sz w:val="15"/>
                <w:szCs w:val="15"/>
                <w:color w:val="auto"/>
              </w:rPr>
              <w:t>Interest and other income, net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6,646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1,405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5,241</w:t>
            </w:r>
          </w:p>
        </w:tc>
        <w:tc>
          <w:tcPr>
            <w:tcW w:w="740" w:type="dxa"/>
            <w:vAlign w:val="bottom"/>
            <w:gridSpan w:val="2"/>
          </w:tcPr>
          <w:p>
            <w:pPr>
              <w:jc w:val="center"/>
              <w:spacing w:after="0"/>
              <w:rPr>
                <w:sz w:val="20"/>
                <w:szCs w:val="20"/>
                <w:color w:val="auto"/>
              </w:rPr>
            </w:pPr>
            <w:r>
              <w:rPr>
                <w:rFonts w:ascii="Arial" w:cs="Arial" w:eastAsia="Arial" w:hAnsi="Arial"/>
                <w:sz w:val="15"/>
                <w:szCs w:val="15"/>
                <w:color w:val="auto"/>
                <w:w w:val="88"/>
              </w:rPr>
              <w:t>373%</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15,519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2,408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13,111</w:t>
            </w:r>
          </w:p>
        </w:tc>
        <w:tc>
          <w:tcPr>
            <w:tcW w:w="640" w:type="dxa"/>
            <w:vAlign w:val="bottom"/>
            <w:gridSpan w:val="2"/>
          </w:tcPr>
          <w:p>
            <w:pPr>
              <w:jc w:val="center"/>
              <w:ind w:left="28"/>
              <w:spacing w:after="0"/>
              <w:rPr>
                <w:sz w:val="20"/>
                <w:szCs w:val="20"/>
                <w:color w:val="auto"/>
              </w:rPr>
            </w:pPr>
            <w:r>
              <w:rPr>
                <w:rFonts w:ascii="Arial" w:cs="Arial" w:eastAsia="Arial" w:hAnsi="Arial"/>
                <w:sz w:val="15"/>
                <w:szCs w:val="15"/>
                <w:color w:val="auto"/>
                <w:w w:val="88"/>
              </w:rPr>
              <w:t>544%</w:t>
            </w:r>
          </w:p>
        </w:tc>
      </w:tr>
      <w:tr>
        <w:trPr>
          <w:trHeight w:val="188"/>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Income (loss) before income taxes</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9"/>
              <w:spacing w:after="0"/>
              <w:rPr>
                <w:sz w:val="20"/>
                <w:szCs w:val="20"/>
                <w:color w:val="auto"/>
              </w:rPr>
            </w:pPr>
            <w:r>
              <w:rPr>
                <w:rFonts w:ascii="Arial" w:cs="Arial" w:eastAsia="Arial" w:hAnsi="Arial"/>
                <w:sz w:val="15"/>
                <w:szCs w:val="15"/>
                <w:color w:val="auto"/>
              </w:rPr>
              <w:t>6,860</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1,757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9"/>
              <w:spacing w:after="0"/>
              <w:rPr>
                <w:sz w:val="20"/>
                <w:szCs w:val="20"/>
                <w:color w:val="auto"/>
              </w:rPr>
            </w:pPr>
            <w:r>
              <w:rPr>
                <w:rFonts w:ascii="Arial" w:cs="Arial" w:eastAsia="Arial" w:hAnsi="Arial"/>
                <w:sz w:val="15"/>
                <w:szCs w:val="15"/>
                <w:color w:val="auto"/>
              </w:rPr>
              <w:t>5,103</w:t>
            </w:r>
          </w:p>
        </w:tc>
        <w:tc>
          <w:tcPr>
            <w:tcW w:w="740" w:type="dxa"/>
            <w:vAlign w:val="bottom"/>
            <w:gridSpan w:val="2"/>
            <w:shd w:val="clear" w:color="auto" w:fill="CFF0FC"/>
          </w:tcPr>
          <w:p>
            <w:pPr>
              <w:jc w:val="center"/>
              <w:spacing w:after="0"/>
              <w:rPr>
                <w:sz w:val="20"/>
                <w:szCs w:val="20"/>
                <w:color w:val="auto"/>
              </w:rPr>
            </w:pPr>
            <w:r>
              <w:rPr>
                <w:rFonts w:ascii="Arial" w:cs="Arial" w:eastAsia="Arial" w:hAnsi="Arial"/>
                <w:sz w:val="15"/>
                <w:szCs w:val="15"/>
                <w:color w:val="auto"/>
                <w:w w:val="88"/>
              </w:rPr>
              <w:t>290%</w:t>
            </w: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(28,889 )</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217,487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(246,376 )</w:t>
            </w:r>
          </w:p>
        </w:tc>
        <w:tc>
          <w:tcPr>
            <w:tcW w:w="640" w:type="dxa"/>
            <w:vAlign w:val="bottom"/>
            <w:gridSpan w:val="2"/>
            <w:shd w:val="clear" w:color="auto" w:fill="CFF0FC"/>
          </w:tcPr>
          <w:p>
            <w:pPr>
              <w:jc w:val="center"/>
              <w:ind w:left="28"/>
              <w:spacing w:after="0"/>
              <w:rPr>
                <w:sz w:val="20"/>
                <w:szCs w:val="20"/>
                <w:color w:val="auto"/>
              </w:rPr>
            </w:pPr>
            <w:r>
              <w:rPr>
                <w:rFonts w:ascii="Arial" w:cs="Arial" w:eastAsia="Arial" w:hAnsi="Arial"/>
                <w:sz w:val="15"/>
                <w:szCs w:val="15"/>
                <w:color w:val="auto"/>
                <w:w w:val="86"/>
              </w:rPr>
              <w:t>(113%)</w:t>
            </w:r>
          </w:p>
        </w:tc>
      </w:tr>
      <w:tr>
        <w:trPr>
          <w:trHeight w:val="197"/>
        </w:trPr>
        <w:tc>
          <w:tcPr>
            <w:tcW w:w="330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20,326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414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19,912</w:t>
            </w:r>
          </w:p>
        </w:tc>
        <w:tc>
          <w:tcPr>
            <w:tcW w:w="740" w:type="dxa"/>
            <w:vAlign w:val="bottom"/>
            <w:gridSpan w:val="2"/>
          </w:tcPr>
          <w:p>
            <w:pPr>
              <w:jc w:val="center"/>
              <w:spacing w:after="0"/>
              <w:rPr>
                <w:sz w:val="20"/>
                <w:szCs w:val="20"/>
                <w:color w:val="auto"/>
              </w:rPr>
            </w:pPr>
            <w:r>
              <w:rPr>
                <w:rFonts w:ascii="Arial" w:cs="Arial" w:eastAsia="Arial" w:hAnsi="Arial"/>
                <w:sz w:val="15"/>
                <w:szCs w:val="15"/>
                <w:color w:val="auto"/>
                <w:w w:val="90"/>
              </w:rPr>
              <w:t>4,810%</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12,016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51,488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(39,472 )</w:t>
            </w:r>
          </w:p>
        </w:tc>
        <w:tc>
          <w:tcPr>
            <w:tcW w:w="640" w:type="dxa"/>
            <w:vAlign w:val="bottom"/>
            <w:gridSpan w:val="2"/>
          </w:tcPr>
          <w:p>
            <w:pPr>
              <w:jc w:val="center"/>
              <w:ind w:left="48"/>
              <w:spacing w:after="0"/>
              <w:rPr>
                <w:sz w:val="20"/>
                <w:szCs w:val="20"/>
                <w:color w:val="auto"/>
              </w:rPr>
            </w:pPr>
            <w:r>
              <w:rPr>
                <w:rFonts w:ascii="Arial" w:cs="Arial" w:eastAsia="Arial" w:hAnsi="Arial"/>
                <w:sz w:val="15"/>
                <w:szCs w:val="15"/>
                <w:color w:val="auto"/>
                <w:w w:val="89"/>
              </w:rPr>
              <w:t>(77%)</w:t>
            </w:r>
          </w:p>
        </w:tc>
      </w:tr>
      <w:tr>
        <w:trPr>
          <w:trHeight w:val="166"/>
        </w:trPr>
        <w:tc>
          <w:tcPr>
            <w:tcW w:w="3300" w:type="dxa"/>
            <w:vAlign w:val="bottom"/>
            <w:shd w:val="clear" w:color="auto" w:fill="CFF0FC"/>
          </w:tcPr>
          <w:p>
            <w:pPr>
              <w:ind w:left="20"/>
              <w:spacing w:after="0" w:line="167" w:lineRule="exact"/>
              <w:rPr>
                <w:sz w:val="20"/>
                <w:szCs w:val="20"/>
                <w:color w:val="auto"/>
              </w:rPr>
            </w:pPr>
            <w:r>
              <w:rPr>
                <w:rFonts w:ascii="Arial" w:cs="Arial" w:eastAsia="Arial" w:hAnsi="Arial"/>
                <w:sz w:val="15"/>
                <w:szCs w:val="15"/>
                <w:color w:val="auto"/>
              </w:rPr>
              <w:t>Net (loss) income from consolidated operations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center"/>
              <w:spacing w:after="0" w:line="167" w:lineRule="exact"/>
              <w:rPr>
                <w:sz w:val="20"/>
                <w:szCs w:val="20"/>
                <w:color w:val="auto"/>
              </w:rPr>
            </w:pPr>
            <w:r>
              <w:rPr>
                <w:rFonts w:ascii="Arial" w:cs="Arial" w:eastAsia="Arial" w:hAnsi="Arial"/>
                <w:sz w:val="15"/>
                <w:szCs w:val="15"/>
                <w:color w:val="auto"/>
                <w:w w:val="89"/>
              </w:rPr>
              <w:t>(1,103%</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r>
      <w:tr>
        <w:trPr>
          <w:trHeight w:val="197"/>
        </w:trPr>
        <w:tc>
          <w:tcPr>
            <w:tcW w:w="3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(13,466 )</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1,343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(14,809 )</w:t>
            </w:r>
          </w:p>
        </w:tc>
        <w:tc>
          <w:tcPr>
            <w:tcW w:w="740" w:type="dxa"/>
            <w:vAlign w:val="bottom"/>
            <w:gridSpan w:val="2"/>
            <w:shd w:val="clear" w:color="auto" w:fill="CFF0FC"/>
          </w:tcPr>
          <w:p>
            <w:pPr>
              <w:jc w:val="center"/>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(40,905 )</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165,999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(206,904 )</w:t>
            </w:r>
          </w:p>
        </w:tc>
        <w:tc>
          <w:tcPr>
            <w:tcW w:w="640" w:type="dxa"/>
            <w:vAlign w:val="bottom"/>
            <w:gridSpan w:val="2"/>
            <w:shd w:val="clear" w:color="auto" w:fill="CFF0FC"/>
          </w:tcPr>
          <w:p>
            <w:pPr>
              <w:jc w:val="center"/>
              <w:ind w:left="48"/>
              <w:spacing w:after="0"/>
              <w:rPr>
                <w:sz w:val="20"/>
                <w:szCs w:val="20"/>
                <w:color w:val="auto"/>
              </w:rPr>
            </w:pPr>
            <w:r>
              <w:rPr>
                <w:rFonts w:ascii="Arial" w:cs="Arial" w:eastAsia="Arial" w:hAnsi="Arial"/>
                <w:sz w:val="15"/>
                <w:szCs w:val="15"/>
                <w:color w:val="auto"/>
                <w:w w:val="90"/>
              </w:rPr>
              <w:t>(125%)</w:t>
            </w:r>
          </w:p>
        </w:tc>
      </w:tr>
      <w:tr>
        <w:trPr>
          <w:trHeight w:val="197"/>
        </w:trPr>
        <w:tc>
          <w:tcPr>
            <w:tcW w:w="3300" w:type="dxa"/>
            <w:vAlign w:val="bottom"/>
          </w:tcPr>
          <w:p>
            <w:pPr>
              <w:ind w:left="20"/>
              <w:spacing w:after="0"/>
              <w:rPr>
                <w:sz w:val="20"/>
                <w:szCs w:val="20"/>
                <w:color w:val="auto"/>
              </w:rPr>
            </w:pPr>
            <w:r>
              <w:rPr>
                <w:rFonts w:ascii="Arial" w:cs="Arial" w:eastAsia="Arial" w:hAnsi="Arial"/>
                <w:sz w:val="15"/>
                <w:szCs w:val="15"/>
                <w:color w:val="auto"/>
              </w:rPr>
              <w:t>Net loss attributable to noncontrolling interests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359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376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(17 )</w:t>
            </w:r>
          </w:p>
        </w:tc>
        <w:tc>
          <w:tcPr>
            <w:tcW w:w="740" w:type="dxa"/>
            <w:vAlign w:val="bottom"/>
            <w:gridSpan w:val="2"/>
          </w:tcPr>
          <w:p>
            <w:pPr>
              <w:jc w:val="center"/>
              <w:spacing w:after="0"/>
              <w:rPr>
                <w:sz w:val="20"/>
                <w:szCs w:val="20"/>
                <w:color w:val="auto"/>
              </w:rPr>
            </w:pPr>
            <w:r>
              <w:rPr>
                <w:rFonts w:ascii="Arial" w:cs="Arial" w:eastAsia="Arial" w:hAnsi="Arial"/>
                <w:sz w:val="15"/>
                <w:szCs w:val="15"/>
                <w:color w:val="auto"/>
                <w:w w:val="94"/>
              </w:rPr>
              <w:t>(5%)</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1,229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1,236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(7 )</w:t>
            </w:r>
          </w:p>
        </w:tc>
        <w:tc>
          <w:tcPr>
            <w:tcW w:w="640" w:type="dxa"/>
            <w:vAlign w:val="bottom"/>
            <w:gridSpan w:val="2"/>
          </w:tcPr>
          <w:p>
            <w:pPr>
              <w:jc w:val="center"/>
              <w:ind w:left="28"/>
              <w:spacing w:after="0"/>
              <w:rPr>
                <w:sz w:val="20"/>
                <w:szCs w:val="20"/>
                <w:color w:val="auto"/>
              </w:rPr>
            </w:pPr>
            <w:r>
              <w:rPr>
                <w:rFonts w:ascii="Arial" w:cs="Arial" w:eastAsia="Arial" w:hAnsi="Arial"/>
                <w:sz w:val="15"/>
                <w:szCs w:val="15"/>
                <w:color w:val="auto"/>
                <w:w w:val="94"/>
              </w:rPr>
              <w:t>(1%)</w:t>
            </w:r>
          </w:p>
        </w:tc>
      </w:tr>
      <w:tr>
        <w:trPr>
          <w:trHeight w:val="228"/>
        </w:trPr>
        <w:tc>
          <w:tcPr>
            <w:tcW w:w="3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Net (loss) income attributable to Fulgent</w:t>
            </w:r>
          </w:p>
        </w:tc>
        <w:tc>
          <w:tcPr>
            <w:tcW w:w="2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(13,107 )</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rPr>
              <w:t>1,719</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(14,826 )</w:t>
            </w:r>
          </w:p>
        </w:tc>
        <w:tc>
          <w:tcPr>
            <w:tcW w:w="74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5"/>
                <w:szCs w:val="15"/>
                <w:color w:val="auto"/>
                <w:w w:val="90"/>
              </w:rPr>
              <w:t>(862%)</w:t>
            </w:r>
          </w:p>
        </w:tc>
        <w:tc>
          <w:tcPr>
            <w:tcW w:w="30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(39,676 )</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rPr>
              <w:t>167,235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(206,911 )</w:t>
            </w:r>
          </w:p>
        </w:tc>
        <w:tc>
          <w:tcPr>
            <w:tcW w:w="6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Arial" w:cs="Arial" w:eastAsia="Arial" w:hAnsi="Arial"/>
                <w:sz w:val="15"/>
                <w:szCs w:val="15"/>
                <w:color w:val="auto"/>
                <w:w w:val="90"/>
              </w:rPr>
              <w:t>(124%)</w:t>
            </w:r>
          </w:p>
        </w:tc>
      </w:tr>
      <w:tr>
        <w:trPr>
          <w:trHeight w:val="498"/>
        </w:trPr>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gridSpan w:val="2"/>
          </w:tcPr>
          <w:p>
            <w:pPr>
              <w:jc w:val="right"/>
              <w:ind w:right="7"/>
              <w:spacing w:after="0"/>
              <w:rPr>
                <w:sz w:val="20"/>
                <w:szCs w:val="20"/>
                <w:color w:val="auto"/>
              </w:rPr>
            </w:pPr>
            <w:r>
              <w:rPr>
                <w:rFonts w:ascii="Arial" w:cs="Arial" w:eastAsia="Arial" w:hAnsi="Arial"/>
                <w:sz w:val="15"/>
                <w:szCs w:val="15"/>
                <w:color w:val="auto"/>
              </w:rPr>
              <w:t>21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89"/>
        </w:trPr>
        <w:tc>
          <w:tcPr>
            <w:tcW w:w="3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-2325370</wp:posOffset>
            </wp:positionV>
            <wp:extent cx="76200" cy="1320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200" cy="132080"/>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-2325370</wp:posOffset>
            </wp:positionV>
            <wp:extent cx="76200" cy="1320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200" cy="13208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-2325370</wp:posOffset>
            </wp:positionV>
            <wp:extent cx="69215" cy="1320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5351145</wp:posOffset>
            </wp:positionH>
            <wp:positionV relativeFrom="paragraph">
              <wp:posOffset>-2325370</wp:posOffset>
            </wp:positionV>
            <wp:extent cx="69215" cy="1320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-2325370</wp:posOffset>
            </wp:positionV>
            <wp:extent cx="69215" cy="1320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-2325370</wp:posOffset>
            </wp:positionV>
            <wp:extent cx="69215" cy="1320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215" cy="13208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-1568450</wp:posOffset>
            </wp:positionV>
            <wp:extent cx="76200" cy="1390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-1568450</wp:posOffset>
            </wp:positionV>
            <wp:extent cx="76200" cy="1390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200" cy="139065"/>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-1568450</wp:posOffset>
            </wp:positionV>
            <wp:extent cx="69215" cy="1390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5351145</wp:posOffset>
            </wp:positionH>
            <wp:positionV relativeFrom="paragraph">
              <wp:posOffset>-1568450</wp:posOffset>
            </wp:positionV>
            <wp:extent cx="69215" cy="1390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-1568450</wp:posOffset>
            </wp:positionV>
            <wp:extent cx="69215" cy="1390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-1568450</wp:posOffset>
            </wp:positionV>
            <wp:extent cx="69215" cy="1390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15" cy="139065"/>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-422910</wp:posOffset>
            </wp:positionV>
            <wp:extent cx="7620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-408940</wp:posOffset>
            </wp:positionV>
            <wp:extent cx="7620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-422910</wp:posOffset>
            </wp:positionV>
            <wp:extent cx="76200"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-408940</wp:posOffset>
            </wp:positionV>
            <wp:extent cx="7620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-422910</wp:posOffset>
            </wp:positionV>
            <wp:extent cx="6921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-408940</wp:posOffset>
            </wp:positionV>
            <wp:extent cx="6921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5351145</wp:posOffset>
            </wp:positionH>
            <wp:positionV relativeFrom="paragraph">
              <wp:posOffset>-422910</wp:posOffset>
            </wp:positionV>
            <wp:extent cx="69215"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5351145</wp:posOffset>
            </wp:positionH>
            <wp:positionV relativeFrom="paragraph">
              <wp:posOffset>-408940</wp:posOffset>
            </wp:positionV>
            <wp:extent cx="69215"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-422910</wp:posOffset>
            </wp:positionV>
            <wp:extent cx="6921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-408940</wp:posOffset>
            </wp:positionV>
            <wp:extent cx="6921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-422910</wp:posOffset>
            </wp:positionV>
            <wp:extent cx="69215"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-408940</wp:posOffset>
            </wp:positionV>
            <wp:extent cx="6921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562" w:right="31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color w:val="auto"/>
        </w:rPr>
        <w:t>Revenue</w:t>
      </w:r>
    </w:p>
    <w:p>
      <w:pPr>
        <w:spacing w:after="0" w:line="94" w:lineRule="exact"/>
        <w:rPr>
          <w:sz w:val="20"/>
          <w:szCs w:val="20"/>
          <w:color w:val="auto"/>
        </w:rPr>
      </w:pPr>
    </w:p>
    <w:p>
      <w:pPr>
        <w:ind w:right="60" w:firstLine="511"/>
        <w:spacing w:after="0" w:line="252" w:lineRule="auto"/>
        <w:rPr>
          <w:sz w:val="20"/>
          <w:szCs w:val="20"/>
          <w:color w:val="auto"/>
        </w:rPr>
      </w:pPr>
      <w:r>
        <w:rPr>
          <w:rFonts w:ascii="Arial" w:cs="Arial" w:eastAsia="Arial" w:hAnsi="Arial"/>
          <w:sz w:val="15"/>
          <w:szCs w:val="15"/>
          <w:color w:val="auto"/>
        </w:rPr>
        <w:t>Revenue decreased $21.0 million, or 20%, from $105.7 million in the three months ended September 30, 2022 to $84.7 million in the three months ended September 30, 2023, and decreased $332.6 million, or 60%, from $551.3 million in the nine months ended September 30, 2022 to $218.7 million in the nine months ended September 30, 2023. The decreases in revenue between periods were primarily due to decreased orders for our COVID-19 tests.</w:t>
      </w:r>
    </w:p>
    <w:p>
      <w:pPr>
        <w:spacing w:after="0" w:line="156" w:lineRule="exact"/>
        <w:rPr>
          <w:sz w:val="20"/>
          <w:szCs w:val="20"/>
          <w:color w:val="auto"/>
        </w:rPr>
      </w:pPr>
    </w:p>
    <w:p>
      <w:pPr>
        <w:ind w:right="100" w:firstLine="511"/>
        <w:spacing w:after="0" w:line="345" w:lineRule="auto"/>
        <w:rPr>
          <w:sz w:val="20"/>
          <w:szCs w:val="20"/>
          <w:color w:val="auto"/>
        </w:rPr>
      </w:pPr>
      <w:r>
        <w:rPr>
          <w:rFonts w:ascii="Arial" w:cs="Arial" w:eastAsia="Arial" w:hAnsi="Arial"/>
          <w:sz w:val="12"/>
          <w:szCs w:val="12"/>
          <w:color w:val="auto"/>
        </w:rPr>
        <w:t>Revenue from non-U.S. sources increased $1.6 million, or 38%, from $4.1 million in the three months ended September 30, 2022 to $5.7 million in the three months ended September 30, 2023, and increased $4.2 million, or 40%, from $10.5 million in nine months ended September 30, 2022 to $14.6 million in the nine months ended September 30, 2023. The increase in revenue from non-U.S. sources between periods were primarily due to increased sales of our traditional genetic testing services to customers in China through our joint venture in China.</w:t>
      </w:r>
    </w:p>
    <w:p>
      <w:pPr>
        <w:spacing w:after="0" w:line="105" w:lineRule="exact"/>
        <w:rPr>
          <w:sz w:val="20"/>
          <w:szCs w:val="20"/>
          <w:color w:val="auto"/>
        </w:rPr>
      </w:pPr>
    </w:p>
    <w:p>
      <w:pPr>
        <w:ind w:right="460" w:firstLine="511"/>
        <w:spacing w:after="0" w:line="387" w:lineRule="auto"/>
        <w:rPr>
          <w:sz w:val="20"/>
          <w:szCs w:val="20"/>
          <w:color w:val="auto"/>
        </w:rPr>
      </w:pPr>
      <w:r>
        <w:rPr>
          <w:rFonts w:ascii="Arial" w:cs="Arial" w:eastAsia="Arial" w:hAnsi="Arial"/>
          <w:sz w:val="12"/>
          <w:szCs w:val="12"/>
          <w:color w:val="auto"/>
        </w:rPr>
        <w:t>After aggregating customers that are under common control or affiliation, one customer contributed 14% and 11% of the Company’s revenue in the three and nine months ended September 30, 2023, respectively. A different customer contributed 13% and 21%, of the Company’s revenue in the three and nine months ended September 30, 2022,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Cost of Revenue</w:t>
      </w:r>
    </w:p>
    <w:p>
      <w:pPr>
        <w:spacing w:after="0" w:line="94" w:lineRule="exact"/>
        <w:rPr>
          <w:sz w:val="20"/>
          <w:szCs w:val="20"/>
          <w:color w:val="auto"/>
        </w:rPr>
      </w:pPr>
    </w:p>
    <w:p>
      <w:pPr>
        <w:ind w:firstLine="511"/>
        <w:spacing w:after="0" w:line="249" w:lineRule="auto"/>
        <w:rPr>
          <w:sz w:val="20"/>
          <w:szCs w:val="20"/>
          <w:color w:val="auto"/>
        </w:rPr>
      </w:pPr>
      <w:r>
        <w:rPr>
          <w:rFonts w:ascii="Arial" w:cs="Arial" w:eastAsia="Arial" w:hAnsi="Arial"/>
          <w:sz w:val="15"/>
          <w:szCs w:val="15"/>
          <w:color w:val="auto"/>
        </w:rPr>
        <w:t>Cost of revenue decreased $14.7 million, or 25%, from $59.6 million in the three months ended September 30, 2022 to $44.8 million in the three months ended September 30, 2023. The decrease was primarily due to decreases of $4.3 million in depreciation expenses, $3.4 million in reagent and supply expenses, $3.3 million in consulting and outside labor costs, $726,000 in payroll expenses, $553,000 in shipping expenses, and $420,000 in external customer engagement platform expense related to the decreased tests delivered and orders for our COVID-19 tests, and $1.1 million in allocated facility expense.</w:t>
      </w:r>
    </w:p>
    <w:p>
      <w:pPr>
        <w:spacing w:after="0" w:line="159" w:lineRule="exact"/>
        <w:rPr>
          <w:sz w:val="20"/>
          <w:szCs w:val="20"/>
          <w:color w:val="auto"/>
        </w:rPr>
      </w:pPr>
    </w:p>
    <w:p>
      <w:pPr>
        <w:ind w:right="160" w:firstLine="511"/>
        <w:spacing w:after="0" w:line="268" w:lineRule="auto"/>
        <w:rPr>
          <w:sz w:val="20"/>
          <w:szCs w:val="20"/>
          <w:color w:val="auto"/>
        </w:rPr>
      </w:pPr>
      <w:r>
        <w:rPr>
          <w:rFonts w:ascii="Arial" w:cs="Arial" w:eastAsia="Arial" w:hAnsi="Arial"/>
          <w:sz w:val="14"/>
          <w:szCs w:val="14"/>
          <w:color w:val="auto"/>
        </w:rPr>
        <w:t>Cost of revenue decreased $57.9 million, or 29%, from $197.4 million in the nine months ended September 30, 2022 to $139.5 million in the nine months ended September 30, 2023. The decrease was primarily due to decreases of $30.8 million in consulting and outside labor costs for production, $23.9 million in reagent and supply expenses, $9.3 million in depreciation expenses, $2.2 million in shipping expenses, $1.1 million in meals provided to production teams during pandemic and other travel expense, and $856,000 in external customer engagement platform expense related to the decreased tests delivered and orders for our COVID-19 tests, $1.6 million in allocated facility expense, $750,000 in change in gain or loss on disposal of fixed assets, $663,000 in office and computer expenses, and $334,000 in other state tax, and partially offset by an increase of $13.8 million in personnel costs including equity-based compensation expense related to an entity acquired in the second quarter of 2022.</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562" w:right="319" w:bottom="1440" w:gutter="0" w:footer="0" w:header="0"/>
        </w:sectPr>
      </w:pPr>
    </w:p>
    <w:bookmarkStart w:id="24" w:name="page25"/>
    <w:bookmarkEnd w:id="24"/>
    <w:p>
      <w:pPr>
        <w:ind w:firstLine="511"/>
        <w:spacing w:after="0" w:line="252" w:lineRule="auto"/>
        <w:rPr>
          <w:sz w:val="20"/>
          <w:szCs w:val="20"/>
          <w:color w:val="auto"/>
        </w:rPr>
      </w:pPr>
      <w:r>
        <w:rPr>
          <w:rFonts w:ascii="Arial" w:cs="Arial" w:eastAsia="Arial" w:hAnsi="Arial"/>
          <w:sz w:val="15"/>
          <w:szCs w:val="15"/>
          <w:color w:val="auto"/>
        </w:rPr>
        <w:t>Our gross profit decreased $6.3 million, from $46.1 million in the three months ended September 30, 2022 to $39.8 million in the three months ended September 30, 2023. The decrease in gross profit was primarily due to the decrease in revenue from our COVID-19 tests. Our gross profit as a percentage of revenue, or gross margin, increased from 43.6% to 47.0% due to changes in product mix and revenue recognized for COVID-19 tests completed in prior periods.</w:t>
      </w:r>
    </w:p>
    <w:p>
      <w:pPr>
        <w:spacing w:after="0" w:line="156" w:lineRule="exact"/>
        <w:rPr>
          <w:sz w:val="20"/>
          <w:szCs w:val="20"/>
          <w:color w:val="auto"/>
        </w:rPr>
      </w:pPr>
    </w:p>
    <w:p>
      <w:pPr>
        <w:ind w:right="220" w:firstLine="511"/>
        <w:spacing w:after="0" w:line="252" w:lineRule="auto"/>
        <w:rPr>
          <w:sz w:val="20"/>
          <w:szCs w:val="20"/>
          <w:color w:val="auto"/>
        </w:rPr>
      </w:pPr>
      <w:r>
        <w:rPr>
          <w:rFonts w:ascii="Arial" w:cs="Arial" w:eastAsia="Arial" w:hAnsi="Arial"/>
          <w:sz w:val="15"/>
          <w:szCs w:val="15"/>
          <w:color w:val="auto"/>
        </w:rPr>
        <w:t>Our gross profit decreased $274.7 million, from $353.9 million in the nine months ended September 30, 2022 to $79.2 million in the nine months ended September 30, 2023. The decrease in gross profit was primarily due to the decrease in revenue from our COVID-19 tests. Our gross profit as a percentage of revenue, or gross margin, decreased from 64.2% to 36.2% due to changes in product mix.</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94" w:lineRule="exact"/>
        <w:rPr>
          <w:sz w:val="20"/>
          <w:szCs w:val="20"/>
          <w:color w:val="auto"/>
        </w:rPr>
      </w:pPr>
    </w:p>
    <w:p>
      <w:pPr>
        <w:ind w:right="320" w:firstLine="511"/>
        <w:spacing w:after="0" w:line="345" w:lineRule="auto"/>
        <w:rPr>
          <w:sz w:val="20"/>
          <w:szCs w:val="20"/>
          <w:color w:val="auto"/>
        </w:rPr>
      </w:pPr>
      <w:r>
        <w:rPr>
          <w:rFonts w:ascii="Arial" w:cs="Arial" w:eastAsia="Arial" w:hAnsi="Arial"/>
          <w:sz w:val="12"/>
          <w:szCs w:val="12"/>
          <w:color w:val="auto"/>
        </w:rPr>
        <w:t>Research and development expenses increased $2.5 million, or 33%, from $7.5 million in the three months ended September 30, 2022 to $10.0 million in the three months ended September 30, 2023. The increase was primarily due to increases of $1.6 million in personnel costs including equity-based compensation expense related to increased headcount and equity awards granted post the second quarter of 2022, and $584,000 in reagent and supply expenses related to increased reagent usage for research.</w:t>
      </w:r>
    </w:p>
    <w:p>
      <w:pPr>
        <w:spacing w:after="0" w:line="105" w:lineRule="exact"/>
        <w:rPr>
          <w:sz w:val="20"/>
          <w:szCs w:val="20"/>
          <w:color w:val="auto"/>
        </w:rPr>
      </w:pPr>
    </w:p>
    <w:p>
      <w:pPr>
        <w:ind w:right="260" w:firstLine="511"/>
        <w:spacing w:after="0" w:line="345" w:lineRule="auto"/>
        <w:rPr>
          <w:sz w:val="20"/>
          <w:szCs w:val="20"/>
          <w:color w:val="auto"/>
        </w:rPr>
      </w:pPr>
      <w:r>
        <w:rPr>
          <w:rFonts w:ascii="Arial" w:cs="Arial" w:eastAsia="Arial" w:hAnsi="Arial"/>
          <w:sz w:val="12"/>
          <w:szCs w:val="12"/>
          <w:color w:val="auto"/>
        </w:rPr>
        <w:t>Research and development expenses increased $9.1 million, or 45%, from $20.4 million in the nine months ended September 30, 2022 to $29.5 million in the nine months ended September 30, 2023. The increase was primarily due to increases of $7.2 million in personnel costs including equity-based compensation expense related to increased headcount and equity awards granted post the second quarter of 2022, $681,000 in consulting and outside labor costs, and $611,000 in reagent and supply expenses related to increased reagent usage for research.</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Selling and Marketing</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Selling and marketing expenses were relatively consistent between periods at $10.2 million and $9.9 million in the three months ended September 30, 2023 and 2022, respectively.</w:t>
      </w:r>
    </w:p>
    <w:p>
      <w:pPr>
        <w:spacing w:after="0" w:line="212" w:lineRule="exact"/>
        <w:rPr>
          <w:sz w:val="20"/>
          <w:szCs w:val="20"/>
          <w:color w:val="auto"/>
        </w:rPr>
      </w:pPr>
    </w:p>
    <w:p>
      <w:pPr>
        <w:ind w:right="160" w:firstLine="511"/>
        <w:spacing w:after="0" w:line="252" w:lineRule="auto"/>
        <w:rPr>
          <w:sz w:val="20"/>
          <w:szCs w:val="20"/>
          <w:color w:val="auto"/>
        </w:rPr>
      </w:pPr>
      <w:r>
        <w:rPr>
          <w:rFonts w:ascii="Arial" w:cs="Arial" w:eastAsia="Arial" w:hAnsi="Arial"/>
          <w:sz w:val="15"/>
          <w:szCs w:val="15"/>
          <w:color w:val="auto"/>
        </w:rPr>
        <w:t>Selling and marketing expenses increased $2.3 million, or 8% from $28.7 million in the nine months ended September 30, 2022 to $31.0 million in the nine months ended September 30, 2023. The increase was primarily due to increases of $2.1 million in software expense, and $1.2 million related to allocated facility expenses, and partially offset by a decrease of $2.0 million in consulting and outside labor costs.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94" w:lineRule="exact"/>
        <w:rPr>
          <w:sz w:val="20"/>
          <w:szCs w:val="20"/>
          <w:color w:val="auto"/>
        </w:rPr>
      </w:pPr>
    </w:p>
    <w:p>
      <w:pPr>
        <w:ind w:right="320" w:firstLine="511"/>
        <w:spacing w:after="0" w:line="262" w:lineRule="auto"/>
        <w:rPr>
          <w:sz w:val="20"/>
          <w:szCs w:val="20"/>
          <w:color w:val="auto"/>
        </w:rPr>
      </w:pPr>
      <w:r>
        <w:rPr>
          <w:rFonts w:ascii="Arial" w:cs="Arial" w:eastAsia="Arial" w:hAnsi="Arial"/>
          <w:sz w:val="15"/>
          <w:szCs w:val="15"/>
          <w:color w:val="auto"/>
        </w:rPr>
        <w:t>General and administrative expenses decreased $8.8 million, or 33%, from $26.3 million in the three months ended September 30, 2022 to $17.5 million in the three months ended September 30, 2023. The decrease was primarily due to a decrease of $8.9 million in provisions for credit losses.</w:t>
      </w:r>
    </w:p>
    <w:p>
      <w:pPr>
        <w:spacing w:after="0" w:line="148" w:lineRule="exact"/>
        <w:rPr>
          <w:sz w:val="20"/>
          <w:szCs w:val="20"/>
          <w:color w:val="auto"/>
        </w:rPr>
      </w:pPr>
    </w:p>
    <w:p>
      <w:pPr>
        <w:ind w:right="340" w:firstLine="511"/>
        <w:spacing w:after="0" w:line="248" w:lineRule="auto"/>
        <w:rPr>
          <w:sz w:val="20"/>
          <w:szCs w:val="20"/>
          <w:color w:val="auto"/>
        </w:rPr>
      </w:pPr>
      <w:r>
        <w:rPr>
          <w:rFonts w:ascii="Arial" w:cs="Arial" w:eastAsia="Arial" w:hAnsi="Arial"/>
          <w:sz w:val="15"/>
          <w:szCs w:val="15"/>
          <w:color w:val="auto"/>
        </w:rPr>
        <w:t>General and administrative expenses decreased $25.0 million, or 30%, from $82.3 million in the nine months ended September 30, 2022 to $57.3 million in the nine months ended September 30, 2023. The decrease was primarily due to decreases of $29.6 million in provision for credit losses, $5.2 million in acquisition related costs incurred in the prior period, $2.3 million in legal and professional fees, and $1.7 million in licenses and permits, partially offset by increases of $5.4 million in personnel costs including equity-based compensation expense related to entity acquired in the second quarter of 2022 and equity awards granted post the second quarter of 2022, $4.5 million related to allocated facility expense, and $3.5 million in depreciation expense.</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Amortization of Intangible Assets</w:t>
      </w:r>
    </w:p>
    <w:p>
      <w:pPr>
        <w:spacing w:after="0" w:line="94" w:lineRule="exact"/>
        <w:rPr>
          <w:sz w:val="20"/>
          <w:szCs w:val="20"/>
          <w:color w:val="auto"/>
        </w:rPr>
      </w:pPr>
    </w:p>
    <w:p>
      <w:pPr>
        <w:ind w:right="40" w:firstLine="511"/>
        <w:spacing w:after="0" w:line="252" w:lineRule="auto"/>
        <w:rPr>
          <w:sz w:val="20"/>
          <w:szCs w:val="20"/>
          <w:color w:val="auto"/>
        </w:rPr>
      </w:pPr>
      <w:r>
        <w:rPr>
          <w:rFonts w:ascii="Arial" w:cs="Arial" w:eastAsia="Arial" w:hAnsi="Arial"/>
          <w:sz w:val="15"/>
          <w:szCs w:val="15"/>
          <w:color w:val="auto"/>
        </w:rPr>
        <w:t>Amortization of intangible assets represents amortization expenses on the intangible assets arose from the business combinations in 2022 and 2021 and a patent purchased in 2021. Amortization expenses were $2.0 million in the three months ended September 30, 2023 and 2022, respectively, and $5.9 million and $4.5 million in the nine months ended September 30, 2023 and 2022,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Restructuring Costs</w:t>
      </w:r>
    </w:p>
    <w:p>
      <w:pPr>
        <w:spacing w:after="0" w:line="94" w:lineRule="exact"/>
        <w:rPr>
          <w:sz w:val="20"/>
          <w:szCs w:val="20"/>
          <w:color w:val="auto"/>
        </w:rPr>
      </w:pPr>
    </w:p>
    <w:p>
      <w:pPr>
        <w:ind w:right="40" w:firstLine="511"/>
        <w:spacing w:after="0" w:line="262" w:lineRule="auto"/>
        <w:rPr>
          <w:sz w:val="20"/>
          <w:szCs w:val="20"/>
          <w:color w:val="auto"/>
        </w:rPr>
      </w:pPr>
      <w:r>
        <w:rPr>
          <w:rFonts w:ascii="Arial" w:cs="Arial" w:eastAsia="Arial" w:hAnsi="Arial"/>
          <w:sz w:val="15"/>
          <w:szCs w:val="15"/>
          <w:color w:val="auto"/>
        </w:rPr>
        <w:t>Restructuring expenses represent one-time employee termination benefits provided to employees associated with an entity acquired by the Company who were involuntarily terminated in the prior period.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479" w:right="31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auto"/>
        </w:rPr>
        <w:t>Interest and Other Income, net</w:t>
      </w:r>
    </w:p>
    <w:p>
      <w:pPr>
        <w:spacing w:after="0" w:line="94" w:lineRule="exact"/>
        <w:rPr>
          <w:sz w:val="20"/>
          <w:szCs w:val="20"/>
          <w:color w:val="auto"/>
        </w:rPr>
      </w:pPr>
    </w:p>
    <w:p>
      <w:pPr>
        <w:ind w:right="80" w:firstLine="511"/>
        <w:spacing w:after="0" w:line="273" w:lineRule="auto"/>
        <w:rPr>
          <w:sz w:val="20"/>
          <w:szCs w:val="20"/>
          <w:color w:val="auto"/>
        </w:rPr>
      </w:pPr>
      <w:r>
        <w:rPr>
          <w:rFonts w:ascii="Arial" w:cs="Arial" w:eastAsia="Arial" w:hAnsi="Arial"/>
          <w:sz w:val="14"/>
          <w:szCs w:val="14"/>
          <w:color w:val="auto"/>
        </w:rPr>
        <w:t>Interest and other income, net, is primarily comprised of net interest income (expenses), which was $6.4 million and $1.5 million in the three months ended September 30, 2023 and 2022, respectively, and $15.2 million and $2.3 million in the nine months ended September 30, 2023 and 2022, respectively. This interest income (expense) related to interest earned on various investments in marketable securities including realized and holding gain (loss) on marketable equity securities, net of interest expenses incurred for our notes payable and margin loan. The increase is primarily due to increases in interest rates on investments relative to the prior comparative periods.</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Provision for Income Taxes</w:t>
      </w:r>
    </w:p>
    <w:p>
      <w:pPr>
        <w:spacing w:after="0" w:line="94" w:lineRule="exact"/>
        <w:rPr>
          <w:sz w:val="20"/>
          <w:szCs w:val="20"/>
          <w:color w:val="auto"/>
        </w:rPr>
      </w:pPr>
    </w:p>
    <w:p>
      <w:pPr>
        <w:ind w:firstLine="511"/>
        <w:spacing w:after="0" w:line="318" w:lineRule="auto"/>
        <w:rPr>
          <w:sz w:val="20"/>
          <w:szCs w:val="20"/>
          <w:color w:val="auto"/>
        </w:rPr>
      </w:pPr>
      <w:r>
        <w:rPr>
          <w:rFonts w:ascii="Arial" w:cs="Arial" w:eastAsia="Arial" w:hAnsi="Arial"/>
          <w:sz w:val="12"/>
          <w:szCs w:val="12"/>
          <w:color w:val="auto"/>
        </w:rPr>
        <w:t>Provision for income taxes was $20.3 million and $12.0 million for the three and nine months ended September 30, 2023, respectively, and $414,000 and $51.5 million for the three and nine months ended September 30, 2022, respectively. The effective tax rate was 296% and 24% for the three months ended September 30, 2023 and 2022, respectively. The effective tax rate was (42%) and 24% for the nine months ended September 30, 2023 and 2022, respectively. The change in the effective tax rate for the three and nine months ended September 30, 2023, relative to 2022, was due to the establishment, in the three months ended September 30, 2023, of a valuation allowance on the Company's net deferred tax assets. FASB ASC 740 requires that deferred income tax assets be reduced by a valuation allowance if it is more likely than not that some or all of the deferred income tax assets will not be realized. The Company has evaluated the realizability of any of its deferred tax assets and has concluded that it is more likely than not that the Company may not realize benefit of its deferred tax assets, primarily as a result of operating losses in the nine months ended September 30, 2023, and, accordingly, has provided a full valuation allowance at September 30, 2023.</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 Attributable to Noncontrolling Interest</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Net loss attributable to noncontrolling interest represents net loss attributable to the minority shareholders from entities not wholly owned.</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Sources of Cash</w:t>
      </w:r>
    </w:p>
    <w:p>
      <w:pPr>
        <w:spacing w:after="0" w:line="94" w:lineRule="exact"/>
        <w:rPr>
          <w:sz w:val="20"/>
          <w:szCs w:val="20"/>
          <w:color w:val="auto"/>
        </w:rPr>
      </w:pPr>
    </w:p>
    <w:p>
      <w:pPr>
        <w:ind w:right="80" w:firstLine="511"/>
        <w:spacing w:after="0" w:line="252" w:lineRule="auto"/>
        <w:rPr>
          <w:sz w:val="20"/>
          <w:szCs w:val="20"/>
          <w:color w:val="auto"/>
        </w:rPr>
      </w:pPr>
      <w:r>
        <w:rPr>
          <w:rFonts w:ascii="Arial" w:cs="Arial" w:eastAsia="Arial" w:hAnsi="Arial"/>
          <w:sz w:val="15"/>
          <w:szCs w:val="15"/>
          <w:color w:val="auto"/>
        </w:rPr>
        <w:t>We had $851.5 million and $852.9 million in cash, cash equivalents, and marketable securities as of September 30, 2023 and December 31, 2022, respectively. Our marketable securities primarily consist of U.S. government and U.S. agency debt securities, U.S. treasury bills, corporate bonds, municipal bonds, and Yankee debt securities as of September 30, 2023 and December 31, 2022.</w:t>
      </w:r>
    </w:p>
    <w:p>
      <w:pPr>
        <w:spacing w:after="0" w:line="156" w:lineRule="exact"/>
        <w:rPr>
          <w:sz w:val="20"/>
          <w:szCs w:val="20"/>
          <w:color w:val="auto"/>
        </w:rPr>
      </w:pPr>
    </w:p>
    <w:p>
      <w:pPr>
        <w:ind w:right="20" w:firstLine="511"/>
        <w:spacing w:after="0" w:line="262" w:lineRule="auto"/>
        <w:rPr>
          <w:sz w:val="20"/>
          <w:szCs w:val="20"/>
          <w:color w:val="auto"/>
        </w:rPr>
      </w:pPr>
      <w:r>
        <w:rPr>
          <w:rFonts w:ascii="Arial" w:cs="Arial" w:eastAsia="Arial" w:hAnsi="Arial"/>
          <w:sz w:val="15"/>
          <w:szCs w:val="15"/>
          <w:color w:val="auto"/>
        </w:rPr>
        <w:t>Our primary uses of cash are to fund our operations and to fund strategic acquisitions as we continue to invest in and seek to grow our business. Cash used to fund operating expenses is impacted by the timing of our expense payments, as reflected in the changes in our outstanding accounts payable and accrued expenses.</w:t>
      </w:r>
    </w:p>
    <w:p>
      <w:pPr>
        <w:spacing w:after="0" w:line="148" w:lineRule="exact"/>
        <w:rPr>
          <w:sz w:val="20"/>
          <w:szCs w:val="20"/>
          <w:color w:val="auto"/>
        </w:rPr>
      </w:pPr>
    </w:p>
    <w:p>
      <w:pPr>
        <w:ind w:right="120" w:firstLine="511"/>
        <w:spacing w:after="0" w:line="320" w:lineRule="auto"/>
        <w:rPr>
          <w:sz w:val="20"/>
          <w:szCs w:val="20"/>
          <w:color w:val="auto"/>
        </w:rPr>
      </w:pPr>
      <w:r>
        <w:rPr>
          <w:rFonts w:ascii="Arial" w:cs="Arial" w:eastAsia="Arial" w:hAnsi="Arial"/>
          <w:sz w:val="12"/>
          <w:szCs w:val="12"/>
          <w:color w:val="auto"/>
        </w:rPr>
        <w:t>We believe our existing cash, cash equivalent, and short-term marketable securities will be sufficient to meet our anticipated cash requirements for at least the next 12 months. Cash provided by operations significantly contributed to our ability to meet our liquidity needs, including paying for capital expenditures. However, cash provided by our operations fluctuates from period to period, which we expect may continue in the future. These fluctuations can occur because of a variety of factors, including, among others, factors relating to the demand for our tests, the amount and timing of sales, the prices we charge for our tests due to changes in product mix, customer mix, general price degradation for tests, or other factors,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21" w:lineRule="exact"/>
        <w:rPr>
          <w:sz w:val="20"/>
          <w:szCs w:val="20"/>
          <w:color w:val="auto"/>
        </w:rPr>
      </w:pPr>
    </w:p>
    <w:p>
      <w:pPr>
        <w:ind w:right="60" w:firstLine="511"/>
        <w:spacing w:after="0" w:line="317" w:lineRule="auto"/>
        <w:rPr>
          <w:sz w:val="20"/>
          <w:szCs w:val="20"/>
          <w:color w:val="auto"/>
        </w:rPr>
      </w:pPr>
      <w:r>
        <w:rPr>
          <w:rFonts w:ascii="Arial" w:cs="Arial" w:eastAsia="Arial" w:hAnsi="Arial"/>
          <w:sz w:val="12"/>
          <w:szCs w:val="12"/>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562" w:right="319" w:bottom="1440" w:gutter="0" w:footer="0" w:header="0"/>
        </w:sectPr>
      </w:pPr>
    </w:p>
    <w:bookmarkStart w:id="26" w:name="page27"/>
    <w:bookmarkEnd w:id="26"/>
    <w:p>
      <w:pPr>
        <w:spacing w:after="0" w:line="252" w:lineRule="auto"/>
        <w:rPr>
          <w:sz w:val="20"/>
          <w:szCs w:val="20"/>
          <w:color w:val="auto"/>
        </w:rPr>
      </w:pPr>
      <w:r>
        <w:rPr>
          <w:rFonts w:ascii="Arial" w:cs="Arial" w:eastAsia="Arial" w:hAnsi="Arial"/>
          <w:sz w:val="15"/>
          <w:szCs w:val="15"/>
          <w:color w:val="auto"/>
        </w:rPr>
        <w:t>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summarizes our cash flows for each of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4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2"/>
                <w:szCs w:val="12"/>
                <w:b w:val="1"/>
                <w:bCs w:val="1"/>
                <w:color w:val="auto"/>
                <w:w w:val="92"/>
              </w:rPr>
              <w:t>Nine Months Ended September 30,</w:t>
            </w: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7"/>
        </w:trPr>
        <w:tc>
          <w:tcPr>
            <w:tcW w:w="6840" w:type="dxa"/>
            <w:vAlign w:val="bottom"/>
          </w:tcPr>
          <w:p>
            <w:pPr>
              <w:spacing w:after="0"/>
              <w:rPr>
                <w:sz w:val="15"/>
                <w:szCs w:val="15"/>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2023</w:t>
            </w:r>
          </w:p>
        </w:tc>
        <w:tc>
          <w:tcPr>
            <w:tcW w:w="8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11"/>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5"/>
                <w:szCs w:val="15"/>
                <w:color w:val="auto"/>
              </w:rPr>
            </w:pPr>
          </w:p>
        </w:tc>
      </w:tr>
      <w:tr>
        <w:trPr>
          <w:trHeight w:val="188"/>
        </w:trPr>
        <w:tc>
          <w:tcPr>
            <w:tcW w:w="6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20" w:type="dxa"/>
            <w:vAlign w:val="bottom"/>
            <w:gridSpan w:val="3"/>
          </w:tcPr>
          <w:p>
            <w:pPr>
              <w:jc w:val="right"/>
              <w:ind w:right="527"/>
              <w:spacing w:after="0"/>
              <w:rPr>
                <w:sz w:val="20"/>
                <w:szCs w:val="20"/>
                <w:color w:val="auto"/>
              </w:rPr>
            </w:pPr>
            <w:r>
              <w:rPr>
                <w:rFonts w:ascii="Arial" w:cs="Arial" w:eastAsia="Arial" w:hAnsi="Arial"/>
                <w:sz w:val="12"/>
                <w:szCs w:val="12"/>
                <w:b w:val="1"/>
                <w:bCs w:val="1"/>
                <w:color w:val="auto"/>
              </w:rPr>
              <w:t>(in thousands)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6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1200" w:type="dxa"/>
            <w:vAlign w:val="bottom"/>
            <w:shd w:val="clear" w:color="auto" w:fill="CFF0FC"/>
          </w:tcPr>
          <w:p>
            <w:pPr>
              <w:jc w:val="right"/>
              <w:ind w:right="1051"/>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12,070</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220,313</w:t>
            </w:r>
          </w:p>
        </w:tc>
        <w:tc>
          <w:tcPr>
            <w:tcW w:w="100" w:type="dxa"/>
            <w:vAlign w:val="bottom"/>
            <w:shd w:val="clear" w:color="auto" w:fill="CFF0FC"/>
          </w:tcPr>
          <w:p>
            <w:pPr>
              <w:spacing w:after="0"/>
              <w:rPr>
                <w:sz w:val="17"/>
                <w:szCs w:val="17"/>
                <w:color w:val="auto"/>
              </w:rPr>
            </w:pPr>
          </w:p>
        </w:tc>
      </w:tr>
      <w:tr>
        <w:trPr>
          <w:trHeight w:val="191"/>
        </w:trPr>
        <w:tc>
          <w:tcPr>
            <w:tcW w:w="6840" w:type="dxa"/>
            <w:vAlign w:val="bottom"/>
          </w:tcPr>
          <w:p>
            <w:pPr>
              <w:ind w:left="20"/>
              <w:spacing w:after="0"/>
              <w:rPr>
                <w:sz w:val="20"/>
                <w:szCs w:val="20"/>
                <w:color w:val="auto"/>
              </w:rPr>
            </w:pPr>
            <w:r>
              <w:rPr>
                <w:rFonts w:ascii="Arial" w:cs="Arial" w:eastAsia="Arial" w:hAnsi="Arial"/>
                <w:sz w:val="15"/>
                <w:szCs w:val="15"/>
                <w:color w:val="auto"/>
              </w:rPr>
              <w:t>Net cash provided by (used in) investing activities</w:t>
            </w:r>
          </w:p>
        </w:tc>
        <w:tc>
          <w:tcPr>
            <w:tcW w:w="1200" w:type="dxa"/>
            <w:vAlign w:val="bottom"/>
          </w:tcPr>
          <w:p>
            <w:pPr>
              <w:jc w:val="right"/>
              <w:ind w:right="1051"/>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14,628</w:t>
            </w:r>
          </w:p>
        </w:tc>
        <w:tc>
          <w:tcPr>
            <w:tcW w:w="340" w:type="dxa"/>
            <w:vAlign w:val="bottom"/>
          </w:tcPr>
          <w:p>
            <w:pPr>
              <w:spacing w:after="0"/>
              <w:rPr>
                <w:sz w:val="16"/>
                <w:szCs w:val="16"/>
                <w:color w:val="auto"/>
              </w:rPr>
            </w:pP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(168,715 )</w:t>
            </w:r>
          </w:p>
        </w:tc>
      </w:tr>
      <w:tr>
        <w:trPr>
          <w:trHeight w:val="202"/>
        </w:trPr>
        <w:tc>
          <w:tcPr>
            <w:tcW w:w="6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cash used in financing activities</w:t>
            </w:r>
          </w:p>
        </w:tc>
        <w:tc>
          <w:tcPr>
            <w:tcW w:w="1200" w:type="dxa"/>
            <w:vAlign w:val="bottom"/>
            <w:shd w:val="clear" w:color="auto" w:fill="CFF0FC"/>
          </w:tcPr>
          <w:p>
            <w:pPr>
              <w:jc w:val="right"/>
              <w:ind w:right="1051"/>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(21,834 )</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(47,548 )</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Activities</w:t>
      </w:r>
    </w:p>
    <w:p>
      <w:pPr>
        <w:spacing w:after="0" w:line="90" w:lineRule="exact"/>
        <w:rPr>
          <w:sz w:val="20"/>
          <w:szCs w:val="20"/>
          <w:color w:val="auto"/>
        </w:rPr>
      </w:pPr>
    </w:p>
    <w:p>
      <w:pPr>
        <w:ind w:right="20" w:firstLine="511"/>
        <w:spacing w:after="0" w:line="325" w:lineRule="auto"/>
        <w:rPr>
          <w:sz w:val="20"/>
          <w:szCs w:val="20"/>
          <w:color w:val="auto"/>
        </w:rPr>
      </w:pPr>
      <w:r>
        <w:rPr>
          <w:rFonts w:ascii="Arial" w:cs="Arial" w:eastAsia="Arial" w:hAnsi="Arial"/>
          <w:sz w:val="12"/>
          <w:szCs w:val="12"/>
          <w:color w:val="auto"/>
        </w:rPr>
        <w:t>Cash provided by operating activities in the nine months ended September 30, 2023 was $12.1 million. The difference between net loss and cash provided in operating activities for the period was primarily due to the effects of $31.5 million in equity-based compensation expenses, $19.6 million in depreciation and amortization, $11.0 million in deferred taxes, and $4.9 million in noncash lease expense, partially offset by negative impact of $4.3 million in provisions for credit loss and $2.4 million in amortization of discount on marketable securities. Changes in operating assets and liabilities primarily consisted of decreases of $7.0 million in accounts payable related to the timing of payments, $4.8 million in operating lease liabilities, and an increase of $2.9 million in other current and long-term assets, partially offset by a decrease of $7.6 million in trade accounts receivable due to the timing of collections.</w:t>
      </w:r>
    </w:p>
    <w:p>
      <w:pPr>
        <w:spacing w:after="0" w:line="115" w:lineRule="exact"/>
        <w:rPr>
          <w:sz w:val="20"/>
          <w:szCs w:val="20"/>
          <w:color w:val="auto"/>
        </w:rPr>
      </w:pPr>
    </w:p>
    <w:p>
      <w:pPr>
        <w:ind w:right="160" w:firstLine="511"/>
        <w:spacing w:after="0" w:line="320" w:lineRule="auto"/>
        <w:rPr>
          <w:sz w:val="20"/>
          <w:szCs w:val="20"/>
          <w:color w:val="auto"/>
        </w:rPr>
      </w:pPr>
      <w:r>
        <w:rPr>
          <w:rFonts w:ascii="Arial" w:cs="Arial" w:eastAsia="Arial" w:hAnsi="Arial"/>
          <w:sz w:val="12"/>
          <w:szCs w:val="12"/>
          <w:color w:val="auto"/>
        </w:rPr>
        <w:t>Cash provided by operating activities in the nine months ended September 30, 2022 was $220.3 million. The difference between net income and cash provided by operating activities for the period was primarily due to the effects of $25.3 million in provision for credit losses, $22.9 million in depreciation and amortization, $22.6 million in equity-based compensation expenses, $4.2 million in amortization of premium of marketable securities, $3.3 million in noncash lease expense, $1.1 million in unrecognized tax benefits, and partially offset by a negative impact of $4.9 million increased deferred tax assets. Cash used in operating activities decreased between periods primarily due to decreases of $32.3 million in accounts payable related to timing of payments, $12.9 million in accrued expenses and other liabilities, $3.3 million in operating and finance lease liabilities, and partially offset by decreases of $24.2 million in trade accounts receivable due to timing of collections and $3.7 million in other current and long-term assets primarily reagents and supplies and prepaid expenses.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Investing Activities</w:t>
      </w:r>
    </w:p>
    <w:p>
      <w:pPr>
        <w:spacing w:after="0" w:line="90" w:lineRule="exact"/>
        <w:rPr>
          <w:sz w:val="20"/>
          <w:szCs w:val="20"/>
          <w:color w:val="auto"/>
        </w:rPr>
      </w:pPr>
    </w:p>
    <w:p>
      <w:pPr>
        <w:ind w:right="460" w:firstLine="511"/>
        <w:spacing w:after="0" w:line="387" w:lineRule="auto"/>
        <w:rPr>
          <w:sz w:val="20"/>
          <w:szCs w:val="20"/>
          <w:color w:val="auto"/>
        </w:rPr>
      </w:pPr>
      <w:r>
        <w:rPr>
          <w:rFonts w:ascii="Arial" w:cs="Arial" w:eastAsia="Arial" w:hAnsi="Arial"/>
          <w:sz w:val="12"/>
          <w:szCs w:val="12"/>
          <w:color w:val="auto"/>
        </w:rPr>
        <w:t>Cash provided by investing activities in the nine months ended September 30, 2023 was $14.6 million, which primarily represents proceeds of $376.9 million from maturities of marketable securities, partially offset by $343.6 million for purchases of marketable securities and $19.1 million for purchases of fixed assets, including real estate.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Cash used in investing activities in the nine months ended September 30, 2022 was $168.7 million, which primarily related to $257.3 million purchase of marketable securities and</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$137.8 million payment related to acquisition of Inform Diagnostics, $15.0 million purchase of preferred stock of a privately held company, purchases of $14.1 million of fixed assets, and $10.0</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million contingent consideration payment made in current period related to a business acquisition in 2021, and partially offset by proceeds of $133.4 million from sale of marketable securities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and $131.7 million related to maturities of marketable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Financing Activities</w:t>
      </w:r>
    </w:p>
    <w:p>
      <w:pPr>
        <w:spacing w:after="0" w:line="90" w:lineRule="exact"/>
        <w:rPr>
          <w:sz w:val="20"/>
          <w:szCs w:val="20"/>
          <w:color w:val="auto"/>
        </w:rPr>
      </w:pPr>
    </w:p>
    <w:p>
      <w:pPr>
        <w:ind w:right="100" w:firstLine="511"/>
        <w:spacing w:after="0" w:line="297" w:lineRule="auto"/>
        <w:rPr>
          <w:sz w:val="20"/>
          <w:szCs w:val="20"/>
          <w:color w:val="auto"/>
        </w:rPr>
      </w:pPr>
      <w:r>
        <w:rPr>
          <w:rFonts w:ascii="Arial" w:cs="Arial" w:eastAsia="Arial" w:hAnsi="Arial"/>
          <w:sz w:val="14"/>
          <w:szCs w:val="14"/>
          <w:color w:val="auto"/>
        </w:rPr>
        <w:t>Cash used in financing activities in the nine months ended September 30, 2023 was $21.8 million, which primarily related to $15.0 million repayment to the margin loan account, $2.4 million repayment to the notes payable, $2.2 million repurchase of common stock, and $1.6 million common stock withholding for employee tax obligations.</w:t>
      </w:r>
    </w:p>
    <w:p>
      <w:pPr>
        <w:spacing w:after="0" w:line="126" w:lineRule="exact"/>
        <w:rPr>
          <w:sz w:val="20"/>
          <w:szCs w:val="20"/>
          <w:color w:val="auto"/>
        </w:rPr>
      </w:pPr>
    </w:p>
    <w:p>
      <w:pPr>
        <w:ind w:right="400" w:firstLine="511"/>
        <w:spacing w:after="0" w:line="262" w:lineRule="auto"/>
        <w:rPr>
          <w:sz w:val="20"/>
          <w:szCs w:val="20"/>
          <w:color w:val="auto"/>
        </w:rPr>
      </w:pPr>
      <w:r>
        <w:rPr>
          <w:rFonts w:ascii="Arial" w:cs="Arial" w:eastAsia="Arial" w:hAnsi="Arial"/>
          <w:sz w:val="15"/>
          <w:szCs w:val="15"/>
          <w:color w:val="auto"/>
        </w:rPr>
        <w:t>Cash used in financing activities in the nine months ended September 30, 2022 was $47.5 million, which primarily related to $45.3 million repurchase of common stock and $1.5 million related to common stock withholding for employee tax obligations.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479" w:right="31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color w:val="auto"/>
        </w:rPr>
        <w:t>Stock Repurchase Program</w:t>
      </w:r>
    </w:p>
    <w:p>
      <w:pPr>
        <w:spacing w:after="0" w:line="94" w:lineRule="exact"/>
        <w:rPr>
          <w:sz w:val="20"/>
          <w:szCs w:val="20"/>
          <w:color w:val="auto"/>
        </w:rPr>
      </w:pPr>
    </w:p>
    <w:p>
      <w:pPr>
        <w:ind w:right="140" w:firstLine="511"/>
        <w:spacing w:after="0" w:line="262" w:lineRule="auto"/>
        <w:rPr>
          <w:sz w:val="20"/>
          <w:szCs w:val="20"/>
          <w:color w:val="auto"/>
        </w:rPr>
      </w:pPr>
      <w:r>
        <w:rPr>
          <w:rFonts w:ascii="Arial" w:cs="Arial" w:eastAsia="Arial" w:hAnsi="Arial"/>
          <w:sz w:val="15"/>
          <w:szCs w:val="15"/>
          <w:color w:val="auto"/>
        </w:rPr>
        <w:t>In March 2022, the Board authorized a $250.0 million stock repurchase program. Under the stock repurchase program, the Company may repurchase shares from time to time in the open market or in privately negotiated transactions. The stock repurchase program has no expiration from the date of authorization.</w:t>
      </w:r>
    </w:p>
    <w:p>
      <w:pPr>
        <w:spacing w:after="0" w:line="148" w:lineRule="exact"/>
        <w:rPr>
          <w:sz w:val="20"/>
          <w:szCs w:val="20"/>
          <w:color w:val="auto"/>
        </w:rPr>
      </w:pPr>
    </w:p>
    <w:p>
      <w:pPr>
        <w:ind w:right="20" w:firstLine="511"/>
        <w:spacing w:after="0" w:line="249" w:lineRule="auto"/>
        <w:rPr>
          <w:sz w:val="20"/>
          <w:szCs w:val="20"/>
          <w:color w:val="auto"/>
        </w:rPr>
      </w:pPr>
      <w:r>
        <w:rPr>
          <w:rFonts w:ascii="Arial" w:cs="Arial" w:eastAsia="Arial" w:hAnsi="Arial"/>
          <w:sz w:val="15"/>
          <w:szCs w:val="15"/>
          <w:color w:val="auto"/>
        </w:rPr>
        <w:t>During the three and nine months ended September 30, 2023, we repurchased 80,000 shares common stock at an aggregate cost of $2.2 million under the stock repurchase program. During the three months ended September 30, 2022, we repurchased 780,000 shares of our common stock at an aggregate cost of $34.7 million, and during the nine months ended September 30, 2022, we repurchased 995,000 shares of our common stock at an aggregate cost of $45.3 million. As of September 30, 2023, a total of approximately $173.5 million remained available for future repurchases of our common stock under our stock repurchase program.</w:t>
      </w:r>
    </w:p>
    <w:p>
      <w:pPr>
        <w:spacing w:after="0" w:line="242"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Critical Accounting Policies and Use of Estimates</w:t>
      </w:r>
    </w:p>
    <w:p>
      <w:pPr>
        <w:spacing w:after="0" w:line="94" w:lineRule="exact"/>
        <w:rPr>
          <w:sz w:val="20"/>
          <w:szCs w:val="20"/>
          <w:color w:val="auto"/>
        </w:rPr>
      </w:pPr>
    </w:p>
    <w:p>
      <w:pPr>
        <w:ind w:right="340" w:firstLine="511"/>
        <w:spacing w:after="0" w:line="262" w:lineRule="auto"/>
        <w:rPr>
          <w:sz w:val="20"/>
          <w:szCs w:val="20"/>
          <w:color w:val="auto"/>
        </w:rPr>
      </w:pPr>
      <w:r>
        <w:rPr>
          <w:rFonts w:ascii="Arial" w:cs="Arial" w:eastAsia="Arial" w:hAnsi="Arial"/>
          <w:sz w:val="15"/>
          <w:szCs w:val="15"/>
          <w:color w:val="auto"/>
        </w:rPr>
        <w:t>There have been no material changes to our critical accounting policies or estimates from the information provided in Part II, Item 7, “Management’s Discussion and Analysis of Financial Condition and Results of Operations,” included in the 2022 Annual Report.</w:t>
      </w:r>
    </w:p>
    <w:p>
      <w:pPr>
        <w:spacing w:after="0" w:line="232"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Recent Accounting Pronouncements</w:t>
      </w:r>
    </w:p>
    <w:p>
      <w:pPr>
        <w:spacing w:after="0" w:line="94" w:lineRule="exact"/>
        <w:rPr>
          <w:sz w:val="20"/>
          <w:szCs w:val="20"/>
          <w:color w:val="auto"/>
        </w:rPr>
      </w:pPr>
    </w:p>
    <w:p>
      <w:pPr>
        <w:ind w:right="660" w:firstLine="511"/>
        <w:spacing w:after="0" w:line="262" w:lineRule="auto"/>
        <w:rPr>
          <w:sz w:val="20"/>
          <w:szCs w:val="20"/>
          <w:color w:val="auto"/>
        </w:rPr>
      </w:pPr>
      <w:r>
        <w:rPr>
          <w:rFonts w:ascii="Arial" w:cs="Arial" w:eastAsia="Arial" w:hAnsi="Arial"/>
          <w:sz w:val="15"/>
          <w:szCs w:val="15"/>
          <w:color w:val="auto"/>
        </w:rPr>
        <w:t xml:space="preserve">See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to our condensed consolidated financial statements included in this report for information about recent accounting pronouncements.</w:t>
      </w:r>
    </w:p>
    <w:p>
      <w:pPr>
        <w:spacing w:after="0" w:line="232"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auto"/>
        </w:rPr>
        <w:t>Off-Balance Sheet Arrangements</w:t>
      </w:r>
    </w:p>
    <w:p>
      <w:pPr>
        <w:spacing w:after="0" w:line="94" w:lineRule="exact"/>
        <w:rPr>
          <w:sz w:val="20"/>
          <w:szCs w:val="20"/>
          <w:color w:val="auto"/>
        </w:rPr>
      </w:pPr>
    </w:p>
    <w:p>
      <w:pPr>
        <w:ind w:firstLine="511"/>
        <w:spacing w:after="0" w:line="252" w:lineRule="auto"/>
        <w:rPr>
          <w:sz w:val="20"/>
          <w:szCs w:val="20"/>
          <w:color w:val="auto"/>
        </w:rPr>
      </w:pPr>
      <w:r>
        <w:rPr>
          <w:rFonts w:ascii="Arial" w:cs="Arial" w:eastAsia="Arial" w:hAnsi="Arial"/>
          <w:sz w:val="15"/>
          <w:szCs w:val="15"/>
          <w:color w:val="auto"/>
        </w:rPr>
        <w:t>We did not have during the periods presented, and do not currently have, any off-balance sheet arrangements,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quantitative and qualitative disclosures about market risk, see Part II, Item 7A, “Quantitative and Qualitative Disclosures About Market Risk,” in our 2022 Annual Report.</w:t>
      </w: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94" w:lineRule="exact"/>
        <w:rPr>
          <w:sz w:val="20"/>
          <w:szCs w:val="20"/>
          <w:color w:val="auto"/>
        </w:rPr>
      </w:pPr>
    </w:p>
    <w:p>
      <w:pPr>
        <w:ind w:right="40" w:firstLine="511"/>
        <w:spacing w:after="0" w:line="318" w:lineRule="auto"/>
        <w:rPr>
          <w:sz w:val="20"/>
          <w:szCs w:val="20"/>
          <w:color w:val="auto"/>
        </w:rPr>
      </w:pPr>
      <w:r>
        <w:rPr>
          <w:rFonts w:ascii="Arial" w:cs="Arial" w:eastAsia="Arial" w:hAnsi="Arial"/>
          <w:sz w:val="12"/>
          <w:szCs w:val="12"/>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Chief Executive Officer and Chief Financial Officer, conducted an evaluation of the effectiveness of our disclosure controls and procedures as of September 30, 2023. Based on this evaluation, our Chief Executive Officer and Chief Financial Officer concluded that our disclosure controls and procedures were effective as of September 30, 2023.</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94" w:lineRule="exact"/>
        <w:rPr>
          <w:sz w:val="20"/>
          <w:szCs w:val="20"/>
          <w:color w:val="auto"/>
        </w:rPr>
      </w:pPr>
    </w:p>
    <w:p>
      <w:pPr>
        <w:ind w:firstLine="511"/>
        <w:spacing w:after="0" w:line="262" w:lineRule="auto"/>
        <w:rPr>
          <w:sz w:val="20"/>
          <w:szCs w:val="20"/>
          <w:color w:val="auto"/>
        </w:rPr>
      </w:pPr>
      <w:r>
        <w:rPr>
          <w:rFonts w:ascii="Arial" w:cs="Arial" w:eastAsia="Arial" w:hAnsi="Arial"/>
          <w:sz w:val="15"/>
          <w:szCs w:val="15"/>
          <w:color w:val="auto"/>
        </w:rPr>
        <w:t>There have not been any changes in our internal control (as required by Rule 13a-15(b) under the Exchange Act) over the financial reporting during the three months ended September 30, 2023 that have materially affected or are reasonably likely to materially affect our internal control over financial reporting.</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180"/>
          </w:cols>
          <w:pgMar w:left="300" w:top="562" w:right="419" w:bottom="1440" w:gutter="0" w:footer="0" w:header="0"/>
        </w:sectPr>
      </w:pPr>
    </w:p>
    <w:bookmarkStart w:id="28" w:name="page29"/>
    <w:bookmarkEnd w:id="28"/>
    <w:p>
      <w:pPr>
        <w:jc w:val="center"/>
        <w:ind w:right="-139"/>
        <w:spacing w:after="0"/>
        <w:rPr>
          <w:sz w:val="20"/>
          <w:szCs w:val="20"/>
          <w:color w:val="auto"/>
        </w:rPr>
      </w:pPr>
      <w:r>
        <w:rPr>
          <w:rFonts w:ascii="Arial" w:cs="Arial" w:eastAsia="Arial" w:hAnsi="Arial"/>
          <w:sz w:val="15"/>
          <w:szCs w:val="15"/>
          <w:b w:val="1"/>
          <w:bCs w:val="1"/>
          <w:color w:val="auto"/>
        </w:rPr>
        <w:t>Inherent Limitations on Disclosure Controls and Procedures and Internal Control over Financial Reporting</w:t>
      </w:r>
    </w:p>
    <w:p>
      <w:pPr>
        <w:spacing w:after="0" w:line="94" w:lineRule="exact"/>
        <w:rPr>
          <w:sz w:val="20"/>
          <w:szCs w:val="20"/>
          <w:color w:val="auto"/>
        </w:rPr>
      </w:pPr>
    </w:p>
    <w:p>
      <w:pPr>
        <w:ind w:firstLine="511"/>
        <w:spacing w:after="0" w:line="248" w:lineRule="auto"/>
        <w:rPr>
          <w:sz w:val="20"/>
          <w:szCs w:val="20"/>
          <w:color w:val="auto"/>
        </w:rPr>
      </w:pPr>
      <w:r>
        <w:rPr>
          <w:rFonts w:ascii="Arial" w:cs="Arial" w:eastAsia="Arial" w:hAnsi="Arial"/>
          <w:sz w:val="15"/>
          <w:szCs w:val="15"/>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140"/>
          </w:cols>
          <w:pgMar w:left="300" w:top="562" w:right="459" w:bottom="1440" w:gutter="0" w:footer="0" w:header="0"/>
        </w:sectPr>
      </w:pPr>
    </w:p>
    <w:bookmarkStart w:id="29" w:name="page30"/>
    <w:bookmarkEnd w:id="29"/>
    <w:p>
      <w:pPr>
        <w:jc w:val="center"/>
        <w:spacing w:after="0"/>
        <w:rPr>
          <w:sz w:val="20"/>
          <w:szCs w:val="20"/>
          <w:color w:val="auto"/>
        </w:rPr>
      </w:pPr>
      <w:r>
        <w:rPr>
          <w:rFonts w:ascii="Arial" w:cs="Arial" w:eastAsia="Arial" w:hAnsi="Arial"/>
          <w:sz w:val="15"/>
          <w:szCs w:val="15"/>
          <w:b w:val="1"/>
          <w:bCs w:val="1"/>
          <w:color w:val="auto"/>
        </w:rPr>
        <w:t>PART II—OTHER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Legal Proceedings.</w:t>
      </w:r>
    </w:p>
    <w:p>
      <w:pPr>
        <w:spacing w:after="0" w:line="94" w:lineRule="exact"/>
        <w:rPr>
          <w:sz w:val="20"/>
          <w:szCs w:val="20"/>
          <w:color w:val="auto"/>
        </w:rPr>
      </w:pPr>
    </w:p>
    <w:p>
      <w:pPr>
        <w:ind w:right="120" w:firstLine="511"/>
        <w:spacing w:after="0" w:line="252" w:lineRule="auto"/>
        <w:rPr>
          <w:sz w:val="20"/>
          <w:szCs w:val="20"/>
          <w:color w:val="auto"/>
        </w:rPr>
      </w:pPr>
      <w:r>
        <w:rPr>
          <w:rFonts w:ascii="Arial" w:cs="Arial" w:eastAsia="Arial" w:hAnsi="Arial"/>
          <w:sz w:val="15"/>
          <w:szCs w:val="15"/>
          <w:color w:val="auto"/>
        </w:rPr>
        <w:t>From time to time, we may be involved in legal proceedings arising in the ordinary course of our business. As disclosed in Note 8, Debt, Commitments and Contingencies to the Condensed Consolidated Financial Statements, we are engaged in certain legal investigations, and the disclosure set forth in Note 8 relating to these certain legal matters is incorporated herein by reference.</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outcome of litigation is inherently uncertain, and there can be no assurances that favorable outcome will be obtained.</w:t>
      </w:r>
    </w:p>
    <w:p>
      <w:pPr>
        <w:spacing w:after="0" w:line="90" w:lineRule="exact"/>
        <w:rPr>
          <w:sz w:val="20"/>
          <w:szCs w:val="20"/>
          <w:color w:val="auto"/>
        </w:rPr>
      </w:pPr>
    </w:p>
    <w:p>
      <w:pPr>
        <w:ind w:right="140" w:firstLine="511"/>
        <w:spacing w:after="0" w:line="262" w:lineRule="auto"/>
        <w:rPr>
          <w:sz w:val="20"/>
          <w:szCs w:val="20"/>
          <w:color w:val="auto"/>
        </w:rPr>
      </w:pPr>
      <w:r>
        <w:rPr>
          <w:rFonts w:ascii="Arial" w:cs="Arial" w:eastAsia="Arial" w:hAnsi="Arial"/>
          <w:sz w:val="15"/>
          <w:szCs w:val="15"/>
          <w:color w:val="auto"/>
        </w:rPr>
        <w:t>Regardless of outcome, litigation can have an adverse impact on us due to defense and settlement costs, diversion of management resources, negative publicity and reputational harm, among other factors.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There have been no material changes to the risk factors set forth in Part I, Item 1A, “Risk Factors,” of the 2022 Annual Report.</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Unregistered Sales of Equity Securities, Use of Proceeds, and Issuer Purchases of Equity Securities.</w:t>
      </w:r>
    </w:p>
    <w:p>
      <w:pPr>
        <w:spacing w:after="0" w:line="90" w:lineRule="exact"/>
        <w:rPr>
          <w:sz w:val="20"/>
          <w:szCs w:val="20"/>
          <w:color w:val="auto"/>
        </w:rPr>
      </w:pPr>
    </w:p>
    <w:p>
      <w:pPr>
        <w:ind w:left="4460"/>
        <w:spacing w:after="0"/>
        <w:rPr>
          <w:sz w:val="20"/>
          <w:szCs w:val="20"/>
          <w:color w:val="auto"/>
        </w:rPr>
      </w:pPr>
      <w:r>
        <w:rPr>
          <w:rFonts w:ascii="Arial" w:cs="Arial" w:eastAsia="Arial" w:hAnsi="Arial"/>
          <w:sz w:val="15"/>
          <w:szCs w:val="15"/>
          <w:b w:val="1"/>
          <w:bCs w:val="1"/>
          <w:color w:val="auto"/>
        </w:rPr>
        <w:t>Use of Proceeds from Registered Securities</w:t>
      </w:r>
    </w:p>
    <w:p>
      <w:pPr>
        <w:spacing w:after="0" w:line="94" w:lineRule="exact"/>
        <w:rPr>
          <w:sz w:val="20"/>
          <w:szCs w:val="20"/>
          <w:color w:val="auto"/>
        </w:rPr>
      </w:pPr>
    </w:p>
    <w:p>
      <w:pPr>
        <w:ind w:right="120" w:firstLine="511"/>
        <w:spacing w:after="0" w:line="332" w:lineRule="auto"/>
        <w:rPr>
          <w:sz w:val="20"/>
          <w:szCs w:val="20"/>
          <w:color w:val="auto"/>
        </w:rPr>
      </w:pPr>
      <w:r>
        <w:rPr>
          <w:rFonts w:ascii="Arial" w:cs="Arial" w:eastAsia="Arial" w:hAnsi="Arial"/>
          <w:sz w:val="12"/>
          <w:szCs w:val="12"/>
          <w:color w:val="auto"/>
        </w:rPr>
        <w:t>To date, we have used $121.7 million of the net proceeds from sales of our common stock, of which, $4.5 million was used for contributions to FF Gene Biotech, prior to the FF Gene Biotech acquisition, $101.4 million was used to fund the Company’s operations and a business combination, and $15.8 million was used to pay off the investment margin loan. All other net proceeds from sales of our common stock are invested in investment-grade and interest-bearing securities, such as U.S. government and U.S. agency debt securities, corporate bonds, and municipal bonds. There has been no material change in the planned use of proceeds from the sales of our common stock from that described in the Prospectus.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Information on Share Repurchases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repurchased 80,000 shares common stock during the three and nine months ended September 30, 2023. The number of shares of common stock repurchased by the</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Company and the average price paid per share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87"/>
              </w:rPr>
              <w:t>(c) Total Number of 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72"/>
              <w:spacing w:after="0"/>
              <w:rPr>
                <w:sz w:val="20"/>
                <w:szCs w:val="20"/>
                <w:color w:val="auto"/>
              </w:rPr>
            </w:pPr>
            <w:r>
              <w:rPr>
                <w:rFonts w:ascii="Arial" w:cs="Arial" w:eastAsia="Arial" w:hAnsi="Arial"/>
                <w:sz w:val="12"/>
                <w:szCs w:val="12"/>
                <w:b w:val="1"/>
                <w:bCs w:val="1"/>
                <w:color w:val="auto"/>
                <w:w w:val="93"/>
              </w:rPr>
              <w:t>(d) Maximum Dollar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760" w:type="dxa"/>
            <w:vAlign w:val="bottom"/>
            <w:vMerge w:val="restart"/>
          </w:tcPr>
          <w:p>
            <w:pPr>
              <w:ind w:left="2220"/>
              <w:spacing w:after="0"/>
              <w:rPr>
                <w:sz w:val="20"/>
                <w:szCs w:val="20"/>
                <w:color w:val="auto"/>
              </w:rPr>
            </w:pPr>
            <w:r>
              <w:rPr>
                <w:rFonts w:ascii="Arial" w:cs="Arial" w:eastAsia="Arial" w:hAnsi="Arial"/>
                <w:sz w:val="12"/>
                <w:szCs w:val="12"/>
                <w:b w:val="1"/>
                <w:bCs w:val="1"/>
                <w:color w:val="auto"/>
              </w:rPr>
              <w:t>Period</w:t>
            </w:r>
          </w:p>
        </w:tc>
        <w:tc>
          <w:tcPr>
            <w:tcW w:w="120" w:type="dxa"/>
            <w:vAlign w:val="bottom"/>
          </w:tcPr>
          <w:p>
            <w:pPr>
              <w:spacing w:after="0"/>
              <w:rPr>
                <w:sz w:val="10"/>
                <w:szCs w:val="10"/>
                <w:color w:val="auto"/>
              </w:rPr>
            </w:pPr>
          </w:p>
        </w:tc>
        <w:tc>
          <w:tcPr>
            <w:tcW w:w="142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88"/>
              </w:rPr>
              <w:t>(a) Total Number of Shares</w:t>
            </w:r>
          </w:p>
        </w:tc>
        <w:tc>
          <w:tcPr>
            <w:tcW w:w="280" w:type="dxa"/>
            <w:vAlign w:val="bottom"/>
          </w:tcPr>
          <w:p>
            <w:pPr>
              <w:spacing w:after="0"/>
              <w:rPr>
                <w:sz w:val="10"/>
                <w:szCs w:val="10"/>
                <w:color w:val="auto"/>
              </w:rPr>
            </w:pPr>
          </w:p>
        </w:tc>
        <w:tc>
          <w:tcPr>
            <w:tcW w:w="136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auto"/>
                <w:w w:val="87"/>
              </w:rPr>
              <w:t>(b) Average Price Paid Per</w:t>
            </w:r>
          </w:p>
        </w:tc>
        <w:tc>
          <w:tcPr>
            <w:tcW w:w="220" w:type="dxa"/>
            <w:vAlign w:val="bottom"/>
          </w:tcPr>
          <w:p>
            <w:pPr>
              <w:spacing w:after="0"/>
              <w:rPr>
                <w:sz w:val="10"/>
                <w:szCs w:val="10"/>
                <w:color w:val="auto"/>
              </w:rPr>
            </w:pPr>
          </w:p>
        </w:tc>
        <w:tc>
          <w:tcPr>
            <w:tcW w:w="14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7"/>
              </w:rPr>
              <w:t>Purchased As Part of</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right="72"/>
              <w:spacing w:after="0" w:line="121" w:lineRule="exact"/>
              <w:rPr>
                <w:sz w:val="20"/>
                <w:szCs w:val="20"/>
                <w:color w:val="auto"/>
              </w:rPr>
            </w:pPr>
            <w:r>
              <w:rPr>
                <w:rFonts w:ascii="Arial" w:cs="Arial" w:eastAsia="Arial" w:hAnsi="Arial"/>
                <w:sz w:val="12"/>
                <w:szCs w:val="12"/>
                <w:b w:val="1"/>
                <w:bCs w:val="1"/>
                <w:color w:val="auto"/>
                <w:w w:val="89"/>
              </w:rPr>
              <w:t>Value that May Yet Be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vMerge w:val="restart"/>
          </w:tcPr>
          <w:p>
            <w:pPr>
              <w:jc w:val="right"/>
              <w:ind w:right="374"/>
              <w:spacing w:after="0" w:line="121" w:lineRule="exact"/>
              <w:rPr>
                <w:sz w:val="20"/>
                <w:szCs w:val="20"/>
                <w:color w:val="auto"/>
              </w:rPr>
            </w:pPr>
            <w:r>
              <w:rPr>
                <w:rFonts w:ascii="Arial" w:cs="Arial" w:eastAsia="Arial" w:hAnsi="Arial"/>
                <w:sz w:val="12"/>
                <w:szCs w:val="12"/>
                <w:b w:val="1"/>
                <w:bCs w:val="1"/>
                <w:color w:val="auto"/>
              </w:rPr>
              <w:t>Purchased</w:t>
            </w: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vMerge w:val="restart"/>
          </w:tcPr>
          <w:p>
            <w:pPr>
              <w:jc w:val="right"/>
              <w:ind w:right="369"/>
              <w:spacing w:after="0" w:line="121" w:lineRule="exact"/>
              <w:rPr>
                <w:sz w:val="20"/>
                <w:szCs w:val="20"/>
                <w:color w:val="auto"/>
              </w:rPr>
            </w:pPr>
            <w:r>
              <w:rPr>
                <w:rFonts w:ascii="Arial" w:cs="Arial" w:eastAsia="Arial" w:hAnsi="Arial"/>
                <w:sz w:val="12"/>
                <w:szCs w:val="12"/>
                <w:b w:val="1"/>
                <w:bCs w:val="1"/>
                <w:color w:val="auto"/>
              </w:rPr>
              <w:t>Share (1)</w:t>
            </w:r>
          </w:p>
        </w:tc>
        <w:tc>
          <w:tcPr>
            <w:tcW w:w="220" w:type="dxa"/>
            <w:vAlign w:val="bottom"/>
          </w:tcPr>
          <w:p>
            <w:pPr>
              <w:spacing w:after="0"/>
              <w:rPr>
                <w:sz w:val="7"/>
                <w:szCs w:val="7"/>
                <w:color w:val="auto"/>
              </w:rPr>
            </w:pPr>
          </w:p>
        </w:tc>
        <w:tc>
          <w:tcPr>
            <w:tcW w:w="1400" w:type="dxa"/>
            <w:vAlign w:val="bottom"/>
            <w:vMerge w:val="restart"/>
          </w:tcPr>
          <w:p>
            <w:pPr>
              <w:jc w:val="center"/>
              <w:spacing w:after="0" w:line="121" w:lineRule="exact"/>
              <w:rPr>
                <w:sz w:val="20"/>
                <w:szCs w:val="20"/>
                <w:color w:val="auto"/>
              </w:rPr>
            </w:pPr>
            <w:r>
              <w:rPr>
                <w:rFonts w:ascii="Arial" w:cs="Arial" w:eastAsia="Arial" w:hAnsi="Arial"/>
                <w:sz w:val="12"/>
                <w:szCs w:val="12"/>
                <w:b w:val="1"/>
                <w:bCs w:val="1"/>
                <w:color w:val="auto"/>
                <w:w w:val="86"/>
              </w:rPr>
              <w:t>Publicly Announced Plans</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vMerge w:val="restart"/>
          </w:tcPr>
          <w:p>
            <w:pPr>
              <w:jc w:val="center"/>
              <w:ind w:right="52"/>
              <w:spacing w:after="0" w:line="121" w:lineRule="exact"/>
              <w:rPr>
                <w:sz w:val="20"/>
                <w:szCs w:val="20"/>
                <w:color w:val="auto"/>
              </w:rPr>
            </w:pPr>
            <w:r>
              <w:rPr>
                <w:rFonts w:ascii="Arial" w:cs="Arial" w:eastAsia="Arial" w:hAnsi="Arial"/>
                <w:sz w:val="12"/>
                <w:szCs w:val="12"/>
                <w:b w:val="1"/>
                <w:bCs w:val="1"/>
                <w:color w:val="auto"/>
                <w:w w:val="87"/>
              </w:rPr>
              <w:t>Purchased Under the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4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or Programs</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6"/>
              </w:rPr>
              <w:t>Plans or Programs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60" w:type="dxa"/>
            <w:vAlign w:val="bottom"/>
            <w:shd w:val="clear" w:color="auto" w:fill="CFF0FC"/>
          </w:tcPr>
          <w:p>
            <w:pPr>
              <w:ind w:left="20"/>
              <w:spacing w:after="0"/>
              <w:rPr>
                <w:sz w:val="20"/>
                <w:szCs w:val="20"/>
                <w:color w:val="auto"/>
              </w:rPr>
            </w:pPr>
            <w:r>
              <w:rPr>
                <w:rFonts w:ascii="Arial" w:cs="Arial" w:eastAsia="Arial" w:hAnsi="Arial"/>
                <w:sz w:val="15"/>
                <w:szCs w:val="15"/>
                <w:color w:val="auto"/>
              </w:rPr>
              <w:t>May 2022 (5/1/2022 - 5/31/2022)</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30,000</w:t>
            </w:r>
          </w:p>
        </w:tc>
        <w:tc>
          <w:tcPr>
            <w:tcW w:w="560" w:type="dxa"/>
            <w:vAlign w:val="bottom"/>
            <w:gridSpan w:val="2"/>
            <w:shd w:val="clear" w:color="auto" w:fill="CFF0FC"/>
          </w:tcPr>
          <w:p>
            <w:pPr>
              <w:ind w:left="30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49.56</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30,000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248,515,000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60" w:type="dxa"/>
            <w:vAlign w:val="bottom"/>
          </w:tcPr>
          <w:p>
            <w:pPr>
              <w:ind w:left="20"/>
              <w:spacing w:after="0"/>
              <w:rPr>
                <w:sz w:val="20"/>
                <w:szCs w:val="20"/>
                <w:color w:val="auto"/>
              </w:rPr>
            </w:pPr>
            <w:r>
              <w:rPr>
                <w:rFonts w:ascii="Arial" w:cs="Arial" w:eastAsia="Arial" w:hAnsi="Arial"/>
                <w:sz w:val="15"/>
                <w:szCs w:val="15"/>
                <w:color w:val="auto"/>
              </w:rPr>
              <w:t>June 2022 (6/1/2022 - 6/30/2022)</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185,000</w:t>
            </w:r>
          </w:p>
        </w:tc>
        <w:tc>
          <w:tcPr>
            <w:tcW w:w="56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48.97</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185,000</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239,429,000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60" w:type="dxa"/>
            <w:vAlign w:val="bottom"/>
            <w:shd w:val="clear" w:color="auto" w:fill="CFF0FC"/>
          </w:tcPr>
          <w:p>
            <w:pPr>
              <w:ind w:left="20"/>
              <w:spacing w:after="0"/>
              <w:rPr>
                <w:sz w:val="20"/>
                <w:szCs w:val="20"/>
                <w:color w:val="auto"/>
              </w:rPr>
            </w:pPr>
            <w:r>
              <w:rPr>
                <w:rFonts w:ascii="Arial" w:cs="Arial" w:eastAsia="Arial" w:hAnsi="Arial"/>
                <w:sz w:val="15"/>
                <w:szCs w:val="15"/>
                <w:color w:val="auto"/>
              </w:rPr>
              <w:t>August 2022 (8/1/2022 - 8/31/2022)</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247,000</w:t>
            </w:r>
          </w:p>
        </w:tc>
        <w:tc>
          <w:tcPr>
            <w:tcW w:w="560" w:type="dxa"/>
            <w:vAlign w:val="bottom"/>
            <w:gridSpan w:val="2"/>
            <w:shd w:val="clear" w:color="auto" w:fill="CFF0FC"/>
          </w:tcPr>
          <w:p>
            <w:pPr>
              <w:ind w:left="30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47.68</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247,000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227,657,000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760" w:type="dxa"/>
            <w:vAlign w:val="bottom"/>
          </w:tcPr>
          <w:p>
            <w:pPr>
              <w:ind w:left="20"/>
              <w:spacing w:after="0"/>
              <w:rPr>
                <w:sz w:val="20"/>
                <w:szCs w:val="20"/>
                <w:color w:val="auto"/>
              </w:rPr>
            </w:pPr>
            <w:r>
              <w:rPr>
                <w:rFonts w:ascii="Arial" w:cs="Arial" w:eastAsia="Arial" w:hAnsi="Arial"/>
                <w:sz w:val="15"/>
                <w:szCs w:val="15"/>
                <w:color w:val="auto"/>
              </w:rPr>
              <w:t>September 2022 (9/1/2022 - 9/30/2022)</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533,000</w:t>
            </w:r>
          </w:p>
        </w:tc>
        <w:tc>
          <w:tcPr>
            <w:tcW w:w="56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43.04</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533,000</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204,752,000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60" w:type="dxa"/>
            <w:vAlign w:val="bottom"/>
            <w:shd w:val="clear" w:color="auto" w:fill="CFF0FC"/>
          </w:tcPr>
          <w:p>
            <w:pPr>
              <w:ind w:left="20"/>
              <w:spacing w:after="0"/>
              <w:rPr>
                <w:sz w:val="20"/>
                <w:szCs w:val="20"/>
                <w:color w:val="auto"/>
              </w:rPr>
            </w:pPr>
            <w:r>
              <w:rPr>
                <w:rFonts w:ascii="Arial" w:cs="Arial" w:eastAsia="Arial" w:hAnsi="Arial"/>
                <w:sz w:val="15"/>
                <w:szCs w:val="15"/>
                <w:color w:val="auto"/>
              </w:rPr>
              <w:t>October 2022 (10/1/2022 - 10/31/2022)</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244,000</w:t>
            </w:r>
          </w:p>
        </w:tc>
        <w:tc>
          <w:tcPr>
            <w:tcW w:w="560" w:type="dxa"/>
            <w:vAlign w:val="bottom"/>
            <w:gridSpan w:val="2"/>
            <w:shd w:val="clear" w:color="auto" w:fill="CFF0FC"/>
          </w:tcPr>
          <w:p>
            <w:pPr>
              <w:ind w:left="30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37.33</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244,000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195,661,000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760" w:type="dxa"/>
            <w:vAlign w:val="bottom"/>
          </w:tcPr>
          <w:p>
            <w:pPr>
              <w:ind w:left="20"/>
              <w:spacing w:after="0"/>
              <w:rPr>
                <w:sz w:val="20"/>
                <w:szCs w:val="20"/>
                <w:color w:val="auto"/>
              </w:rPr>
            </w:pPr>
            <w:r>
              <w:rPr>
                <w:rFonts w:ascii="Arial" w:cs="Arial" w:eastAsia="Arial" w:hAnsi="Arial"/>
                <w:sz w:val="15"/>
                <w:szCs w:val="15"/>
                <w:color w:val="auto"/>
              </w:rPr>
              <w:t>November 2022 (11/1/2022 - 11/30/2022)</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234,000</w:t>
            </w:r>
          </w:p>
        </w:tc>
        <w:tc>
          <w:tcPr>
            <w:tcW w:w="56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35.83</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234,000</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187,276,000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6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December 2022 (12/1/2022 - 12/31/2022)</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337,000</w:t>
            </w:r>
          </w:p>
        </w:tc>
        <w:tc>
          <w:tcPr>
            <w:tcW w:w="560" w:type="dxa"/>
            <w:vAlign w:val="bottom"/>
            <w:gridSpan w:val="2"/>
            <w:shd w:val="clear" w:color="auto" w:fill="CFF0FC"/>
          </w:tcPr>
          <w:p>
            <w:pPr>
              <w:ind w:left="30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34.32</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337,000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175,718,000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60" w:type="dxa"/>
            <w:vAlign w:val="bottom"/>
          </w:tcPr>
          <w:p>
            <w:pPr>
              <w:ind w:left="20"/>
              <w:spacing w:after="0"/>
              <w:rPr>
                <w:sz w:val="20"/>
                <w:szCs w:val="20"/>
                <w:color w:val="auto"/>
              </w:rPr>
            </w:pPr>
            <w:r>
              <w:rPr>
                <w:rFonts w:ascii="Arial" w:cs="Arial" w:eastAsia="Arial" w:hAnsi="Arial"/>
                <w:sz w:val="15"/>
                <w:szCs w:val="15"/>
                <w:color w:val="auto"/>
              </w:rPr>
              <w:t>September 2023 (9/1/2023-9/30/2023)</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80,000</w:t>
            </w:r>
          </w:p>
        </w:tc>
        <w:tc>
          <w:tcPr>
            <w:tcW w:w="56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27.65</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80,000</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173,522,000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1,890,000</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1,890,000</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-20320</wp:posOffset>
            </wp:positionV>
            <wp:extent cx="76200"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-6350</wp:posOffset>
            </wp:positionV>
            <wp:extent cx="7620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200" cy="6985"/>
                    </a:xfrm>
                    <a:prstGeom prst="rect">
                      <a:avLst/>
                    </a:prstGeom>
                    <a:noFill/>
                  </pic:spPr>
                </pic:pic>
              </a:graphicData>
            </a:graphic>
          </wp:anchor>
        </w:drawing>
        <w:drawing>
          <wp:anchor simplePos="0" relativeHeight="251657728" behindDoc="1" locked="0" layoutInCell="0" allowOverlap="1">
            <wp:simplePos x="0" y="0"/>
            <wp:positionH relativeFrom="column">
              <wp:posOffset>6073140</wp:posOffset>
            </wp:positionH>
            <wp:positionV relativeFrom="paragraph">
              <wp:posOffset>-20320</wp:posOffset>
            </wp:positionV>
            <wp:extent cx="69215"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215" cy="6985"/>
                    </a:xfrm>
                    <a:prstGeom prst="rect">
                      <a:avLst/>
                    </a:prstGeom>
                    <a:noFill/>
                  </pic:spPr>
                </pic:pic>
              </a:graphicData>
            </a:graphic>
          </wp:anchor>
        </w:drawing>
        <w:drawing>
          <wp:anchor simplePos="0" relativeHeight="251657728" behindDoc="1" locked="0" layoutInCell="0" allowOverlap="1">
            <wp:simplePos x="0" y="0"/>
            <wp:positionH relativeFrom="column">
              <wp:posOffset>6073140</wp:posOffset>
            </wp:positionH>
            <wp:positionV relativeFrom="paragraph">
              <wp:posOffset>-6350</wp:posOffset>
            </wp:positionV>
            <wp:extent cx="69215"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215" cy="698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(1) Includes commissions for the shares repurchased under the stock repurchase program.</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Other Information</w:t>
      </w:r>
    </w:p>
    <w:p>
      <w:pPr>
        <w:spacing w:after="0" w:line="94" w:lineRule="exact"/>
        <w:rPr>
          <w:sz w:val="20"/>
          <w:szCs w:val="20"/>
          <w:color w:val="auto"/>
        </w:rPr>
      </w:pPr>
    </w:p>
    <w:p>
      <w:pPr>
        <w:jc w:val="both"/>
        <w:ind w:right="220" w:firstLine="511"/>
        <w:spacing w:after="0" w:line="345" w:lineRule="auto"/>
        <w:rPr>
          <w:sz w:val="20"/>
          <w:szCs w:val="20"/>
          <w:color w:val="auto"/>
        </w:rPr>
      </w:pPr>
      <w:r>
        <w:rPr>
          <w:rFonts w:ascii="Arial" w:cs="Arial" w:eastAsia="Arial" w:hAnsi="Arial"/>
          <w:sz w:val="12"/>
          <w:szCs w:val="12"/>
          <w:color w:val="auto"/>
        </w:rPr>
        <w:t>On October 30, 2023, in accordance with Rule 10D-1 of the Exchange Act, the Board approved the Company’s Amended and Restated Incentive Compensation Recoupment Policy, which allows the Company to recoup certain executive compensation in the event of an accounting restatement resulting from material noncompliance with financial reporting requirements under federal securities laws. The Amended and Restated Incentive Compensation Recoupment Policy has been filed as Exhibit 10.1 of this Quarterly Report on Form 10-Q.</w:t>
      </w:r>
    </w:p>
    <w:p>
      <w:pPr>
        <w:spacing w:after="0" w:line="105" w:lineRule="exact"/>
        <w:rPr>
          <w:sz w:val="20"/>
          <w:szCs w:val="20"/>
          <w:color w:val="auto"/>
        </w:rPr>
      </w:pPr>
    </w:p>
    <w:p>
      <w:pPr>
        <w:jc w:val="both"/>
        <w:ind w:right="80" w:firstLine="511"/>
        <w:spacing w:after="0" w:line="252" w:lineRule="auto"/>
        <w:rPr>
          <w:sz w:val="20"/>
          <w:szCs w:val="20"/>
          <w:color w:val="auto"/>
        </w:rPr>
      </w:pPr>
      <w:r>
        <w:rPr>
          <w:rFonts w:ascii="Arial" w:cs="Arial" w:eastAsia="Arial" w:hAnsi="Arial"/>
          <w:sz w:val="15"/>
          <w:szCs w:val="15"/>
          <w:color w:val="auto"/>
        </w:rPr>
        <w:t>On October 30, 2023, the Compensation Committee of the Board (the “Compensation Committee”) approved the Company’s Amended and Restated Executive Officer Incentive Plan (the “Amended and Restated Incentive Plan”). The Amended and Restated Incentive Plan amended the original Executive Officer Incentive Plan to permit the administrator to, in its discretion, make certain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30" w:name="page31"/>
    <w:bookmarkEnd w:id="30"/>
    <w:p>
      <w:pPr>
        <w:spacing w:after="0" w:line="387" w:lineRule="auto"/>
        <w:rPr>
          <w:sz w:val="20"/>
          <w:szCs w:val="20"/>
          <w:color w:val="auto"/>
        </w:rPr>
      </w:pPr>
      <w:r>
        <w:rPr>
          <w:rFonts w:ascii="Arial" w:cs="Arial" w:eastAsia="Arial" w:hAnsi="Arial"/>
          <w:sz w:val="12"/>
          <w:szCs w:val="12"/>
          <w:color w:val="auto"/>
        </w:rPr>
        <w:t>payments in the form of equity awards. The foregoing summary of the Amended and Restated Incentive Plan does not purport to be complete and is subject to, and qualified in its entirety by, the full text of the Amended and Restated Incentive Plan, a copy of which is attached as Exhibit 10.2 to this Quarterly Report on Form 10-Q and incorporated herein by reference.</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Exhibits.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information required by this Item 6 is set forth on the Exhibit Index that immediately precedes the signature page to this report and is incorporated herein by reference.</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83755" cy="393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100"/>
          </w:cols>
          <w:pgMar w:left="300" w:top="479" w:right="499" w:bottom="1440" w:gutter="0" w:footer="0" w:header="0"/>
        </w:sectPr>
      </w:pPr>
    </w:p>
    <w:bookmarkStart w:id="31" w:name="page32"/>
    <w:bookmarkEnd w:id="31"/>
    <w:p>
      <w:pPr>
        <w:jc w:val="center"/>
        <w:ind w:right="-172"/>
        <w:spacing w:after="0"/>
        <w:rPr>
          <w:sz w:val="20"/>
          <w:szCs w:val="20"/>
          <w:color w:val="auto"/>
        </w:rPr>
      </w:pPr>
      <w:r>
        <w:rPr>
          <w:rFonts w:ascii="Arial" w:cs="Arial" w:eastAsia="Arial" w:hAnsi="Arial"/>
          <w:sz w:val="15"/>
          <w:szCs w:val="15"/>
          <w:b w:val="1"/>
          <w:bCs w:val="1"/>
          <w:color w:val="auto"/>
        </w:rPr>
        <w:t>EXHIBIT INDEX</w:t>
      </w:r>
    </w:p>
    <w:p>
      <w:pPr>
        <w:spacing w:after="0" w:line="15" w:lineRule="exact"/>
        <w:rPr>
          <w:sz w:val="20"/>
          <w:szCs w:val="20"/>
          <w:color w:val="auto"/>
        </w:rPr>
      </w:pPr>
    </w:p>
    <w:tbl>
      <w:tblPr>
        <w:tblLayout w:type="fixed"/>
        <w:tblInd w:w="13"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tcPr>
          <w:p>
            <w:pPr>
              <w:ind w:left="120"/>
              <w:spacing w:after="0"/>
              <w:rPr>
                <w:sz w:val="20"/>
                <w:szCs w:val="20"/>
                <w:color w:val="auto"/>
              </w:rPr>
            </w:pPr>
            <w:r>
              <w:rPr>
                <w:rFonts w:ascii="Arial" w:cs="Arial" w:eastAsia="Arial" w:hAnsi="Arial"/>
                <w:sz w:val="12"/>
                <w:szCs w:val="12"/>
                <w:b w:val="1"/>
                <w:bCs w:val="1"/>
                <w:color w:val="auto"/>
                <w:w w:val="92"/>
              </w:rPr>
              <w:t>Incorporated by Reference</w:t>
            </w:r>
          </w:p>
        </w:tc>
        <w:tc>
          <w:tcPr>
            <w:tcW w:w="600" w:type="dxa"/>
            <w:vAlign w:val="bottom"/>
          </w:tcPr>
          <w:p>
            <w:pPr>
              <w:spacing w:after="0"/>
              <w:rPr>
                <w:sz w:val="12"/>
                <w:szCs w:val="12"/>
                <w:color w:val="auto"/>
              </w:rPr>
            </w:pPr>
          </w:p>
        </w:tc>
      </w:tr>
      <w:tr>
        <w:trPr>
          <w:trHeight w:val="120"/>
        </w:trPr>
        <w:tc>
          <w:tcPr>
            <w:tcW w:w="940" w:type="dxa"/>
            <w:vAlign w:val="bottom"/>
          </w:tcPr>
          <w:p>
            <w:pPr>
              <w:ind w:left="160"/>
              <w:spacing w:after="0" w:line="121" w:lineRule="exact"/>
              <w:rPr>
                <w:sz w:val="20"/>
                <w:szCs w:val="20"/>
                <w:color w:val="auto"/>
              </w:rPr>
            </w:pPr>
            <w:r>
              <w:rPr>
                <w:rFonts w:ascii="Arial" w:cs="Arial" w:eastAsia="Arial" w:hAnsi="Arial"/>
                <w:sz w:val="12"/>
                <w:szCs w:val="12"/>
                <w:b w:val="1"/>
                <w:bCs w:val="1"/>
                <w:color w:val="auto"/>
              </w:rPr>
              <w:t>Exhibit No.</w:t>
            </w:r>
          </w:p>
        </w:tc>
        <w:tc>
          <w:tcPr>
            <w:tcW w:w="2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20" w:type="dxa"/>
            <w:vAlign w:val="bottom"/>
            <w:gridSpan w:val="12"/>
          </w:tcPr>
          <w:p>
            <w:pPr>
              <w:ind w:left="80"/>
              <w:spacing w:after="0" w:line="121" w:lineRule="exact"/>
              <w:rPr>
                <w:sz w:val="20"/>
                <w:szCs w:val="20"/>
                <w:color w:val="auto"/>
              </w:rPr>
            </w:pPr>
            <w:r>
              <w:rPr>
                <w:rFonts w:ascii="Arial" w:cs="Arial" w:eastAsia="Arial" w:hAnsi="Arial"/>
                <w:sz w:val="12"/>
                <w:szCs w:val="12"/>
                <w:b w:val="1"/>
                <w:bCs w:val="1"/>
                <w:color w:val="auto"/>
              </w:rPr>
              <w:t>Exhibit Title</w:t>
            </w:r>
          </w:p>
        </w:tc>
        <w:tc>
          <w:tcPr>
            <w:tcW w:w="1320" w:type="dxa"/>
            <w:vAlign w:val="bottom"/>
          </w:tcPr>
          <w:p>
            <w:pPr>
              <w:jc w:val="center"/>
              <w:ind w:right="42"/>
              <w:spacing w:after="0" w:line="121" w:lineRule="exact"/>
              <w:rPr>
                <w:sz w:val="20"/>
                <w:szCs w:val="20"/>
                <w:color w:val="auto"/>
              </w:rPr>
            </w:pPr>
            <w:r>
              <w:rPr>
                <w:rFonts w:ascii="Arial" w:cs="Arial" w:eastAsia="Arial" w:hAnsi="Arial"/>
                <w:sz w:val="12"/>
                <w:szCs w:val="12"/>
                <w:b w:val="1"/>
                <w:bCs w:val="1"/>
                <w:color w:val="auto"/>
                <w:w w:val="89"/>
              </w:rPr>
              <w:t>Filed with this Form</w:t>
            </w:r>
          </w:p>
        </w:tc>
        <w:tc>
          <w:tcPr>
            <w:tcW w:w="620" w:type="dxa"/>
            <w:vAlign w:val="bottom"/>
          </w:tcPr>
          <w:p>
            <w:pPr>
              <w:jc w:val="center"/>
              <w:ind w:left="42"/>
              <w:spacing w:after="0" w:line="121" w:lineRule="exact"/>
              <w:rPr>
                <w:sz w:val="20"/>
                <w:szCs w:val="20"/>
                <w:color w:val="auto"/>
              </w:rPr>
            </w:pPr>
            <w:r>
              <w:rPr>
                <w:rFonts w:ascii="Arial" w:cs="Arial" w:eastAsia="Arial" w:hAnsi="Arial"/>
                <w:sz w:val="12"/>
                <w:szCs w:val="12"/>
                <w:b w:val="1"/>
                <w:bCs w:val="1"/>
                <w:color w:val="auto"/>
                <w:w w:val="93"/>
              </w:rPr>
              <w:t>Form</w:t>
            </w:r>
          </w:p>
        </w:tc>
        <w:tc>
          <w:tcPr>
            <w:tcW w:w="1540" w:type="dxa"/>
            <w:vAlign w:val="bottom"/>
          </w:tcPr>
          <w:p>
            <w:pPr>
              <w:ind w:left="600"/>
              <w:spacing w:after="0" w:line="121" w:lineRule="exact"/>
              <w:rPr>
                <w:sz w:val="20"/>
                <w:szCs w:val="20"/>
                <w:color w:val="auto"/>
              </w:rPr>
            </w:pPr>
            <w:r>
              <w:rPr>
                <w:rFonts w:ascii="Arial" w:cs="Arial" w:eastAsia="Arial" w:hAnsi="Arial"/>
                <w:sz w:val="12"/>
                <w:szCs w:val="12"/>
                <w:b w:val="1"/>
                <w:bCs w:val="1"/>
                <w:color w:val="auto"/>
              </w:rPr>
              <w:t>Form No.</w:t>
            </w:r>
          </w:p>
        </w:tc>
        <w:tc>
          <w:tcPr>
            <w:tcW w:w="6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83"/>
              </w:rPr>
              <w:t>Date Filed</w:t>
            </w:r>
          </w:p>
        </w:tc>
      </w:tr>
      <w:tr>
        <w:trPr>
          <w:trHeight w:val="150"/>
        </w:trPr>
        <w:tc>
          <w:tcPr>
            <w:tcW w:w="9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ind w:right="22"/>
              <w:spacing w:after="0"/>
              <w:rPr>
                <w:sz w:val="20"/>
                <w:szCs w:val="20"/>
                <w:color w:val="auto"/>
              </w:rPr>
            </w:pPr>
            <w:r>
              <w:rPr>
                <w:rFonts w:ascii="Arial" w:cs="Arial" w:eastAsia="Arial" w:hAnsi="Arial"/>
                <w:sz w:val="12"/>
                <w:szCs w:val="12"/>
                <w:b w:val="1"/>
                <w:bCs w:val="1"/>
                <w:color w:val="auto"/>
                <w:w w:val="89"/>
              </w:rPr>
              <w:t>10-Q</w:t>
            </w:r>
          </w:p>
        </w:tc>
        <w:tc>
          <w:tcPr>
            <w:tcW w:w="6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61"/>
        </w:trPr>
        <w:tc>
          <w:tcPr>
            <w:tcW w:w="940" w:type="dxa"/>
            <w:vAlign w:val="bottom"/>
          </w:tcPr>
          <w:p>
            <w:pPr>
              <w:spacing w:after="0"/>
              <w:rPr>
                <w:sz w:val="20"/>
                <w:szCs w:val="20"/>
                <w:color w:val="auto"/>
              </w:rPr>
            </w:pPr>
            <w:r>
              <w:rPr>
                <w:rFonts w:ascii="Arial" w:cs="Arial" w:eastAsia="Arial" w:hAnsi="Arial"/>
                <w:sz w:val="12"/>
                <w:szCs w:val="12"/>
                <w:color w:val="auto"/>
              </w:rPr>
              <w:t>3.1</w:t>
            </w:r>
          </w:p>
        </w:tc>
        <w:tc>
          <w:tcPr>
            <w:tcW w:w="6060" w:type="dxa"/>
            <w:vAlign w:val="bottom"/>
            <w:gridSpan w:val="14"/>
          </w:tcPr>
          <w:p>
            <w:pPr>
              <w:spacing w:after="0"/>
              <w:rPr>
                <w:rFonts w:ascii="Arial" w:cs="Arial" w:eastAsia="Arial" w:hAnsi="Arial"/>
                <w:sz w:val="12"/>
                <w:szCs w:val="12"/>
                <w:color w:val="0000FF"/>
              </w:rPr>
            </w:pPr>
            <w:hyperlink r:id="rId325">
              <w:r>
                <w:rPr>
                  <w:rFonts w:ascii="Arial" w:cs="Arial" w:eastAsia="Arial" w:hAnsi="Arial"/>
                  <w:sz w:val="12"/>
                  <w:szCs w:val="12"/>
                  <w:color w:val="0000FF"/>
                </w:rPr>
                <w:t>Certificate of Incorporation of the registrant, dated May 13, 2016.</w:t>
              </w:r>
            </w:hyperlink>
          </w:p>
        </w:tc>
        <w:tc>
          <w:tcPr>
            <w:tcW w:w="1320" w:type="dxa"/>
            <w:vAlign w:val="bottom"/>
          </w:tcPr>
          <w:p>
            <w:pPr>
              <w:spacing w:after="0"/>
              <w:rPr>
                <w:sz w:val="22"/>
                <w:szCs w:val="22"/>
                <w:color w:val="auto"/>
              </w:rPr>
            </w:pPr>
          </w:p>
        </w:tc>
        <w:tc>
          <w:tcPr>
            <w:tcW w:w="620" w:type="dxa"/>
            <w:vAlign w:val="bottom"/>
          </w:tcPr>
          <w:p>
            <w:pPr>
              <w:jc w:val="center"/>
              <w:ind w:left="42"/>
              <w:spacing w:after="0"/>
              <w:rPr>
                <w:sz w:val="20"/>
                <w:szCs w:val="20"/>
                <w:color w:val="auto"/>
              </w:rPr>
            </w:pPr>
            <w:r>
              <w:rPr>
                <w:rFonts w:ascii="Arial" w:cs="Arial" w:eastAsia="Arial" w:hAnsi="Arial"/>
                <w:sz w:val="12"/>
                <w:szCs w:val="12"/>
                <w:color w:val="auto"/>
                <w:w w:val="89"/>
              </w:rPr>
              <w:t>10-Q</w:t>
            </w:r>
          </w:p>
        </w:tc>
        <w:tc>
          <w:tcPr>
            <w:tcW w:w="1540" w:type="dxa"/>
            <w:vAlign w:val="bottom"/>
          </w:tcPr>
          <w:p>
            <w:pPr>
              <w:ind w:left="580"/>
              <w:spacing w:after="0"/>
              <w:rPr>
                <w:sz w:val="20"/>
                <w:szCs w:val="20"/>
                <w:color w:val="auto"/>
              </w:rPr>
            </w:pPr>
            <w:r>
              <w:rPr>
                <w:rFonts w:ascii="Arial" w:cs="Arial" w:eastAsia="Arial" w:hAnsi="Arial"/>
                <w:sz w:val="12"/>
                <w:szCs w:val="12"/>
                <w:color w:val="auto"/>
              </w:rPr>
              <w:t>001-37894</w:t>
            </w:r>
          </w:p>
        </w:tc>
        <w:tc>
          <w:tcPr>
            <w:tcW w:w="600" w:type="dxa"/>
            <w:vAlign w:val="bottom"/>
          </w:tcPr>
          <w:p>
            <w:pPr>
              <w:jc w:val="center"/>
              <w:ind w:left="42"/>
              <w:spacing w:after="0"/>
              <w:rPr>
                <w:sz w:val="20"/>
                <w:szCs w:val="20"/>
                <w:color w:val="auto"/>
              </w:rPr>
            </w:pPr>
            <w:r>
              <w:rPr>
                <w:rFonts w:ascii="Arial" w:cs="Arial" w:eastAsia="Arial" w:hAnsi="Arial"/>
                <w:sz w:val="12"/>
                <w:szCs w:val="12"/>
                <w:color w:val="auto"/>
                <w:w w:val="86"/>
              </w:rPr>
              <w:t>8/14/2017</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940" w:type="dxa"/>
            <w:vAlign w:val="bottom"/>
          </w:tcPr>
          <w:p>
            <w:pPr>
              <w:spacing w:after="0"/>
              <w:rPr>
                <w:sz w:val="20"/>
                <w:szCs w:val="20"/>
                <w:color w:val="auto"/>
              </w:rPr>
            </w:pPr>
            <w:r>
              <w:rPr>
                <w:rFonts w:ascii="Arial" w:cs="Arial" w:eastAsia="Arial" w:hAnsi="Arial"/>
                <w:sz w:val="12"/>
                <w:szCs w:val="12"/>
                <w:color w:val="auto"/>
              </w:rPr>
              <w:t>3.1.1</w:t>
            </w:r>
          </w:p>
        </w:tc>
        <w:tc>
          <w:tcPr>
            <w:tcW w:w="6060" w:type="dxa"/>
            <w:vAlign w:val="bottom"/>
            <w:gridSpan w:val="14"/>
          </w:tcPr>
          <w:p>
            <w:pPr>
              <w:spacing w:after="0"/>
              <w:rPr>
                <w:rFonts w:ascii="Arial" w:cs="Arial" w:eastAsia="Arial" w:hAnsi="Arial"/>
                <w:sz w:val="12"/>
                <w:szCs w:val="12"/>
                <w:color w:val="0000FF"/>
              </w:rPr>
            </w:pPr>
            <w:hyperlink r:id="rId326">
              <w:r>
                <w:rPr>
                  <w:rFonts w:ascii="Arial" w:cs="Arial" w:eastAsia="Arial" w:hAnsi="Arial"/>
                  <w:sz w:val="12"/>
                  <w:szCs w:val="12"/>
                  <w:color w:val="0000FF"/>
                </w:rPr>
                <w:t>Certificate of Amendment to Certificate of Incorporation of the registrant, dated August 2, 2016.</w:t>
              </w:r>
            </w:hyperlink>
          </w:p>
        </w:tc>
        <w:tc>
          <w:tcPr>
            <w:tcW w:w="1320" w:type="dxa"/>
            <w:vAlign w:val="bottom"/>
          </w:tcPr>
          <w:p>
            <w:pPr>
              <w:spacing w:after="0"/>
              <w:rPr>
                <w:sz w:val="22"/>
                <w:szCs w:val="22"/>
                <w:color w:val="auto"/>
              </w:rPr>
            </w:pPr>
          </w:p>
        </w:tc>
        <w:tc>
          <w:tcPr>
            <w:tcW w:w="620" w:type="dxa"/>
            <w:vAlign w:val="bottom"/>
          </w:tcPr>
          <w:p>
            <w:pPr>
              <w:jc w:val="center"/>
              <w:ind w:left="42"/>
              <w:spacing w:after="0"/>
              <w:rPr>
                <w:sz w:val="20"/>
                <w:szCs w:val="20"/>
                <w:color w:val="auto"/>
              </w:rPr>
            </w:pPr>
            <w:r>
              <w:rPr>
                <w:rFonts w:ascii="Arial" w:cs="Arial" w:eastAsia="Arial" w:hAnsi="Arial"/>
                <w:sz w:val="12"/>
                <w:szCs w:val="12"/>
                <w:color w:val="auto"/>
                <w:w w:val="89"/>
              </w:rPr>
              <w:t>10-Q</w:t>
            </w:r>
          </w:p>
        </w:tc>
        <w:tc>
          <w:tcPr>
            <w:tcW w:w="1540" w:type="dxa"/>
            <w:vAlign w:val="bottom"/>
          </w:tcPr>
          <w:p>
            <w:pPr>
              <w:ind w:left="580"/>
              <w:spacing w:after="0"/>
              <w:rPr>
                <w:sz w:val="20"/>
                <w:szCs w:val="20"/>
                <w:color w:val="auto"/>
              </w:rPr>
            </w:pPr>
            <w:r>
              <w:rPr>
                <w:rFonts w:ascii="Arial" w:cs="Arial" w:eastAsia="Arial" w:hAnsi="Arial"/>
                <w:sz w:val="12"/>
                <w:szCs w:val="12"/>
                <w:color w:val="auto"/>
              </w:rPr>
              <w:t>001-37894</w:t>
            </w:r>
          </w:p>
        </w:tc>
        <w:tc>
          <w:tcPr>
            <w:tcW w:w="600" w:type="dxa"/>
            <w:vAlign w:val="bottom"/>
          </w:tcPr>
          <w:p>
            <w:pPr>
              <w:jc w:val="center"/>
              <w:ind w:left="42"/>
              <w:spacing w:after="0"/>
              <w:rPr>
                <w:sz w:val="20"/>
                <w:szCs w:val="20"/>
                <w:color w:val="auto"/>
              </w:rPr>
            </w:pPr>
            <w:r>
              <w:rPr>
                <w:rFonts w:ascii="Arial" w:cs="Arial" w:eastAsia="Arial" w:hAnsi="Arial"/>
                <w:sz w:val="12"/>
                <w:szCs w:val="12"/>
                <w:color w:val="auto"/>
                <w:w w:val="86"/>
              </w:rPr>
              <w:t>8/14/2017</w:t>
            </w:r>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940" w:type="dxa"/>
            <w:vAlign w:val="bottom"/>
          </w:tcPr>
          <w:p>
            <w:pPr>
              <w:spacing w:after="0"/>
              <w:rPr>
                <w:sz w:val="20"/>
                <w:szCs w:val="20"/>
                <w:color w:val="auto"/>
              </w:rPr>
            </w:pPr>
            <w:r>
              <w:rPr>
                <w:rFonts w:ascii="Arial" w:cs="Arial" w:eastAsia="Arial" w:hAnsi="Arial"/>
                <w:sz w:val="12"/>
                <w:szCs w:val="12"/>
                <w:color w:val="auto"/>
              </w:rPr>
              <w:t>3.1.2</w:t>
            </w:r>
          </w:p>
        </w:tc>
        <w:tc>
          <w:tcPr>
            <w:tcW w:w="6060" w:type="dxa"/>
            <w:vAlign w:val="bottom"/>
            <w:gridSpan w:val="14"/>
          </w:tcPr>
          <w:p>
            <w:pPr>
              <w:spacing w:after="0"/>
              <w:rPr>
                <w:rFonts w:ascii="Arial" w:cs="Arial" w:eastAsia="Arial" w:hAnsi="Arial"/>
                <w:sz w:val="12"/>
                <w:szCs w:val="12"/>
                <w:color w:val="0000FF"/>
              </w:rPr>
            </w:pPr>
            <w:hyperlink r:id="rId327">
              <w:r>
                <w:rPr>
                  <w:rFonts w:ascii="Arial" w:cs="Arial" w:eastAsia="Arial" w:hAnsi="Arial"/>
                  <w:sz w:val="12"/>
                  <w:szCs w:val="12"/>
                  <w:color w:val="0000FF"/>
                </w:rPr>
                <w:t>Certificate of Amendment to Certificate of Incorporation of the registrant, dated May 17, 2017.</w:t>
              </w:r>
            </w:hyperlink>
          </w:p>
        </w:tc>
        <w:tc>
          <w:tcPr>
            <w:tcW w:w="1320" w:type="dxa"/>
            <w:vAlign w:val="bottom"/>
          </w:tcPr>
          <w:p>
            <w:pPr>
              <w:spacing w:after="0"/>
              <w:rPr>
                <w:sz w:val="22"/>
                <w:szCs w:val="22"/>
                <w:color w:val="auto"/>
              </w:rPr>
            </w:pPr>
          </w:p>
        </w:tc>
        <w:tc>
          <w:tcPr>
            <w:tcW w:w="620" w:type="dxa"/>
            <w:vAlign w:val="bottom"/>
          </w:tcPr>
          <w:p>
            <w:pPr>
              <w:jc w:val="center"/>
              <w:ind w:left="42"/>
              <w:spacing w:after="0"/>
              <w:rPr>
                <w:sz w:val="20"/>
                <w:szCs w:val="20"/>
                <w:color w:val="auto"/>
              </w:rPr>
            </w:pPr>
            <w:r>
              <w:rPr>
                <w:rFonts w:ascii="Arial" w:cs="Arial" w:eastAsia="Arial" w:hAnsi="Arial"/>
                <w:sz w:val="12"/>
                <w:szCs w:val="12"/>
                <w:color w:val="auto"/>
                <w:w w:val="89"/>
              </w:rPr>
              <w:t>10-Q</w:t>
            </w:r>
          </w:p>
        </w:tc>
        <w:tc>
          <w:tcPr>
            <w:tcW w:w="1540" w:type="dxa"/>
            <w:vAlign w:val="bottom"/>
          </w:tcPr>
          <w:p>
            <w:pPr>
              <w:ind w:left="580"/>
              <w:spacing w:after="0"/>
              <w:rPr>
                <w:sz w:val="20"/>
                <w:szCs w:val="20"/>
                <w:color w:val="auto"/>
              </w:rPr>
            </w:pPr>
            <w:r>
              <w:rPr>
                <w:rFonts w:ascii="Arial" w:cs="Arial" w:eastAsia="Arial" w:hAnsi="Arial"/>
                <w:sz w:val="12"/>
                <w:szCs w:val="12"/>
                <w:color w:val="auto"/>
              </w:rPr>
              <w:t>001-37894</w:t>
            </w:r>
          </w:p>
        </w:tc>
        <w:tc>
          <w:tcPr>
            <w:tcW w:w="600" w:type="dxa"/>
            <w:vAlign w:val="bottom"/>
          </w:tcPr>
          <w:p>
            <w:pPr>
              <w:jc w:val="center"/>
              <w:ind w:left="42"/>
              <w:spacing w:after="0"/>
              <w:rPr>
                <w:sz w:val="20"/>
                <w:szCs w:val="20"/>
                <w:color w:val="auto"/>
              </w:rPr>
            </w:pPr>
            <w:r>
              <w:rPr>
                <w:rFonts w:ascii="Arial" w:cs="Arial" w:eastAsia="Arial" w:hAnsi="Arial"/>
                <w:sz w:val="12"/>
                <w:szCs w:val="12"/>
                <w:color w:val="auto"/>
                <w:w w:val="86"/>
              </w:rPr>
              <w:t>8/14/2017</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9"/>
        </w:trPr>
        <w:tc>
          <w:tcPr>
            <w:tcW w:w="940" w:type="dxa"/>
            <w:vAlign w:val="bottom"/>
          </w:tcPr>
          <w:p>
            <w:pPr>
              <w:spacing w:after="0"/>
              <w:rPr>
                <w:sz w:val="20"/>
                <w:szCs w:val="20"/>
                <w:color w:val="auto"/>
              </w:rPr>
            </w:pPr>
            <w:r>
              <w:rPr>
                <w:rFonts w:ascii="Arial" w:cs="Arial" w:eastAsia="Arial" w:hAnsi="Arial"/>
                <w:sz w:val="12"/>
                <w:szCs w:val="12"/>
                <w:color w:val="auto"/>
              </w:rPr>
              <w:t>3.2</w:t>
            </w:r>
          </w:p>
        </w:tc>
        <w:tc>
          <w:tcPr>
            <w:tcW w:w="6060" w:type="dxa"/>
            <w:vAlign w:val="bottom"/>
            <w:gridSpan w:val="14"/>
          </w:tcPr>
          <w:p>
            <w:pPr>
              <w:spacing w:after="0"/>
              <w:rPr>
                <w:rFonts w:ascii="Arial" w:cs="Arial" w:eastAsia="Arial" w:hAnsi="Arial"/>
                <w:sz w:val="12"/>
                <w:szCs w:val="12"/>
                <w:color w:val="0000FF"/>
              </w:rPr>
            </w:pPr>
            <w:hyperlink r:id="rId328">
              <w:r>
                <w:rPr>
                  <w:rFonts w:ascii="Arial" w:cs="Arial" w:eastAsia="Arial" w:hAnsi="Arial"/>
                  <w:sz w:val="12"/>
                  <w:szCs w:val="12"/>
                  <w:color w:val="0000FF"/>
                </w:rPr>
                <w:t>Amended and Restated Bylaws of the registrant.</w:t>
              </w:r>
            </w:hyperlink>
          </w:p>
        </w:tc>
        <w:tc>
          <w:tcPr>
            <w:tcW w:w="1320" w:type="dxa"/>
            <w:vAlign w:val="bottom"/>
          </w:tcPr>
          <w:p>
            <w:pPr>
              <w:spacing w:after="0"/>
              <w:rPr>
                <w:sz w:val="24"/>
                <w:szCs w:val="24"/>
                <w:color w:val="auto"/>
              </w:rPr>
            </w:pPr>
          </w:p>
        </w:tc>
        <w:tc>
          <w:tcPr>
            <w:tcW w:w="620" w:type="dxa"/>
            <w:vAlign w:val="bottom"/>
          </w:tcPr>
          <w:p>
            <w:pPr>
              <w:jc w:val="center"/>
              <w:ind w:left="42"/>
              <w:spacing w:after="0"/>
              <w:rPr>
                <w:sz w:val="20"/>
                <w:szCs w:val="20"/>
                <w:color w:val="auto"/>
              </w:rPr>
            </w:pPr>
            <w:r>
              <w:rPr>
                <w:rFonts w:ascii="Arial" w:cs="Arial" w:eastAsia="Arial" w:hAnsi="Arial"/>
                <w:sz w:val="12"/>
                <w:szCs w:val="12"/>
                <w:color w:val="auto"/>
                <w:w w:val="89"/>
              </w:rPr>
              <w:t>10-Q</w:t>
            </w:r>
          </w:p>
        </w:tc>
        <w:tc>
          <w:tcPr>
            <w:tcW w:w="1540" w:type="dxa"/>
            <w:vAlign w:val="bottom"/>
          </w:tcPr>
          <w:p>
            <w:pPr>
              <w:ind w:left="580"/>
              <w:spacing w:after="0"/>
              <w:rPr>
                <w:sz w:val="20"/>
                <w:szCs w:val="20"/>
                <w:color w:val="auto"/>
              </w:rPr>
            </w:pPr>
            <w:r>
              <w:rPr>
                <w:rFonts w:ascii="Arial" w:cs="Arial" w:eastAsia="Arial" w:hAnsi="Arial"/>
                <w:sz w:val="12"/>
                <w:szCs w:val="12"/>
                <w:color w:val="auto"/>
              </w:rPr>
              <w:t>001-37894</w:t>
            </w:r>
          </w:p>
        </w:tc>
        <w:tc>
          <w:tcPr>
            <w:tcW w:w="600" w:type="dxa"/>
            <w:vAlign w:val="bottom"/>
          </w:tcPr>
          <w:p>
            <w:pPr>
              <w:jc w:val="center"/>
              <w:ind w:left="42"/>
              <w:spacing w:after="0"/>
              <w:rPr>
                <w:sz w:val="20"/>
                <w:szCs w:val="20"/>
                <w:color w:val="auto"/>
              </w:rPr>
            </w:pPr>
            <w:r>
              <w:rPr>
                <w:rFonts w:ascii="Arial" w:cs="Arial" w:eastAsia="Arial" w:hAnsi="Arial"/>
                <w:sz w:val="12"/>
                <w:szCs w:val="12"/>
                <w:color w:val="auto"/>
                <w:w w:val="89"/>
              </w:rPr>
              <w:t>8/4/2023</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9"/>
        </w:trPr>
        <w:tc>
          <w:tcPr>
            <w:tcW w:w="940" w:type="dxa"/>
            <w:vAlign w:val="bottom"/>
          </w:tcPr>
          <w:p>
            <w:pPr>
              <w:spacing w:after="0"/>
              <w:rPr>
                <w:sz w:val="20"/>
                <w:szCs w:val="20"/>
                <w:color w:val="auto"/>
              </w:rPr>
            </w:pPr>
            <w:r>
              <w:rPr>
                <w:rFonts w:ascii="Arial" w:cs="Arial" w:eastAsia="Arial" w:hAnsi="Arial"/>
                <w:sz w:val="12"/>
                <w:szCs w:val="12"/>
                <w:color w:val="auto"/>
              </w:rPr>
              <w:t>10.1^#</w:t>
            </w:r>
          </w:p>
        </w:tc>
        <w:tc>
          <w:tcPr>
            <w:tcW w:w="6060" w:type="dxa"/>
            <w:vAlign w:val="bottom"/>
            <w:gridSpan w:val="14"/>
          </w:tcPr>
          <w:p>
            <w:pPr>
              <w:spacing w:after="0"/>
              <w:rPr>
                <w:sz w:val="20"/>
                <w:szCs w:val="20"/>
                <w:color w:val="auto"/>
              </w:rPr>
            </w:pPr>
            <w:r>
              <w:rPr>
                <w:rFonts w:ascii="Arial" w:cs="Arial" w:eastAsia="Arial" w:hAnsi="Arial"/>
                <w:sz w:val="12"/>
                <w:szCs w:val="12"/>
                <w:color w:val="0000FF"/>
              </w:rPr>
              <w:t>Amended and Restated Incentive Compensation Recoupment Policy</w:t>
            </w:r>
          </w:p>
        </w:tc>
        <w:tc>
          <w:tcPr>
            <w:tcW w:w="1320" w:type="dxa"/>
            <w:vAlign w:val="bottom"/>
          </w:tcPr>
          <w:p>
            <w:pPr>
              <w:jc w:val="center"/>
              <w:ind w:right="42"/>
              <w:spacing w:after="0"/>
              <w:rPr>
                <w:sz w:val="20"/>
                <w:szCs w:val="20"/>
                <w:color w:val="auto"/>
              </w:rPr>
            </w:pPr>
            <w:r>
              <w:rPr>
                <w:rFonts w:ascii="Arial" w:cs="Arial" w:eastAsia="Arial" w:hAnsi="Arial"/>
                <w:sz w:val="12"/>
                <w:szCs w:val="12"/>
                <w:color w:val="auto"/>
              </w:rPr>
              <w:t>X</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6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940" w:type="dxa"/>
            <w:vAlign w:val="bottom"/>
          </w:tcPr>
          <w:p>
            <w:pPr>
              <w:spacing w:after="0"/>
              <w:rPr>
                <w:sz w:val="20"/>
                <w:szCs w:val="20"/>
                <w:color w:val="auto"/>
              </w:rPr>
            </w:pPr>
            <w:r>
              <w:rPr>
                <w:rFonts w:ascii="Arial" w:cs="Arial" w:eastAsia="Arial" w:hAnsi="Arial"/>
                <w:sz w:val="12"/>
                <w:szCs w:val="12"/>
                <w:color w:val="auto"/>
              </w:rPr>
              <w:t>10.2^#</w:t>
            </w:r>
          </w:p>
        </w:tc>
        <w:tc>
          <w:tcPr>
            <w:tcW w:w="6060" w:type="dxa"/>
            <w:vAlign w:val="bottom"/>
            <w:gridSpan w:val="14"/>
          </w:tcPr>
          <w:p>
            <w:pPr>
              <w:spacing w:after="0"/>
              <w:rPr>
                <w:sz w:val="20"/>
                <w:szCs w:val="20"/>
                <w:color w:val="auto"/>
              </w:rPr>
            </w:pPr>
            <w:r>
              <w:rPr>
                <w:rFonts w:ascii="Arial" w:cs="Arial" w:eastAsia="Arial" w:hAnsi="Arial"/>
                <w:sz w:val="12"/>
                <w:szCs w:val="12"/>
                <w:color w:val="0000FF"/>
              </w:rPr>
              <w:t>Amended and Restated Executive Officer Incentive Plan</w:t>
            </w:r>
          </w:p>
        </w:tc>
        <w:tc>
          <w:tcPr>
            <w:tcW w:w="1320" w:type="dxa"/>
            <w:vAlign w:val="bottom"/>
          </w:tcPr>
          <w:p>
            <w:pPr>
              <w:jc w:val="center"/>
              <w:ind w:right="42"/>
              <w:spacing w:after="0"/>
              <w:rPr>
                <w:sz w:val="20"/>
                <w:szCs w:val="20"/>
                <w:color w:val="auto"/>
              </w:rPr>
            </w:pPr>
            <w:r>
              <w:rPr>
                <w:rFonts w:ascii="Arial" w:cs="Arial" w:eastAsia="Arial" w:hAnsi="Arial"/>
                <w:sz w:val="12"/>
                <w:szCs w:val="12"/>
                <w:color w:val="auto"/>
              </w:rPr>
              <w:t>X</w:t>
            </w:r>
          </w:p>
        </w:tc>
        <w:tc>
          <w:tcPr>
            <w:tcW w:w="6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64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940" w:type="dxa"/>
            <w:vAlign w:val="bottom"/>
          </w:tcPr>
          <w:p>
            <w:pPr>
              <w:spacing w:after="0"/>
              <w:rPr>
                <w:sz w:val="20"/>
                <w:szCs w:val="20"/>
                <w:color w:val="auto"/>
              </w:rPr>
            </w:pPr>
            <w:r>
              <w:rPr>
                <w:rFonts w:ascii="Arial" w:cs="Arial" w:eastAsia="Arial" w:hAnsi="Arial"/>
                <w:sz w:val="12"/>
                <w:szCs w:val="12"/>
                <w:color w:val="auto"/>
              </w:rPr>
              <w:t>31.1*</w:t>
            </w:r>
          </w:p>
        </w:tc>
        <w:tc>
          <w:tcPr>
            <w:tcW w:w="6060" w:type="dxa"/>
            <w:vAlign w:val="bottom"/>
            <w:gridSpan w:val="14"/>
          </w:tcPr>
          <w:p>
            <w:pPr>
              <w:spacing w:after="0"/>
              <w:rPr>
                <w:sz w:val="20"/>
                <w:szCs w:val="20"/>
                <w:color w:val="auto"/>
              </w:rPr>
            </w:pPr>
            <w:r>
              <w:rPr>
                <w:rFonts w:ascii="Arial" w:cs="Arial" w:eastAsia="Arial" w:hAnsi="Arial"/>
                <w:sz w:val="12"/>
                <w:szCs w:val="12"/>
                <w:color w:val="0000FF"/>
                <w:w w:val="92"/>
              </w:rPr>
              <w:t>Certification of Principal Executive Officer pursuant to Rules 13a-14(a) and 15d-14(a) under the Securities Exchange Act of</w:t>
            </w:r>
          </w:p>
        </w:tc>
        <w:tc>
          <w:tcPr>
            <w:tcW w:w="1320" w:type="dxa"/>
            <w:vAlign w:val="bottom"/>
          </w:tcPr>
          <w:p>
            <w:pPr>
              <w:jc w:val="center"/>
              <w:ind w:right="42"/>
              <w:spacing w:after="0"/>
              <w:rPr>
                <w:sz w:val="20"/>
                <w:szCs w:val="20"/>
                <w:color w:val="auto"/>
              </w:rPr>
            </w:pPr>
            <w:r>
              <w:rPr>
                <w:rFonts w:ascii="Arial" w:cs="Arial" w:eastAsia="Arial" w:hAnsi="Arial"/>
                <w:sz w:val="12"/>
                <w:szCs w:val="12"/>
                <w:color w:val="auto"/>
              </w:rPr>
              <w:t>X</w:t>
            </w:r>
          </w:p>
        </w:tc>
        <w:tc>
          <w:tcPr>
            <w:tcW w:w="6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00"/>
        </w:trPr>
        <w:tc>
          <w:tcPr>
            <w:tcW w:w="940" w:type="dxa"/>
            <w:vAlign w:val="bottom"/>
          </w:tcPr>
          <w:p>
            <w:pPr>
              <w:spacing w:after="0"/>
              <w:rPr>
                <w:sz w:val="8"/>
                <w:szCs w:val="8"/>
                <w:color w:val="auto"/>
              </w:rPr>
            </w:pPr>
          </w:p>
        </w:tc>
        <w:tc>
          <w:tcPr>
            <w:tcW w:w="3600" w:type="dxa"/>
            <w:vAlign w:val="bottom"/>
            <w:tcBorders>
              <w:top w:val="single" w:sz="8" w:color="0000FF"/>
              <w:bottom w:val="single" w:sz="8" w:color="0000FF"/>
            </w:tcBorders>
            <w:gridSpan w:val="8"/>
          </w:tcPr>
          <w:p>
            <w:pPr>
              <w:spacing w:after="0" w:line="101" w:lineRule="exact"/>
              <w:rPr>
                <w:sz w:val="20"/>
                <w:szCs w:val="20"/>
                <w:color w:val="auto"/>
              </w:rPr>
            </w:pPr>
            <w:r>
              <w:rPr>
                <w:rFonts w:ascii="Arial" w:cs="Arial" w:eastAsia="Arial" w:hAnsi="Arial"/>
                <w:sz w:val="10"/>
                <w:szCs w:val="10"/>
                <w:color w:val="0000FF"/>
              </w:rPr>
              <w:t>1934, as adopted pursuant to Section 302 of the Sarbanes-Oxley Act of 2002.</w:t>
            </w:r>
          </w:p>
        </w:tc>
        <w:tc>
          <w:tcPr>
            <w:tcW w:w="20" w:type="dxa"/>
            <w:vAlign w:val="bottom"/>
            <w:tcBorders>
              <w:top w:val="single" w:sz="8" w:color="0000FF"/>
              <w:bottom w:val="single" w:sz="8" w:color="0000EE"/>
            </w:tcBorders>
          </w:tcPr>
          <w:p>
            <w:pPr>
              <w:spacing w:after="0"/>
              <w:rPr>
                <w:sz w:val="8"/>
                <w:szCs w:val="8"/>
                <w:color w:val="auto"/>
              </w:rPr>
            </w:pPr>
          </w:p>
        </w:tc>
        <w:tc>
          <w:tcPr>
            <w:tcW w:w="2200" w:type="dxa"/>
            <w:vAlign w:val="bottom"/>
            <w:tcBorders>
              <w:top w:val="single" w:sz="8" w:color="0000FF"/>
            </w:tcBorders>
            <w:gridSpan w:val="4"/>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42"/>
        </w:trPr>
        <w:tc>
          <w:tcPr>
            <w:tcW w:w="940" w:type="dxa"/>
            <w:vAlign w:val="bottom"/>
          </w:tcPr>
          <w:p>
            <w:pPr>
              <w:spacing w:after="0"/>
              <w:rPr>
                <w:sz w:val="20"/>
                <w:szCs w:val="20"/>
                <w:color w:val="auto"/>
              </w:rPr>
            </w:pPr>
            <w:r>
              <w:rPr>
                <w:rFonts w:ascii="Arial" w:cs="Arial" w:eastAsia="Arial" w:hAnsi="Arial"/>
                <w:sz w:val="12"/>
                <w:szCs w:val="12"/>
                <w:color w:val="auto"/>
              </w:rPr>
              <w:t>31.2*</w:t>
            </w:r>
          </w:p>
        </w:tc>
        <w:tc>
          <w:tcPr>
            <w:tcW w:w="6060" w:type="dxa"/>
            <w:vAlign w:val="bottom"/>
            <w:gridSpan w:val="14"/>
          </w:tcPr>
          <w:p>
            <w:pPr>
              <w:spacing w:after="0"/>
              <w:rPr>
                <w:sz w:val="20"/>
                <w:szCs w:val="20"/>
                <w:color w:val="auto"/>
              </w:rPr>
            </w:pPr>
            <w:r>
              <w:rPr>
                <w:rFonts w:ascii="Arial" w:cs="Arial" w:eastAsia="Arial" w:hAnsi="Arial"/>
                <w:sz w:val="12"/>
                <w:szCs w:val="12"/>
                <w:color w:val="0000FF"/>
                <w:w w:val="88"/>
              </w:rPr>
              <w:t>Certification of Principal Financial Officer pursuant to Rules 13a-14(a) and 15d-14(a) under the Securities Exchange Act of 1934,</w:t>
            </w:r>
          </w:p>
        </w:tc>
        <w:tc>
          <w:tcPr>
            <w:tcW w:w="1320" w:type="dxa"/>
            <w:vAlign w:val="bottom"/>
          </w:tcPr>
          <w:p>
            <w:pPr>
              <w:jc w:val="center"/>
              <w:ind w:right="42"/>
              <w:spacing w:after="0"/>
              <w:rPr>
                <w:sz w:val="20"/>
                <w:szCs w:val="20"/>
                <w:color w:val="auto"/>
              </w:rPr>
            </w:pPr>
            <w:r>
              <w:rPr>
                <w:rFonts w:ascii="Arial" w:cs="Arial" w:eastAsia="Arial" w:hAnsi="Arial"/>
                <w:sz w:val="12"/>
                <w:szCs w:val="12"/>
                <w:color w:val="auto"/>
              </w:rPr>
              <w:t>X</w:t>
            </w:r>
          </w:p>
        </w:tc>
        <w:tc>
          <w:tcPr>
            <w:tcW w:w="6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00"/>
        </w:trPr>
        <w:tc>
          <w:tcPr>
            <w:tcW w:w="940" w:type="dxa"/>
            <w:vAlign w:val="bottom"/>
          </w:tcPr>
          <w:p>
            <w:pPr>
              <w:spacing w:after="0"/>
              <w:rPr>
                <w:sz w:val="8"/>
                <w:szCs w:val="8"/>
                <w:color w:val="auto"/>
              </w:rPr>
            </w:pPr>
          </w:p>
        </w:tc>
        <w:tc>
          <w:tcPr>
            <w:tcW w:w="6060" w:type="dxa"/>
            <w:vAlign w:val="bottom"/>
            <w:tcBorders>
              <w:top w:val="single" w:sz="8" w:color="0000FF"/>
            </w:tcBorders>
            <w:gridSpan w:val="14"/>
          </w:tcPr>
          <w:p>
            <w:pPr>
              <w:spacing w:after="0" w:line="101" w:lineRule="exact"/>
              <w:rPr>
                <w:sz w:val="20"/>
                <w:szCs w:val="20"/>
                <w:color w:val="auto"/>
              </w:rPr>
            </w:pPr>
            <w:r>
              <w:rPr>
                <w:rFonts w:ascii="Arial" w:cs="Arial" w:eastAsia="Arial" w:hAnsi="Arial"/>
                <w:sz w:val="10"/>
                <w:szCs w:val="10"/>
                <w:color w:val="0000FF"/>
              </w:rPr>
              <w:t>as adopted pursuant to Section 302 of the Sarbanes-Oxley Act of 2002.</w:t>
            </w: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42"/>
        </w:trPr>
        <w:tc>
          <w:tcPr>
            <w:tcW w:w="940" w:type="dxa"/>
            <w:vAlign w:val="bottom"/>
          </w:tcPr>
          <w:p>
            <w:pPr>
              <w:spacing w:after="0"/>
              <w:rPr>
                <w:sz w:val="20"/>
                <w:szCs w:val="20"/>
                <w:color w:val="auto"/>
              </w:rPr>
            </w:pPr>
            <w:r>
              <w:rPr>
                <w:rFonts w:ascii="Arial" w:cs="Arial" w:eastAsia="Arial" w:hAnsi="Arial"/>
                <w:sz w:val="12"/>
                <w:szCs w:val="12"/>
                <w:color w:val="auto"/>
              </w:rPr>
              <w:t>32.1*</w:t>
            </w:r>
          </w:p>
        </w:tc>
        <w:tc>
          <w:tcPr>
            <w:tcW w:w="6060" w:type="dxa"/>
            <w:vAlign w:val="bottom"/>
            <w:gridSpan w:val="14"/>
          </w:tcPr>
          <w:p>
            <w:pPr>
              <w:spacing w:after="0"/>
              <w:rPr>
                <w:sz w:val="20"/>
                <w:szCs w:val="20"/>
                <w:color w:val="auto"/>
              </w:rPr>
            </w:pPr>
            <w:r>
              <w:rPr>
                <w:rFonts w:ascii="Arial" w:cs="Arial" w:eastAsia="Arial" w:hAnsi="Arial"/>
                <w:sz w:val="12"/>
                <w:szCs w:val="12"/>
                <w:color w:val="0000FF"/>
                <w:w w:val="94"/>
              </w:rPr>
              <w:t>Certification of Principal Executive Officer and Principal Financial Officer pursuant to 18 U.S.C. Section 1350, as adopted</w:t>
            </w:r>
          </w:p>
        </w:tc>
        <w:tc>
          <w:tcPr>
            <w:tcW w:w="1320" w:type="dxa"/>
            <w:vAlign w:val="bottom"/>
          </w:tcPr>
          <w:p>
            <w:pPr>
              <w:jc w:val="center"/>
              <w:ind w:right="42"/>
              <w:spacing w:after="0"/>
              <w:rPr>
                <w:sz w:val="20"/>
                <w:szCs w:val="20"/>
                <w:color w:val="auto"/>
              </w:rPr>
            </w:pPr>
            <w:r>
              <w:rPr>
                <w:rFonts w:ascii="Arial" w:cs="Arial" w:eastAsia="Arial" w:hAnsi="Arial"/>
                <w:sz w:val="12"/>
                <w:szCs w:val="12"/>
                <w:color w:val="auto"/>
              </w:rPr>
              <w:t>X</w:t>
            </w:r>
          </w:p>
        </w:tc>
        <w:tc>
          <w:tcPr>
            <w:tcW w:w="6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00"/>
        </w:trPr>
        <w:tc>
          <w:tcPr>
            <w:tcW w:w="940" w:type="dxa"/>
            <w:vAlign w:val="bottom"/>
          </w:tcPr>
          <w:p>
            <w:pPr>
              <w:spacing w:after="0"/>
              <w:rPr>
                <w:sz w:val="8"/>
                <w:szCs w:val="8"/>
                <w:color w:val="auto"/>
              </w:rPr>
            </w:pPr>
          </w:p>
        </w:tc>
        <w:tc>
          <w:tcPr>
            <w:tcW w:w="2780" w:type="dxa"/>
            <w:vAlign w:val="bottom"/>
            <w:tcBorders>
              <w:top w:val="single" w:sz="8" w:color="0000FF"/>
              <w:bottom w:val="single" w:sz="8" w:color="0000FF"/>
            </w:tcBorders>
            <w:gridSpan w:val="3"/>
          </w:tcPr>
          <w:p>
            <w:pPr>
              <w:spacing w:after="0" w:line="101" w:lineRule="exact"/>
              <w:rPr>
                <w:sz w:val="20"/>
                <w:szCs w:val="20"/>
                <w:color w:val="auto"/>
              </w:rPr>
            </w:pPr>
            <w:r>
              <w:rPr>
                <w:rFonts w:ascii="Arial" w:cs="Arial" w:eastAsia="Arial" w:hAnsi="Arial"/>
                <w:sz w:val="10"/>
                <w:szCs w:val="10"/>
                <w:color w:val="0000FF"/>
              </w:rPr>
              <w:t>pursuant to Section 906 of the Sarbanes-Oxley Act of 2002.</w:t>
            </w:r>
          </w:p>
        </w:tc>
        <w:tc>
          <w:tcPr>
            <w:tcW w:w="20" w:type="dxa"/>
            <w:vAlign w:val="bottom"/>
            <w:tcBorders>
              <w:top w:val="single" w:sz="8" w:color="0000FF"/>
              <w:bottom w:val="single" w:sz="8" w:color="0000EE"/>
            </w:tcBorders>
          </w:tcPr>
          <w:p>
            <w:pPr>
              <w:spacing w:after="0"/>
              <w:rPr>
                <w:sz w:val="8"/>
                <w:szCs w:val="8"/>
                <w:color w:val="auto"/>
              </w:rPr>
            </w:pPr>
          </w:p>
        </w:tc>
        <w:tc>
          <w:tcPr>
            <w:tcW w:w="2940" w:type="dxa"/>
            <w:vAlign w:val="bottom"/>
            <w:tcBorders>
              <w:top w:val="single" w:sz="8" w:color="0000FF"/>
            </w:tcBorders>
            <w:gridSpan w:val="8"/>
          </w:tcPr>
          <w:p>
            <w:pPr>
              <w:spacing w:after="0"/>
              <w:rPr>
                <w:sz w:val="8"/>
                <w:szCs w:val="8"/>
                <w:color w:val="auto"/>
              </w:rPr>
            </w:pPr>
          </w:p>
        </w:tc>
        <w:tc>
          <w:tcPr>
            <w:tcW w:w="320" w:type="dxa"/>
            <w:vAlign w:val="bottom"/>
            <w:gridSpan w:val="2"/>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38"/>
        </w:trPr>
        <w:tc>
          <w:tcPr>
            <w:tcW w:w="940" w:type="dxa"/>
            <w:vAlign w:val="bottom"/>
          </w:tcPr>
          <w:p>
            <w:pPr>
              <w:spacing w:after="0"/>
              <w:rPr>
                <w:sz w:val="20"/>
                <w:szCs w:val="20"/>
                <w:color w:val="auto"/>
              </w:rPr>
            </w:pPr>
            <w:r>
              <w:rPr>
                <w:rFonts w:ascii="Arial" w:cs="Arial" w:eastAsia="Arial" w:hAnsi="Arial"/>
                <w:sz w:val="12"/>
                <w:szCs w:val="12"/>
                <w:color w:val="auto"/>
              </w:rPr>
              <w:t>101.INS</w:t>
            </w:r>
          </w:p>
        </w:tc>
        <w:tc>
          <w:tcPr>
            <w:tcW w:w="6060" w:type="dxa"/>
            <w:vAlign w:val="bottom"/>
            <w:gridSpan w:val="14"/>
          </w:tcPr>
          <w:p>
            <w:pPr>
              <w:spacing w:after="0"/>
              <w:rPr>
                <w:sz w:val="20"/>
                <w:szCs w:val="20"/>
                <w:color w:val="auto"/>
              </w:rPr>
            </w:pPr>
            <w:r>
              <w:rPr>
                <w:rFonts w:ascii="Arial" w:cs="Arial" w:eastAsia="Arial" w:hAnsi="Arial"/>
                <w:sz w:val="12"/>
                <w:szCs w:val="12"/>
                <w:color w:val="auto"/>
                <w:w w:val="90"/>
              </w:rPr>
              <w:t>Inline XBRL Instance Document – the instance document does not appear in the Interactive Data File because XBRL tags are</w:t>
            </w:r>
          </w:p>
        </w:tc>
        <w:tc>
          <w:tcPr>
            <w:tcW w:w="1320" w:type="dxa"/>
            <w:vAlign w:val="bottom"/>
          </w:tcPr>
          <w:p>
            <w:pPr>
              <w:jc w:val="center"/>
              <w:ind w:right="42"/>
              <w:spacing w:after="0"/>
              <w:rPr>
                <w:sz w:val="20"/>
                <w:szCs w:val="20"/>
                <w:color w:val="auto"/>
              </w:rPr>
            </w:pPr>
            <w:r>
              <w:rPr>
                <w:rFonts w:ascii="Arial" w:cs="Arial" w:eastAsia="Arial" w:hAnsi="Arial"/>
                <w:sz w:val="12"/>
                <w:szCs w:val="12"/>
                <w:color w:val="auto"/>
              </w:rPr>
              <w:t>X</w:t>
            </w: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48"/>
        </w:trPr>
        <w:tc>
          <w:tcPr>
            <w:tcW w:w="940" w:type="dxa"/>
            <w:vAlign w:val="bottom"/>
          </w:tcPr>
          <w:p>
            <w:pPr>
              <w:spacing w:after="0"/>
              <w:rPr>
                <w:sz w:val="12"/>
                <w:szCs w:val="12"/>
                <w:color w:val="auto"/>
              </w:rPr>
            </w:pPr>
          </w:p>
        </w:tc>
        <w:tc>
          <w:tcPr>
            <w:tcW w:w="6060" w:type="dxa"/>
            <w:vAlign w:val="bottom"/>
            <w:gridSpan w:val="14"/>
          </w:tcPr>
          <w:p>
            <w:pPr>
              <w:spacing w:after="0"/>
              <w:rPr>
                <w:sz w:val="20"/>
                <w:szCs w:val="20"/>
                <w:color w:val="auto"/>
              </w:rPr>
            </w:pPr>
            <w:r>
              <w:rPr>
                <w:rFonts w:ascii="Arial" w:cs="Arial" w:eastAsia="Arial" w:hAnsi="Arial"/>
                <w:sz w:val="12"/>
                <w:szCs w:val="12"/>
                <w:color w:val="auto"/>
              </w:rPr>
              <w:t>embedded within the Inline XBRL document.</w:t>
            </w: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62"/>
        </w:trPr>
        <w:tc>
          <w:tcPr>
            <w:tcW w:w="940" w:type="dxa"/>
            <w:vAlign w:val="bottom"/>
          </w:tcPr>
          <w:p>
            <w:pPr>
              <w:spacing w:after="0"/>
              <w:rPr>
                <w:sz w:val="20"/>
                <w:szCs w:val="20"/>
                <w:color w:val="auto"/>
              </w:rPr>
            </w:pPr>
            <w:r>
              <w:rPr>
                <w:rFonts w:ascii="Arial" w:cs="Arial" w:eastAsia="Arial" w:hAnsi="Arial"/>
                <w:sz w:val="12"/>
                <w:szCs w:val="12"/>
                <w:color w:val="auto"/>
              </w:rPr>
              <w:t>101.SCH</w:t>
            </w:r>
          </w:p>
        </w:tc>
        <w:tc>
          <w:tcPr>
            <w:tcW w:w="6060" w:type="dxa"/>
            <w:vAlign w:val="bottom"/>
            <w:gridSpan w:val="14"/>
          </w:tcPr>
          <w:p>
            <w:pPr>
              <w:spacing w:after="0"/>
              <w:rPr>
                <w:sz w:val="20"/>
                <w:szCs w:val="20"/>
                <w:color w:val="auto"/>
              </w:rPr>
            </w:pPr>
            <w:r>
              <w:rPr>
                <w:rFonts w:ascii="Arial" w:cs="Arial" w:eastAsia="Arial" w:hAnsi="Arial"/>
                <w:sz w:val="12"/>
                <w:szCs w:val="12"/>
                <w:color w:val="auto"/>
              </w:rPr>
              <w:t>Inline XBRL Taxonomy Extension Schema Document</w:t>
            </w:r>
          </w:p>
        </w:tc>
        <w:tc>
          <w:tcPr>
            <w:tcW w:w="1320" w:type="dxa"/>
            <w:vAlign w:val="bottom"/>
          </w:tcPr>
          <w:p>
            <w:pPr>
              <w:jc w:val="center"/>
              <w:ind w:right="42"/>
              <w:spacing w:after="0"/>
              <w:rPr>
                <w:sz w:val="20"/>
                <w:szCs w:val="20"/>
                <w:color w:val="auto"/>
              </w:rPr>
            </w:pPr>
            <w:r>
              <w:rPr>
                <w:rFonts w:ascii="Arial" w:cs="Arial" w:eastAsia="Arial" w:hAnsi="Arial"/>
                <w:sz w:val="12"/>
                <w:szCs w:val="12"/>
                <w:color w:val="auto"/>
              </w:rPr>
              <w:t>X</w:t>
            </w:r>
          </w:p>
        </w:tc>
        <w:tc>
          <w:tcPr>
            <w:tcW w:w="6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62"/>
        </w:trPr>
        <w:tc>
          <w:tcPr>
            <w:tcW w:w="940" w:type="dxa"/>
            <w:vAlign w:val="bottom"/>
          </w:tcPr>
          <w:p>
            <w:pPr>
              <w:spacing w:after="0"/>
              <w:rPr>
                <w:sz w:val="20"/>
                <w:szCs w:val="20"/>
                <w:color w:val="auto"/>
              </w:rPr>
            </w:pPr>
            <w:r>
              <w:rPr>
                <w:rFonts w:ascii="Arial" w:cs="Arial" w:eastAsia="Arial" w:hAnsi="Arial"/>
                <w:sz w:val="12"/>
                <w:szCs w:val="12"/>
                <w:color w:val="auto"/>
              </w:rPr>
              <w:t>101.CAL</w:t>
            </w:r>
          </w:p>
        </w:tc>
        <w:tc>
          <w:tcPr>
            <w:tcW w:w="6060" w:type="dxa"/>
            <w:vAlign w:val="bottom"/>
            <w:gridSpan w:val="14"/>
          </w:tcPr>
          <w:p>
            <w:pPr>
              <w:spacing w:after="0"/>
              <w:rPr>
                <w:sz w:val="20"/>
                <w:szCs w:val="20"/>
                <w:color w:val="auto"/>
              </w:rPr>
            </w:pPr>
            <w:r>
              <w:rPr>
                <w:rFonts w:ascii="Arial" w:cs="Arial" w:eastAsia="Arial" w:hAnsi="Arial"/>
                <w:sz w:val="12"/>
                <w:szCs w:val="12"/>
                <w:color w:val="auto"/>
              </w:rPr>
              <w:t>Inline XBRL Taxonomy Extension Calculation Linkbase Document</w:t>
            </w:r>
          </w:p>
        </w:tc>
        <w:tc>
          <w:tcPr>
            <w:tcW w:w="1320" w:type="dxa"/>
            <w:vAlign w:val="bottom"/>
          </w:tcPr>
          <w:p>
            <w:pPr>
              <w:jc w:val="center"/>
              <w:ind w:right="42"/>
              <w:spacing w:after="0"/>
              <w:rPr>
                <w:sz w:val="20"/>
                <w:szCs w:val="20"/>
                <w:color w:val="auto"/>
              </w:rPr>
            </w:pPr>
            <w:r>
              <w:rPr>
                <w:rFonts w:ascii="Arial" w:cs="Arial" w:eastAsia="Arial" w:hAnsi="Arial"/>
                <w:sz w:val="12"/>
                <w:szCs w:val="12"/>
                <w:color w:val="auto"/>
              </w:rPr>
              <w:t>X</w:t>
            </w:r>
          </w:p>
        </w:tc>
        <w:tc>
          <w:tcPr>
            <w:tcW w:w="6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62"/>
        </w:trPr>
        <w:tc>
          <w:tcPr>
            <w:tcW w:w="940" w:type="dxa"/>
            <w:vAlign w:val="bottom"/>
          </w:tcPr>
          <w:p>
            <w:pPr>
              <w:spacing w:after="0"/>
              <w:rPr>
                <w:sz w:val="20"/>
                <w:szCs w:val="20"/>
                <w:color w:val="auto"/>
              </w:rPr>
            </w:pPr>
            <w:r>
              <w:rPr>
                <w:rFonts w:ascii="Arial" w:cs="Arial" w:eastAsia="Arial" w:hAnsi="Arial"/>
                <w:sz w:val="12"/>
                <w:szCs w:val="12"/>
                <w:color w:val="auto"/>
              </w:rPr>
              <w:t>101.DEF</w:t>
            </w:r>
          </w:p>
        </w:tc>
        <w:tc>
          <w:tcPr>
            <w:tcW w:w="6060" w:type="dxa"/>
            <w:vAlign w:val="bottom"/>
            <w:gridSpan w:val="14"/>
          </w:tcPr>
          <w:p>
            <w:pPr>
              <w:spacing w:after="0"/>
              <w:rPr>
                <w:sz w:val="20"/>
                <w:szCs w:val="20"/>
                <w:color w:val="auto"/>
              </w:rPr>
            </w:pPr>
            <w:r>
              <w:rPr>
                <w:rFonts w:ascii="Arial" w:cs="Arial" w:eastAsia="Arial" w:hAnsi="Arial"/>
                <w:sz w:val="12"/>
                <w:szCs w:val="12"/>
                <w:color w:val="auto"/>
              </w:rPr>
              <w:t>Inline XBRL Taxonomy Extension Definition Linkbase Document</w:t>
            </w:r>
          </w:p>
        </w:tc>
        <w:tc>
          <w:tcPr>
            <w:tcW w:w="1320" w:type="dxa"/>
            <w:vAlign w:val="bottom"/>
          </w:tcPr>
          <w:p>
            <w:pPr>
              <w:jc w:val="center"/>
              <w:ind w:right="42"/>
              <w:spacing w:after="0"/>
              <w:rPr>
                <w:sz w:val="20"/>
                <w:szCs w:val="20"/>
                <w:color w:val="auto"/>
              </w:rPr>
            </w:pPr>
            <w:r>
              <w:rPr>
                <w:rFonts w:ascii="Arial" w:cs="Arial" w:eastAsia="Arial" w:hAnsi="Arial"/>
                <w:sz w:val="12"/>
                <w:szCs w:val="12"/>
                <w:color w:val="auto"/>
              </w:rPr>
              <w:t>X</w:t>
            </w:r>
          </w:p>
        </w:tc>
        <w:tc>
          <w:tcPr>
            <w:tcW w:w="6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62"/>
        </w:trPr>
        <w:tc>
          <w:tcPr>
            <w:tcW w:w="940" w:type="dxa"/>
            <w:vAlign w:val="bottom"/>
          </w:tcPr>
          <w:p>
            <w:pPr>
              <w:spacing w:after="0"/>
              <w:rPr>
                <w:sz w:val="20"/>
                <w:szCs w:val="20"/>
                <w:color w:val="auto"/>
              </w:rPr>
            </w:pPr>
            <w:r>
              <w:rPr>
                <w:rFonts w:ascii="Arial" w:cs="Arial" w:eastAsia="Arial" w:hAnsi="Arial"/>
                <w:sz w:val="12"/>
                <w:szCs w:val="12"/>
                <w:color w:val="auto"/>
              </w:rPr>
              <w:t>101.LAB</w:t>
            </w:r>
          </w:p>
        </w:tc>
        <w:tc>
          <w:tcPr>
            <w:tcW w:w="6060" w:type="dxa"/>
            <w:vAlign w:val="bottom"/>
            <w:gridSpan w:val="14"/>
          </w:tcPr>
          <w:p>
            <w:pPr>
              <w:spacing w:after="0"/>
              <w:rPr>
                <w:sz w:val="20"/>
                <w:szCs w:val="20"/>
                <w:color w:val="auto"/>
              </w:rPr>
            </w:pPr>
            <w:r>
              <w:rPr>
                <w:rFonts w:ascii="Arial" w:cs="Arial" w:eastAsia="Arial" w:hAnsi="Arial"/>
                <w:sz w:val="12"/>
                <w:szCs w:val="12"/>
                <w:color w:val="auto"/>
              </w:rPr>
              <w:t>Inline XBRL Taxonomy Extension Label Linkbase Document</w:t>
            </w:r>
          </w:p>
        </w:tc>
        <w:tc>
          <w:tcPr>
            <w:tcW w:w="1320" w:type="dxa"/>
            <w:vAlign w:val="bottom"/>
          </w:tcPr>
          <w:p>
            <w:pPr>
              <w:jc w:val="center"/>
              <w:ind w:right="42"/>
              <w:spacing w:after="0"/>
              <w:rPr>
                <w:sz w:val="20"/>
                <w:szCs w:val="20"/>
                <w:color w:val="auto"/>
              </w:rPr>
            </w:pPr>
            <w:r>
              <w:rPr>
                <w:rFonts w:ascii="Arial" w:cs="Arial" w:eastAsia="Arial" w:hAnsi="Arial"/>
                <w:sz w:val="12"/>
                <w:szCs w:val="12"/>
                <w:color w:val="auto"/>
              </w:rPr>
              <w:t>X</w:t>
            </w:r>
          </w:p>
        </w:tc>
        <w:tc>
          <w:tcPr>
            <w:tcW w:w="6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62"/>
        </w:trPr>
        <w:tc>
          <w:tcPr>
            <w:tcW w:w="940" w:type="dxa"/>
            <w:vAlign w:val="bottom"/>
          </w:tcPr>
          <w:p>
            <w:pPr>
              <w:spacing w:after="0"/>
              <w:rPr>
                <w:sz w:val="20"/>
                <w:szCs w:val="20"/>
                <w:color w:val="auto"/>
              </w:rPr>
            </w:pPr>
            <w:r>
              <w:rPr>
                <w:rFonts w:ascii="Arial" w:cs="Arial" w:eastAsia="Arial" w:hAnsi="Arial"/>
                <w:sz w:val="12"/>
                <w:szCs w:val="12"/>
                <w:color w:val="auto"/>
              </w:rPr>
              <w:t>101.PRE</w:t>
            </w:r>
          </w:p>
        </w:tc>
        <w:tc>
          <w:tcPr>
            <w:tcW w:w="6060" w:type="dxa"/>
            <w:vAlign w:val="bottom"/>
            <w:gridSpan w:val="14"/>
          </w:tcPr>
          <w:p>
            <w:pPr>
              <w:spacing w:after="0"/>
              <w:rPr>
                <w:sz w:val="20"/>
                <w:szCs w:val="20"/>
                <w:color w:val="auto"/>
              </w:rPr>
            </w:pPr>
            <w:r>
              <w:rPr>
                <w:rFonts w:ascii="Arial" w:cs="Arial" w:eastAsia="Arial" w:hAnsi="Arial"/>
                <w:sz w:val="12"/>
                <w:szCs w:val="12"/>
                <w:color w:val="auto"/>
              </w:rPr>
              <w:t>Inline XBRL Taxonomy Extension Presentation Linkbase Document</w:t>
            </w:r>
          </w:p>
        </w:tc>
        <w:tc>
          <w:tcPr>
            <w:tcW w:w="1320" w:type="dxa"/>
            <w:vAlign w:val="bottom"/>
          </w:tcPr>
          <w:p>
            <w:pPr>
              <w:jc w:val="center"/>
              <w:ind w:right="42"/>
              <w:spacing w:after="0"/>
              <w:rPr>
                <w:sz w:val="20"/>
                <w:szCs w:val="20"/>
                <w:color w:val="auto"/>
              </w:rPr>
            </w:pPr>
            <w:r>
              <w:rPr>
                <w:rFonts w:ascii="Arial" w:cs="Arial" w:eastAsia="Arial" w:hAnsi="Arial"/>
                <w:sz w:val="12"/>
                <w:szCs w:val="12"/>
                <w:color w:val="auto"/>
              </w:rPr>
              <w:t>X</w:t>
            </w:r>
          </w:p>
        </w:tc>
        <w:tc>
          <w:tcPr>
            <w:tcW w:w="6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62"/>
        </w:trPr>
        <w:tc>
          <w:tcPr>
            <w:tcW w:w="940" w:type="dxa"/>
            <w:vAlign w:val="bottom"/>
          </w:tcPr>
          <w:p>
            <w:pPr>
              <w:spacing w:after="0"/>
              <w:rPr>
                <w:sz w:val="20"/>
                <w:szCs w:val="20"/>
                <w:color w:val="auto"/>
              </w:rPr>
            </w:pPr>
            <w:r>
              <w:rPr>
                <w:rFonts w:ascii="Arial" w:cs="Arial" w:eastAsia="Arial" w:hAnsi="Arial"/>
                <w:sz w:val="12"/>
                <w:szCs w:val="12"/>
                <w:color w:val="auto"/>
              </w:rPr>
              <w:t>104</w:t>
            </w:r>
          </w:p>
        </w:tc>
        <w:tc>
          <w:tcPr>
            <w:tcW w:w="6060" w:type="dxa"/>
            <w:vAlign w:val="bottom"/>
            <w:gridSpan w:val="14"/>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c>
          <w:tcPr>
            <w:tcW w:w="1320" w:type="dxa"/>
            <w:vAlign w:val="bottom"/>
          </w:tcPr>
          <w:p>
            <w:pPr>
              <w:jc w:val="center"/>
              <w:ind w:right="42"/>
              <w:spacing w:after="0"/>
              <w:rPr>
                <w:sz w:val="20"/>
                <w:szCs w:val="20"/>
                <w:color w:val="auto"/>
              </w:rPr>
            </w:pPr>
            <w:r>
              <w:rPr>
                <w:rFonts w:ascii="Arial" w:cs="Arial" w:eastAsia="Arial" w:hAnsi="Arial"/>
                <w:sz w:val="12"/>
                <w:szCs w:val="12"/>
                <w:color w:val="auto"/>
              </w:rPr>
              <w:t>X</w:t>
            </w:r>
          </w:p>
        </w:tc>
        <w:tc>
          <w:tcPr>
            <w:tcW w:w="6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r>
    </w:tbl>
    <w:p>
      <w:pPr>
        <w:spacing w:after="0" w:line="118" w:lineRule="exact"/>
        <w:rPr>
          <w:sz w:val="20"/>
          <w:szCs w:val="20"/>
          <w:color w:val="auto"/>
        </w:rPr>
      </w:pPr>
    </w:p>
    <w:p>
      <w:pPr>
        <w:ind w:left="233" w:hanging="233"/>
        <w:spacing w:after="0"/>
        <w:tabs>
          <w:tab w:leader="none" w:pos="233" w:val="left"/>
        </w:tabs>
        <w:numPr>
          <w:ilvl w:val="0"/>
          <w:numId w:val="4"/>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1194435"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1194435" cy="6985"/>
                    </a:xfrm>
                    <a:prstGeom prst="rect">
                      <a:avLst/>
                    </a:prstGeom>
                    <a:noFill/>
                  </pic:spPr>
                </pic:pic>
              </a:graphicData>
            </a:graphic>
          </wp:anchor>
        </w:drawing>
      </w:r>
    </w:p>
    <w:p>
      <w:pPr>
        <w:ind w:left="233" w:hanging="233"/>
        <w:spacing w:after="0" w:line="209" w:lineRule="auto"/>
        <w:tabs>
          <w:tab w:leader="none" w:pos="233" w:val="left"/>
        </w:tabs>
        <w:numPr>
          <w:ilvl w:val="0"/>
          <w:numId w:val="5"/>
        </w:numPr>
        <w:rPr>
          <w:rFonts w:ascii="Arial" w:cs="Arial" w:eastAsia="Arial" w:hAnsi="Arial"/>
          <w:sz w:val="12"/>
          <w:szCs w:val="12"/>
          <w:color w:val="auto"/>
        </w:rPr>
      </w:pPr>
      <w:r>
        <w:rPr>
          <w:rFonts w:ascii="Arial" w:cs="Arial" w:eastAsia="Arial" w:hAnsi="Arial"/>
          <w:sz w:val="12"/>
          <w:szCs w:val="12"/>
          <w:color w:val="auto"/>
        </w:rPr>
        <w:t>Management compensation plan or arrangement.</w:t>
      </w:r>
    </w:p>
    <w:p>
      <w:pPr>
        <w:ind w:left="233" w:hanging="233"/>
        <w:spacing w:after="0"/>
        <w:tabs>
          <w:tab w:leader="none" w:pos="233" w:val="left"/>
        </w:tabs>
        <w:numPr>
          <w:ilvl w:val="0"/>
          <w:numId w:val="6"/>
        </w:numPr>
        <w:rPr>
          <w:rFonts w:ascii="Arial" w:cs="Arial" w:eastAsia="Arial" w:hAnsi="Arial"/>
          <w:sz w:val="10"/>
          <w:szCs w:val="10"/>
          <w:color w:val="auto"/>
        </w:rPr>
      </w:pPr>
      <w:r>
        <w:rPr>
          <w:rFonts w:ascii="Arial" w:cs="Arial" w:eastAsia="Arial" w:hAnsi="Arial"/>
          <w:sz w:val="10"/>
          <w:szCs w:val="10"/>
          <w:color w:val="auto"/>
        </w:rPr>
        <w:t>Certain exhibits and schedules have been omitted pursuant to Item 601(a)(5) of Regulation S-K. The Company hereby undertakes to furnish supplementally a copy of any omitted exhibit or schedule upon request by the SEC.</w:t>
      </w:r>
    </w:p>
    <w:p>
      <w:pPr>
        <w:spacing w:after="0" w:line="175" w:lineRule="exact"/>
        <w:rPr>
          <w:sz w:val="20"/>
          <w:szCs w:val="20"/>
          <w:color w:val="auto"/>
        </w:rPr>
      </w:pPr>
    </w:p>
    <w:p>
      <w:pPr>
        <w:jc w:val="center"/>
        <w:ind w:right="-172"/>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83755" cy="393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093"/>
          </w:cols>
          <w:pgMar w:left="307" w:top="300" w:right="49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5"/>
          <w:szCs w:val="15"/>
          <w:b w:val="1"/>
          <w:bCs w:val="1"/>
          <w:color w:val="auto"/>
        </w:rPr>
        <w:t>SIGNATURES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7160" w:type="dxa"/>
            <w:vAlign w:val="bottom"/>
            <w:gridSpan w:val="2"/>
          </w:tcPr>
          <w:p>
            <w:pPr>
              <w:ind w:left="2720"/>
              <w:spacing w:after="0"/>
              <w:rPr>
                <w:sz w:val="20"/>
                <w:szCs w:val="20"/>
                <w:color w:val="auto"/>
              </w:rPr>
            </w:pPr>
            <w:r>
              <w:rPr>
                <w:rFonts w:ascii="Arial" w:cs="Arial" w:eastAsia="Arial" w:hAnsi="Arial"/>
                <w:sz w:val="15"/>
                <w:szCs w:val="15"/>
                <w:b w:val="1"/>
                <w:bCs w:val="1"/>
                <w:color w:val="auto"/>
              </w:rPr>
              <w:t>FULGENT GENETICS, INC.</w:t>
            </w:r>
          </w:p>
        </w:tc>
      </w:tr>
      <w:tr>
        <w:trPr>
          <w:trHeight w:val="382"/>
        </w:trPr>
        <w:tc>
          <w:tcPr>
            <w:tcW w:w="4100" w:type="dxa"/>
            <w:vAlign w:val="bottom"/>
          </w:tcPr>
          <w:p>
            <w:pPr>
              <w:spacing w:after="0"/>
              <w:rPr>
                <w:sz w:val="20"/>
                <w:szCs w:val="20"/>
                <w:color w:val="auto"/>
              </w:rPr>
            </w:pPr>
            <w:r>
              <w:rPr>
                <w:rFonts w:ascii="Arial" w:cs="Arial" w:eastAsia="Arial" w:hAnsi="Arial"/>
                <w:sz w:val="15"/>
                <w:szCs w:val="15"/>
                <w:color w:val="auto"/>
              </w:rPr>
              <w:t>Date: November 3, 2023</w:t>
            </w:r>
          </w:p>
        </w:tc>
        <w:tc>
          <w:tcPr>
            <w:tcW w:w="3000" w:type="dxa"/>
            <w:vAlign w:val="bottom"/>
          </w:tcPr>
          <w:p>
            <w:pPr>
              <w:ind w:left="2680"/>
              <w:spacing w:after="0"/>
              <w:rPr>
                <w:sz w:val="20"/>
                <w:szCs w:val="20"/>
                <w:color w:val="auto"/>
              </w:rPr>
            </w:pPr>
            <w:r>
              <w:rPr>
                <w:rFonts w:ascii="Arial" w:cs="Arial" w:eastAsia="Arial" w:hAnsi="Arial"/>
                <w:sz w:val="15"/>
                <w:szCs w:val="15"/>
                <w:color w:val="auto"/>
              </w:rPr>
              <w:t>By:</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M</w:t>
            </w:r>
            <w:r>
              <w:rPr>
                <w:rFonts w:ascii="Arial" w:cs="Arial" w:eastAsia="Arial" w:hAnsi="Arial"/>
                <w:sz w:val="9"/>
                <w:szCs w:val="9"/>
                <w:color w:val="auto"/>
              </w:rPr>
              <w:t>ing</w:t>
            </w:r>
            <w:r>
              <w:rPr>
                <w:rFonts w:ascii="Arial" w:cs="Arial" w:eastAsia="Arial" w:hAnsi="Arial"/>
                <w:sz w:val="15"/>
                <w:szCs w:val="15"/>
                <w:color w:val="auto"/>
              </w:rPr>
              <w:t xml:space="preserve"> H</w:t>
            </w:r>
            <w:r>
              <w:rPr>
                <w:rFonts w:ascii="Arial" w:cs="Arial" w:eastAsia="Arial" w:hAnsi="Arial"/>
                <w:sz w:val="9"/>
                <w:szCs w:val="9"/>
                <w:color w:val="auto"/>
              </w:rPr>
              <w:t>sieh</w:t>
            </w:r>
          </w:p>
        </w:tc>
      </w:tr>
      <w:tr>
        <w:trPr>
          <w:trHeight w:val="166"/>
        </w:trPr>
        <w:tc>
          <w:tcPr>
            <w:tcW w:w="4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160" w:type="dxa"/>
            <w:vAlign w:val="bottom"/>
          </w:tcPr>
          <w:p>
            <w:pPr>
              <w:jc w:val="center"/>
              <w:spacing w:after="0" w:line="167" w:lineRule="exact"/>
              <w:rPr>
                <w:sz w:val="20"/>
                <w:szCs w:val="20"/>
                <w:color w:val="auto"/>
              </w:rPr>
            </w:pPr>
            <w:r>
              <w:rPr>
                <w:rFonts w:ascii="Arial" w:cs="Arial" w:eastAsia="Arial" w:hAnsi="Arial"/>
                <w:sz w:val="15"/>
                <w:szCs w:val="15"/>
                <w:color w:val="auto"/>
                <w:w w:val="90"/>
              </w:rPr>
              <w:t>Ming Hsieh</w:t>
            </w:r>
          </w:p>
        </w:tc>
      </w:tr>
      <w:tr>
        <w:trPr>
          <w:trHeight w:val="175"/>
        </w:trPr>
        <w:tc>
          <w:tcPr>
            <w:tcW w:w="4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160" w:type="dxa"/>
            <w:vAlign w:val="bottom"/>
          </w:tcPr>
          <w:p>
            <w:pPr>
              <w:jc w:val="center"/>
              <w:spacing w:after="0"/>
              <w:rPr>
                <w:sz w:val="20"/>
                <w:szCs w:val="20"/>
                <w:color w:val="auto"/>
              </w:rPr>
            </w:pPr>
            <w:r>
              <w:rPr>
                <w:rFonts w:ascii="Arial" w:cs="Arial" w:eastAsia="Arial" w:hAnsi="Arial"/>
                <w:sz w:val="15"/>
                <w:szCs w:val="15"/>
                <w:color w:val="auto"/>
                <w:w w:val="91"/>
              </w:rPr>
              <w:t>Chief Executive Officer</w:t>
            </w:r>
          </w:p>
        </w:tc>
      </w:tr>
      <w:tr>
        <w:trPr>
          <w:trHeight w:val="186"/>
        </w:trPr>
        <w:tc>
          <w:tcPr>
            <w:tcW w:w="4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60" w:type="dxa"/>
            <w:vAlign w:val="bottom"/>
          </w:tcPr>
          <w:p>
            <w:pPr>
              <w:jc w:val="center"/>
              <w:spacing w:after="0"/>
              <w:rPr>
                <w:sz w:val="20"/>
                <w:szCs w:val="20"/>
                <w:color w:val="auto"/>
              </w:rPr>
            </w:pPr>
            <w:r>
              <w:rPr>
                <w:rFonts w:ascii="Arial" w:cs="Arial" w:eastAsia="Arial" w:hAnsi="Arial"/>
                <w:sz w:val="15"/>
                <w:szCs w:val="15"/>
                <w:i w:val="1"/>
                <w:iCs w:val="1"/>
                <w:color w:val="auto"/>
                <w:w w:val="91"/>
              </w:rPr>
              <w:t>(principal executive officer)</w:t>
            </w:r>
          </w:p>
        </w:tc>
      </w:tr>
      <w:tr>
        <w:trPr>
          <w:trHeight w:val="382"/>
        </w:trPr>
        <w:tc>
          <w:tcPr>
            <w:tcW w:w="4100" w:type="dxa"/>
            <w:vAlign w:val="bottom"/>
          </w:tcPr>
          <w:p>
            <w:pPr>
              <w:spacing w:after="0"/>
              <w:rPr>
                <w:sz w:val="20"/>
                <w:szCs w:val="20"/>
                <w:color w:val="auto"/>
              </w:rPr>
            </w:pPr>
            <w:r>
              <w:rPr>
                <w:rFonts w:ascii="Arial" w:cs="Arial" w:eastAsia="Arial" w:hAnsi="Arial"/>
                <w:sz w:val="15"/>
                <w:szCs w:val="15"/>
                <w:color w:val="auto"/>
              </w:rPr>
              <w:t>Date: November 3, 2023</w:t>
            </w:r>
          </w:p>
        </w:tc>
        <w:tc>
          <w:tcPr>
            <w:tcW w:w="3000" w:type="dxa"/>
            <w:vAlign w:val="bottom"/>
          </w:tcPr>
          <w:p>
            <w:pPr>
              <w:ind w:left="2680"/>
              <w:spacing w:after="0"/>
              <w:rPr>
                <w:sz w:val="20"/>
                <w:szCs w:val="20"/>
                <w:color w:val="auto"/>
              </w:rPr>
            </w:pPr>
            <w:r>
              <w:rPr>
                <w:rFonts w:ascii="Arial" w:cs="Arial" w:eastAsia="Arial" w:hAnsi="Arial"/>
                <w:sz w:val="15"/>
                <w:szCs w:val="15"/>
                <w:color w:val="auto"/>
              </w:rPr>
              <w:t>By:</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P</w:t>
            </w:r>
            <w:r>
              <w:rPr>
                <w:rFonts w:ascii="Arial" w:cs="Arial" w:eastAsia="Arial" w:hAnsi="Arial"/>
                <w:sz w:val="9"/>
                <w:szCs w:val="9"/>
                <w:color w:val="auto"/>
              </w:rPr>
              <w:t>aul</w:t>
            </w:r>
            <w:r>
              <w:rPr>
                <w:rFonts w:ascii="Arial" w:cs="Arial" w:eastAsia="Arial" w:hAnsi="Arial"/>
                <w:sz w:val="15"/>
                <w:szCs w:val="15"/>
                <w:color w:val="auto"/>
              </w:rPr>
              <w:t xml:space="preserve"> K</w:t>
            </w:r>
            <w:r>
              <w:rPr>
                <w:rFonts w:ascii="Arial" w:cs="Arial" w:eastAsia="Arial" w:hAnsi="Arial"/>
                <w:sz w:val="9"/>
                <w:szCs w:val="9"/>
                <w:color w:val="auto"/>
              </w:rPr>
              <w:t>im</w:t>
            </w:r>
          </w:p>
        </w:tc>
      </w:tr>
      <w:tr>
        <w:trPr>
          <w:trHeight w:val="166"/>
        </w:trPr>
        <w:tc>
          <w:tcPr>
            <w:tcW w:w="4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160" w:type="dxa"/>
            <w:vAlign w:val="bottom"/>
          </w:tcPr>
          <w:p>
            <w:pPr>
              <w:jc w:val="center"/>
              <w:spacing w:after="0" w:line="167" w:lineRule="exact"/>
              <w:rPr>
                <w:sz w:val="20"/>
                <w:szCs w:val="20"/>
                <w:color w:val="auto"/>
              </w:rPr>
            </w:pPr>
            <w:r>
              <w:rPr>
                <w:rFonts w:ascii="Arial" w:cs="Arial" w:eastAsia="Arial" w:hAnsi="Arial"/>
                <w:sz w:val="15"/>
                <w:szCs w:val="15"/>
                <w:color w:val="auto"/>
                <w:w w:val="93"/>
              </w:rPr>
              <w:t>Paul Kim</w:t>
            </w:r>
          </w:p>
        </w:tc>
      </w:tr>
      <w:tr>
        <w:trPr>
          <w:trHeight w:val="186"/>
        </w:trPr>
        <w:tc>
          <w:tcPr>
            <w:tcW w:w="4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60" w:type="dxa"/>
            <w:vAlign w:val="bottom"/>
          </w:tcPr>
          <w:p>
            <w:pPr>
              <w:jc w:val="center"/>
              <w:spacing w:after="0"/>
              <w:rPr>
                <w:sz w:val="20"/>
                <w:szCs w:val="20"/>
                <w:color w:val="auto"/>
              </w:rPr>
            </w:pPr>
            <w:r>
              <w:rPr>
                <w:rFonts w:ascii="Arial" w:cs="Arial" w:eastAsia="Arial" w:hAnsi="Arial"/>
                <w:sz w:val="15"/>
                <w:szCs w:val="15"/>
                <w:color w:val="auto"/>
                <w:w w:val="92"/>
              </w:rPr>
              <w:t>Chief Financial Officer</w:t>
            </w:r>
          </w:p>
        </w:tc>
      </w:tr>
    </w:tbl>
    <w:p>
      <w:pPr>
        <w:ind w:left="7900"/>
        <w:spacing w:after="0"/>
        <w:rPr>
          <w:sz w:val="20"/>
          <w:szCs w:val="20"/>
          <w:color w:val="auto"/>
        </w:rPr>
      </w:pPr>
      <w:r>
        <w:rPr>
          <w:rFonts w:ascii="Arial" w:cs="Arial" w:eastAsia="Arial" w:hAnsi="Arial"/>
          <w:sz w:val="15"/>
          <w:szCs w:val="15"/>
          <w:i w:val="1"/>
          <w:iCs w:val="1"/>
          <w:color w:val="auto"/>
        </w:rPr>
        <w:t>(principal financial and accounting officer)</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51435</wp:posOffset>
            </wp:positionV>
            <wp:extent cx="7183755" cy="393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b w:val="1"/>
          <w:bCs w:val="1"/>
          <w:color w:val="auto"/>
        </w:rPr>
        <w:t>Exhibit 10.1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52525"/>
        </w:rPr>
        <w:t>FULGENT GENETICS,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52525"/>
        </w:rPr>
        <w:t>AMENDED AND RESTATED INCENTIVE COMPENSATION RECOUPMENT POLICY</w:t>
      </w:r>
    </w:p>
    <w:p>
      <w:pPr>
        <w:spacing w:after="0" w:line="188" w:lineRule="exact"/>
        <w:rPr>
          <w:sz w:val="20"/>
          <w:szCs w:val="20"/>
          <w:color w:val="auto"/>
        </w:rPr>
      </w:pPr>
    </w:p>
    <w:p>
      <w:pPr>
        <w:ind w:left="520" w:hanging="513"/>
        <w:spacing w:after="0"/>
        <w:tabs>
          <w:tab w:leader="none" w:pos="520" w:val="left"/>
        </w:tabs>
        <w:numPr>
          <w:ilvl w:val="0"/>
          <w:numId w:val="7"/>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Introduction</w:t>
      </w:r>
    </w:p>
    <w:p>
      <w:pPr>
        <w:spacing w:after="0" w:line="89" w:lineRule="exact"/>
        <w:rPr>
          <w:sz w:val="20"/>
          <w:szCs w:val="20"/>
          <w:color w:val="auto"/>
        </w:rPr>
      </w:pPr>
    </w:p>
    <w:p>
      <w:pPr>
        <w:jc w:val="both"/>
        <w:ind w:firstLine="752"/>
        <w:spacing w:after="0" w:line="247" w:lineRule="auto"/>
        <w:rPr>
          <w:sz w:val="20"/>
          <w:szCs w:val="20"/>
          <w:color w:val="auto"/>
        </w:rPr>
      </w:pPr>
      <w:r>
        <w:rPr>
          <w:rFonts w:ascii="Arial" w:cs="Arial" w:eastAsia="Arial" w:hAnsi="Arial"/>
          <w:sz w:val="16"/>
          <w:szCs w:val="16"/>
          <w:color w:val="252525"/>
        </w:rPr>
        <w:t>The Compensation Committee of the Board of Directors (the “</w:t>
      </w:r>
      <w:r>
        <w:rPr>
          <w:rFonts w:ascii="Arial" w:cs="Arial" w:eastAsia="Arial" w:hAnsi="Arial"/>
          <w:sz w:val="16"/>
          <w:szCs w:val="16"/>
          <w:b w:val="1"/>
          <w:bCs w:val="1"/>
          <w:color w:val="252525"/>
        </w:rPr>
        <w:t>Committee</w:t>
      </w:r>
      <w:r>
        <w:rPr>
          <w:rFonts w:ascii="Arial" w:cs="Arial" w:eastAsia="Arial" w:hAnsi="Arial"/>
          <w:sz w:val="16"/>
          <w:szCs w:val="16"/>
          <w:color w:val="252525"/>
        </w:rPr>
        <w:t>”) of Fulgent Genetics, Inc. (the “</w:t>
      </w:r>
      <w:r>
        <w:rPr>
          <w:rFonts w:ascii="Arial" w:cs="Arial" w:eastAsia="Arial" w:hAnsi="Arial"/>
          <w:sz w:val="16"/>
          <w:szCs w:val="16"/>
          <w:b w:val="1"/>
          <w:bCs w:val="1"/>
          <w:color w:val="252525"/>
        </w:rPr>
        <w:t>Company</w:t>
      </w:r>
      <w:r>
        <w:rPr>
          <w:rFonts w:ascii="Arial" w:cs="Arial" w:eastAsia="Arial" w:hAnsi="Arial"/>
          <w:sz w:val="16"/>
          <w:szCs w:val="16"/>
          <w:color w:val="252525"/>
        </w:rPr>
        <w:t>”) believes it is in the best interests of the Company and its shareholders to create and maintain a culture that emphasizes integrity and accountability and that reinforces the Company’s pay-for-performance compensation philosophy. The Committee has therefore adopted this amended and restated policy, effective as of October 2, 2023 (the “</w:t>
      </w:r>
      <w:r>
        <w:rPr>
          <w:rFonts w:ascii="Arial" w:cs="Arial" w:eastAsia="Arial" w:hAnsi="Arial"/>
          <w:sz w:val="16"/>
          <w:szCs w:val="16"/>
          <w:b w:val="1"/>
          <w:bCs w:val="1"/>
          <w:color w:val="252525"/>
        </w:rPr>
        <w:t>Effective Date</w:t>
      </w:r>
      <w:r>
        <w:rPr>
          <w:rFonts w:ascii="Arial" w:cs="Arial" w:eastAsia="Arial" w:hAnsi="Arial"/>
          <w:sz w:val="16"/>
          <w:szCs w:val="16"/>
          <w:color w:val="252525"/>
        </w:rPr>
        <w:t>”), which provides for the recoupment of certain executive compensation in the event of (i) an accounting restatement resulting from material noncompliance with financial reporting requirements under the federal securities laws and (ii) serious misconduct (as discussed below in Section V(b)) (the “</w:t>
      </w:r>
      <w:r>
        <w:rPr>
          <w:rFonts w:ascii="Arial" w:cs="Arial" w:eastAsia="Arial" w:hAnsi="Arial"/>
          <w:sz w:val="16"/>
          <w:szCs w:val="16"/>
          <w:b w:val="1"/>
          <w:bCs w:val="1"/>
          <w:color w:val="252525"/>
        </w:rPr>
        <w:t>Policy</w:t>
      </w:r>
      <w:r>
        <w:rPr>
          <w:rFonts w:ascii="Arial" w:cs="Arial" w:eastAsia="Arial" w:hAnsi="Arial"/>
          <w:sz w:val="16"/>
          <w:szCs w:val="16"/>
          <w:color w:val="252525"/>
        </w:rPr>
        <w:t>”). This Policy is designed to comply with Section 10D of the Securities Exchange Act of 1934, as amended (the “</w:t>
      </w:r>
      <w:r>
        <w:rPr>
          <w:rFonts w:ascii="Arial" w:cs="Arial" w:eastAsia="Arial" w:hAnsi="Arial"/>
          <w:sz w:val="16"/>
          <w:szCs w:val="16"/>
          <w:b w:val="1"/>
          <w:bCs w:val="1"/>
          <w:color w:val="252525"/>
        </w:rPr>
        <w:t>Exchange Act</w:t>
      </w:r>
      <w:r>
        <w:rPr>
          <w:rFonts w:ascii="Arial" w:cs="Arial" w:eastAsia="Arial" w:hAnsi="Arial"/>
          <w:sz w:val="16"/>
          <w:szCs w:val="16"/>
          <w:color w:val="252525"/>
        </w:rPr>
        <w:t>”), and final rules and amendments adopted by the Securities and Exchange Commission (the “</w:t>
      </w:r>
      <w:r>
        <w:rPr>
          <w:rFonts w:ascii="Arial" w:cs="Arial" w:eastAsia="Arial" w:hAnsi="Arial"/>
          <w:sz w:val="16"/>
          <w:szCs w:val="16"/>
          <w:b w:val="1"/>
          <w:bCs w:val="1"/>
          <w:color w:val="252525"/>
        </w:rPr>
        <w:t>SEC</w:t>
      </w:r>
      <w:r>
        <w:rPr>
          <w:rFonts w:ascii="Arial" w:cs="Arial" w:eastAsia="Arial" w:hAnsi="Arial"/>
          <w:sz w:val="16"/>
          <w:szCs w:val="16"/>
          <w:color w:val="252525"/>
        </w:rPr>
        <w:t>”) to implement the aforementioned legislation.</w:t>
      </w:r>
    </w:p>
    <w:p>
      <w:pPr>
        <w:spacing w:after="0" w:line="63" w:lineRule="exact"/>
        <w:rPr>
          <w:sz w:val="20"/>
          <w:szCs w:val="20"/>
          <w:color w:val="auto"/>
        </w:rPr>
      </w:pPr>
    </w:p>
    <w:p>
      <w:pPr>
        <w:ind w:left="520" w:hanging="513"/>
        <w:spacing w:after="0"/>
        <w:tabs>
          <w:tab w:leader="none" w:pos="520" w:val="left"/>
        </w:tabs>
        <w:numPr>
          <w:ilvl w:val="0"/>
          <w:numId w:val="8"/>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Administration</w:t>
      </w:r>
    </w:p>
    <w:p>
      <w:pPr>
        <w:spacing w:after="0" w:line="93" w:lineRule="exact"/>
        <w:rPr>
          <w:sz w:val="20"/>
          <w:szCs w:val="20"/>
          <w:color w:val="auto"/>
        </w:rPr>
      </w:pPr>
    </w:p>
    <w:p>
      <w:pPr>
        <w:jc w:val="both"/>
        <w:ind w:firstLine="752"/>
        <w:spacing w:after="0" w:line="309" w:lineRule="auto"/>
        <w:rPr>
          <w:sz w:val="20"/>
          <w:szCs w:val="20"/>
          <w:color w:val="auto"/>
        </w:rPr>
      </w:pPr>
      <w:r>
        <w:rPr>
          <w:rFonts w:ascii="Arial" w:cs="Arial" w:eastAsia="Arial" w:hAnsi="Arial"/>
          <w:sz w:val="14"/>
          <w:szCs w:val="14"/>
          <w:color w:val="252525"/>
        </w:rPr>
        <w:t>This Policy shall be administered by the Compensation Committee. The Committee shall recover any excess Financials Incentive-Based Compensation (as defined below) in accordance with this Policy unless such recovery would be impracticable, as determined by the Committee in accordance with Rule 10D-1 of the Exchange Act and any applicable rules or standards adopted by the SEC and the listing standards of any national securities exchange on which the Company’s securities are listed.</w:t>
      </w:r>
    </w:p>
    <w:p>
      <w:pPr>
        <w:spacing w:after="0" w:line="23" w:lineRule="exact"/>
        <w:rPr>
          <w:sz w:val="20"/>
          <w:szCs w:val="20"/>
          <w:color w:val="auto"/>
        </w:rPr>
      </w:pPr>
    </w:p>
    <w:p>
      <w:pPr>
        <w:jc w:val="both"/>
        <w:ind w:firstLine="752"/>
        <w:spacing w:after="0" w:line="269" w:lineRule="auto"/>
        <w:rPr>
          <w:sz w:val="20"/>
          <w:szCs w:val="20"/>
          <w:color w:val="auto"/>
        </w:rPr>
      </w:pPr>
      <w:r>
        <w:rPr>
          <w:rFonts w:ascii="Arial" w:cs="Arial" w:eastAsia="Arial" w:hAnsi="Arial"/>
          <w:sz w:val="15"/>
          <w:szCs w:val="15"/>
          <w:color w:val="252525"/>
        </w:rPr>
        <w:t>With respect to Incentive Compensation (as defined below) that is not also Financials Incentive-Based Compensation, the Committee will consider the facts and circumstances related to possible recoupment decisions and make determinations in its discretion regarding seeking recoupment. Any determination to seek recoupment under Section V(b) of this Policy shall only be made after providing the Covered Executive, upon their request, a reasonable opportunity to appear before the Committee to present their position regarding the alleged misconduct being considered by the Committee and to present and explain any exculpatory and/or mitigating information and related documents that they believe to be relevant. Any determinations made by the Committee shall be final and binding on all affected individuals.</w:t>
      </w:r>
    </w:p>
    <w:p>
      <w:pPr>
        <w:spacing w:after="0" w:line="46" w:lineRule="exact"/>
        <w:rPr>
          <w:sz w:val="20"/>
          <w:szCs w:val="20"/>
          <w:color w:val="auto"/>
        </w:rPr>
      </w:pPr>
    </w:p>
    <w:p>
      <w:pPr>
        <w:ind w:left="520" w:hanging="513"/>
        <w:spacing w:after="0"/>
        <w:tabs>
          <w:tab w:leader="none" w:pos="520" w:val="left"/>
        </w:tabs>
        <w:numPr>
          <w:ilvl w:val="0"/>
          <w:numId w:val="9"/>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Application of Policy</w:t>
      </w:r>
    </w:p>
    <w:p>
      <w:pPr>
        <w:spacing w:after="0" w:line="93" w:lineRule="exact"/>
        <w:rPr>
          <w:sz w:val="20"/>
          <w:szCs w:val="20"/>
          <w:color w:val="auto"/>
        </w:rPr>
      </w:pPr>
    </w:p>
    <w:p>
      <w:pPr>
        <w:jc w:val="both"/>
        <w:ind w:firstLine="752"/>
        <w:spacing w:after="0" w:line="256" w:lineRule="auto"/>
        <w:rPr>
          <w:sz w:val="20"/>
          <w:szCs w:val="20"/>
          <w:color w:val="auto"/>
        </w:rPr>
      </w:pPr>
      <w:r>
        <w:rPr>
          <w:rFonts w:ascii="Arial" w:cs="Arial" w:eastAsia="Arial" w:hAnsi="Arial"/>
          <w:sz w:val="16"/>
          <w:szCs w:val="16"/>
          <w:color w:val="252525"/>
        </w:rPr>
        <w:t>This Policy applies to the Company’s current and former executive officers, as determined by the Committee in accordance with the requirements of Section 10D of the Exchange Act and any applicable rules or standards adopted by the SEC and any national securities exchange on which the Company’s securities are listed, and such other employees who may from time to time be deemed subject to the Policy by the Committee (“</w:t>
      </w:r>
      <w:r>
        <w:rPr>
          <w:rFonts w:ascii="Arial" w:cs="Arial" w:eastAsia="Arial" w:hAnsi="Arial"/>
          <w:sz w:val="16"/>
          <w:szCs w:val="16"/>
          <w:b w:val="1"/>
          <w:bCs w:val="1"/>
          <w:color w:val="252525"/>
        </w:rPr>
        <w:t>Covered Executives</w:t>
      </w:r>
      <w:r>
        <w:rPr>
          <w:rFonts w:ascii="Arial" w:cs="Arial" w:eastAsia="Arial" w:hAnsi="Arial"/>
          <w:sz w:val="16"/>
          <w:szCs w:val="16"/>
          <w:color w:val="252525"/>
        </w:rPr>
        <w:t>”).</w:t>
      </w:r>
    </w:p>
    <w:p>
      <w:pPr>
        <w:spacing w:after="0" w:line="52"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b w:val="1"/>
          <w:bCs w:val="1"/>
          <w:u w:val="single" w:color="auto"/>
          <w:color w:val="auto"/>
        </w:rPr>
        <w:t>IV.</w:t>
      </w:r>
      <w:r>
        <w:rPr>
          <w:sz w:val="20"/>
          <w:szCs w:val="20"/>
          <w:color w:val="auto"/>
        </w:rPr>
        <w:tab/>
      </w:r>
      <w:r>
        <w:rPr>
          <w:rFonts w:ascii="Arial" w:cs="Arial" w:eastAsia="Arial" w:hAnsi="Arial"/>
          <w:sz w:val="16"/>
          <w:szCs w:val="16"/>
          <w:b w:val="1"/>
          <w:bCs w:val="1"/>
          <w:u w:val="single" w:color="auto"/>
          <w:color w:val="auto"/>
        </w:rPr>
        <w:t>Incentive-Based Compensation</w:t>
      </w:r>
    </w:p>
    <w:p>
      <w:pPr>
        <w:spacing w:after="0" w:line="89" w:lineRule="exact"/>
        <w:rPr>
          <w:sz w:val="20"/>
          <w:szCs w:val="20"/>
          <w:color w:val="auto"/>
        </w:rPr>
      </w:pPr>
    </w:p>
    <w:p>
      <w:pPr>
        <w:ind w:left="760" w:hanging="377"/>
        <w:spacing w:after="0"/>
        <w:tabs>
          <w:tab w:leader="none" w:pos="760" w:val="left"/>
        </w:tabs>
        <w:numPr>
          <w:ilvl w:val="0"/>
          <w:numId w:val="1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Financials Incentive-Based Compensation</w:t>
      </w:r>
    </w:p>
    <w:p>
      <w:pPr>
        <w:spacing w:after="0" w:line="89" w:lineRule="exact"/>
        <w:rPr>
          <w:sz w:val="20"/>
          <w:szCs w:val="20"/>
          <w:color w:val="auto"/>
        </w:rPr>
      </w:pPr>
    </w:p>
    <w:p>
      <w:pPr>
        <w:jc w:val="both"/>
        <w:ind w:firstLine="752"/>
        <w:spacing w:after="0" w:line="268" w:lineRule="auto"/>
        <w:rPr>
          <w:sz w:val="20"/>
          <w:szCs w:val="20"/>
          <w:color w:val="auto"/>
        </w:rPr>
      </w:pPr>
      <w:r>
        <w:rPr>
          <w:rFonts w:ascii="Arial" w:cs="Arial" w:eastAsia="Arial" w:hAnsi="Arial"/>
          <w:sz w:val="15"/>
          <w:szCs w:val="15"/>
          <w:color w:val="252525"/>
        </w:rPr>
        <w:t>For purposes of this Policy, financials incentive-based compensation (“</w:t>
      </w:r>
      <w:r>
        <w:rPr>
          <w:rFonts w:ascii="Arial" w:cs="Arial" w:eastAsia="Arial" w:hAnsi="Arial"/>
          <w:sz w:val="15"/>
          <w:szCs w:val="15"/>
          <w:b w:val="1"/>
          <w:bCs w:val="1"/>
          <w:color w:val="252525"/>
        </w:rPr>
        <w:t>Financials Incentive-Based Compensation</w:t>
      </w:r>
      <w:r>
        <w:rPr>
          <w:rFonts w:ascii="Arial" w:cs="Arial" w:eastAsia="Arial" w:hAnsi="Arial"/>
          <w:sz w:val="15"/>
          <w:szCs w:val="15"/>
          <w:color w:val="252525"/>
        </w:rPr>
        <w:t>”) includes any compensation that is granted, earned, or vested based wholly or in part upon the attainment of any financial reporting measures that are determined and presented in accordance with the accounting principles (“</w:t>
      </w:r>
      <w:r>
        <w:rPr>
          <w:rFonts w:ascii="Arial" w:cs="Arial" w:eastAsia="Arial" w:hAnsi="Arial"/>
          <w:sz w:val="15"/>
          <w:szCs w:val="15"/>
          <w:b w:val="1"/>
          <w:bCs w:val="1"/>
          <w:color w:val="252525"/>
        </w:rPr>
        <w:t>GAAP Measures</w:t>
      </w:r>
      <w:r>
        <w:rPr>
          <w:rFonts w:ascii="Arial" w:cs="Arial" w:eastAsia="Arial" w:hAnsi="Arial"/>
          <w:sz w:val="15"/>
          <w:szCs w:val="15"/>
          <w:color w:val="252525"/>
        </w:rPr>
        <w:t>”) used in preparing the Company’s financial statements and any measures derived wholly or in part from such measures, as well as non-GAAP Measures, stock price, and total shareholder return (collectively, “</w:t>
      </w:r>
      <w:r>
        <w:rPr>
          <w:rFonts w:ascii="Arial" w:cs="Arial" w:eastAsia="Arial" w:hAnsi="Arial"/>
          <w:sz w:val="15"/>
          <w:szCs w:val="15"/>
          <w:b w:val="1"/>
          <w:bCs w:val="1"/>
          <w:color w:val="252525"/>
        </w:rPr>
        <w:t>Financial Reporting Measures</w:t>
      </w:r>
      <w:r>
        <w:rPr>
          <w:rFonts w:ascii="Arial" w:cs="Arial" w:eastAsia="Arial" w:hAnsi="Arial"/>
          <w:sz w:val="15"/>
          <w:szCs w:val="15"/>
          <w:color w:val="252525"/>
        </w:rPr>
        <w:t>”); however, it does not include: (i) base salaries; (ii) discretionary cash bonuses; (iii) awards (either cash or equity) that are based upon subjective, strategic, or operational standards, and (iv) equity awards that vest solely on the passage of time. Financials Incentive-Based Compensation is considered received in the fiscal period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195580</wp:posOffset>
            </wp:positionV>
            <wp:extent cx="7183755" cy="393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4" w:name="page35"/>
    <w:bookmarkEnd w:id="34"/>
    <w:p>
      <w:pPr>
        <w:jc w:val="both"/>
        <w:spacing w:after="0" w:line="256" w:lineRule="auto"/>
        <w:rPr>
          <w:sz w:val="20"/>
          <w:szCs w:val="20"/>
          <w:color w:val="auto"/>
        </w:rPr>
      </w:pPr>
      <w:r>
        <w:rPr>
          <w:rFonts w:ascii="Arial" w:cs="Arial" w:eastAsia="Arial" w:hAnsi="Arial"/>
          <w:sz w:val="16"/>
          <w:szCs w:val="16"/>
          <w:color w:val="252525"/>
        </w:rPr>
        <w:t>which the applicable reporting measure is attained, even if the payment or grant of such award occurs after the end of that period. If an award is subject to both time-based and performance-based vesting conditions, the award is considered received upon satisfaction of the performance-based conditions, even if such award continues to be subject to the time-based vesting conditions.</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6"/>
          <w:szCs w:val="16"/>
          <w:color w:val="252525"/>
        </w:rPr>
        <w:t>For the purposes of this Policy, Financials Incentive-Based Compensation may include, among other things, any of the following:</w:t>
      </w:r>
    </w:p>
    <w:p>
      <w:pPr>
        <w:spacing w:after="0" w:line="89" w:lineRule="exact"/>
        <w:rPr>
          <w:sz w:val="20"/>
          <w:szCs w:val="20"/>
          <w:color w:val="auto"/>
        </w:rPr>
      </w:pPr>
    </w:p>
    <w:p>
      <w:pPr>
        <w:ind w:left="1140" w:hanging="381"/>
        <w:spacing w:after="0"/>
        <w:tabs>
          <w:tab w:leader="none" w:pos="1140" w:val="left"/>
        </w:tabs>
        <w:numPr>
          <w:ilvl w:val="0"/>
          <w:numId w:val="11"/>
        </w:numPr>
        <w:rPr>
          <w:rFonts w:ascii="Arial" w:cs="Arial" w:eastAsia="Arial" w:hAnsi="Arial"/>
          <w:sz w:val="16"/>
          <w:szCs w:val="16"/>
          <w:color w:val="252525"/>
        </w:rPr>
      </w:pPr>
      <w:r>
        <w:rPr>
          <w:rFonts w:ascii="Arial" w:cs="Arial" w:eastAsia="Arial" w:hAnsi="Arial"/>
          <w:sz w:val="16"/>
          <w:szCs w:val="16"/>
          <w:color w:val="252525"/>
        </w:rPr>
        <w:t>Annual bonuses and other short- and long-term cash incentives.</w:t>
      </w:r>
    </w:p>
    <w:p>
      <w:pPr>
        <w:spacing w:after="0" w:line="15" w:lineRule="exact"/>
        <w:rPr>
          <w:rFonts w:ascii="Arial" w:cs="Arial" w:eastAsia="Arial" w:hAnsi="Arial"/>
          <w:sz w:val="16"/>
          <w:szCs w:val="16"/>
          <w:color w:val="252525"/>
        </w:rPr>
      </w:pPr>
    </w:p>
    <w:p>
      <w:pPr>
        <w:ind w:left="1140" w:hanging="381"/>
        <w:spacing w:after="0"/>
        <w:tabs>
          <w:tab w:leader="none" w:pos="1140" w:val="left"/>
        </w:tabs>
        <w:numPr>
          <w:ilvl w:val="0"/>
          <w:numId w:val="11"/>
        </w:numPr>
        <w:rPr>
          <w:rFonts w:ascii="Arial" w:cs="Arial" w:eastAsia="Arial" w:hAnsi="Arial"/>
          <w:sz w:val="16"/>
          <w:szCs w:val="16"/>
          <w:color w:val="252525"/>
        </w:rPr>
      </w:pPr>
      <w:r>
        <w:rPr>
          <w:rFonts w:ascii="Arial" w:cs="Arial" w:eastAsia="Arial" w:hAnsi="Arial"/>
          <w:sz w:val="16"/>
          <w:szCs w:val="16"/>
          <w:color w:val="252525"/>
        </w:rPr>
        <w:t>Stock options.</w:t>
      </w:r>
    </w:p>
    <w:p>
      <w:pPr>
        <w:spacing w:after="0" w:line="1" w:lineRule="exact"/>
        <w:rPr>
          <w:rFonts w:ascii="Arial" w:cs="Arial" w:eastAsia="Arial" w:hAnsi="Arial"/>
          <w:sz w:val="16"/>
          <w:szCs w:val="16"/>
          <w:color w:val="252525"/>
        </w:rPr>
      </w:pPr>
    </w:p>
    <w:p>
      <w:pPr>
        <w:ind w:left="1140" w:hanging="381"/>
        <w:spacing w:after="0"/>
        <w:tabs>
          <w:tab w:leader="none" w:pos="1140" w:val="left"/>
        </w:tabs>
        <w:numPr>
          <w:ilvl w:val="0"/>
          <w:numId w:val="11"/>
        </w:numPr>
        <w:rPr>
          <w:rFonts w:ascii="Arial" w:cs="Arial" w:eastAsia="Arial" w:hAnsi="Arial"/>
          <w:sz w:val="16"/>
          <w:szCs w:val="16"/>
          <w:color w:val="252525"/>
        </w:rPr>
      </w:pPr>
      <w:r>
        <w:rPr>
          <w:rFonts w:ascii="Arial" w:cs="Arial" w:eastAsia="Arial" w:hAnsi="Arial"/>
          <w:sz w:val="16"/>
          <w:szCs w:val="16"/>
          <w:color w:val="252525"/>
        </w:rPr>
        <w:t>Stock appreciation rights.</w:t>
      </w:r>
    </w:p>
    <w:p>
      <w:pPr>
        <w:spacing w:after="0" w:line="1" w:lineRule="exact"/>
        <w:rPr>
          <w:rFonts w:ascii="Arial" w:cs="Arial" w:eastAsia="Arial" w:hAnsi="Arial"/>
          <w:sz w:val="16"/>
          <w:szCs w:val="16"/>
          <w:color w:val="252525"/>
        </w:rPr>
      </w:pPr>
    </w:p>
    <w:p>
      <w:pPr>
        <w:ind w:left="1140" w:hanging="381"/>
        <w:spacing w:after="0"/>
        <w:tabs>
          <w:tab w:leader="none" w:pos="1140" w:val="left"/>
        </w:tabs>
        <w:numPr>
          <w:ilvl w:val="0"/>
          <w:numId w:val="11"/>
        </w:numPr>
        <w:rPr>
          <w:rFonts w:ascii="Arial" w:cs="Arial" w:eastAsia="Arial" w:hAnsi="Arial"/>
          <w:sz w:val="16"/>
          <w:szCs w:val="16"/>
          <w:color w:val="252525"/>
        </w:rPr>
      </w:pPr>
      <w:r>
        <w:rPr>
          <w:rFonts w:ascii="Arial" w:cs="Arial" w:eastAsia="Arial" w:hAnsi="Arial"/>
          <w:sz w:val="16"/>
          <w:szCs w:val="16"/>
          <w:color w:val="252525"/>
        </w:rPr>
        <w:t>Restricted stock or restricted stock units.</w:t>
      </w:r>
    </w:p>
    <w:p>
      <w:pPr>
        <w:spacing w:after="0" w:line="1" w:lineRule="exact"/>
        <w:rPr>
          <w:rFonts w:ascii="Arial" w:cs="Arial" w:eastAsia="Arial" w:hAnsi="Arial"/>
          <w:sz w:val="16"/>
          <w:szCs w:val="16"/>
          <w:color w:val="252525"/>
        </w:rPr>
      </w:pPr>
    </w:p>
    <w:p>
      <w:pPr>
        <w:ind w:left="1140" w:hanging="381"/>
        <w:spacing w:after="0"/>
        <w:tabs>
          <w:tab w:leader="none" w:pos="1140" w:val="left"/>
        </w:tabs>
        <w:numPr>
          <w:ilvl w:val="0"/>
          <w:numId w:val="11"/>
        </w:numPr>
        <w:rPr>
          <w:rFonts w:ascii="Arial" w:cs="Arial" w:eastAsia="Arial" w:hAnsi="Arial"/>
          <w:sz w:val="16"/>
          <w:szCs w:val="16"/>
          <w:color w:val="252525"/>
        </w:rPr>
      </w:pPr>
      <w:r>
        <w:rPr>
          <w:rFonts w:ascii="Arial" w:cs="Arial" w:eastAsia="Arial" w:hAnsi="Arial"/>
          <w:sz w:val="16"/>
          <w:szCs w:val="16"/>
          <w:color w:val="252525"/>
        </w:rPr>
        <w:t>Performance shares or performance units.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6"/>
          <w:szCs w:val="16"/>
          <w:color w:val="252525"/>
        </w:rPr>
        <w:t>For purposes of this Policy, Financial Reporting Measures may include, among other things, any of the following:</w:t>
      </w:r>
    </w:p>
    <w:p>
      <w:pPr>
        <w:spacing w:after="0" w:line="89" w:lineRule="exact"/>
        <w:rPr>
          <w:sz w:val="20"/>
          <w:szCs w:val="20"/>
          <w:color w:val="auto"/>
        </w:rPr>
      </w:pPr>
    </w:p>
    <w:p>
      <w:pPr>
        <w:ind w:left="1140" w:hanging="381"/>
        <w:spacing w:after="0"/>
        <w:tabs>
          <w:tab w:leader="none" w:pos="1140" w:val="left"/>
        </w:tabs>
        <w:numPr>
          <w:ilvl w:val="1"/>
          <w:numId w:val="12"/>
        </w:numPr>
        <w:rPr>
          <w:rFonts w:ascii="Arial" w:cs="Arial" w:eastAsia="Arial" w:hAnsi="Arial"/>
          <w:sz w:val="16"/>
          <w:szCs w:val="16"/>
          <w:color w:val="252525"/>
        </w:rPr>
      </w:pPr>
      <w:r>
        <w:rPr>
          <w:rFonts w:ascii="Arial" w:cs="Arial" w:eastAsia="Arial" w:hAnsi="Arial"/>
          <w:sz w:val="16"/>
          <w:szCs w:val="16"/>
          <w:color w:val="252525"/>
        </w:rPr>
        <w:t>Company stock price.</w:t>
      </w:r>
    </w:p>
    <w:p>
      <w:pPr>
        <w:spacing w:after="0" w:line="15" w:lineRule="exact"/>
        <w:rPr>
          <w:rFonts w:ascii="Arial" w:cs="Arial" w:eastAsia="Arial" w:hAnsi="Arial"/>
          <w:sz w:val="16"/>
          <w:szCs w:val="16"/>
          <w:color w:val="252525"/>
        </w:rPr>
      </w:pPr>
    </w:p>
    <w:p>
      <w:pPr>
        <w:ind w:left="1140" w:hanging="381"/>
        <w:spacing w:after="0"/>
        <w:tabs>
          <w:tab w:leader="none" w:pos="1140" w:val="left"/>
        </w:tabs>
        <w:numPr>
          <w:ilvl w:val="1"/>
          <w:numId w:val="12"/>
        </w:numPr>
        <w:rPr>
          <w:rFonts w:ascii="Arial" w:cs="Arial" w:eastAsia="Arial" w:hAnsi="Arial"/>
          <w:sz w:val="16"/>
          <w:szCs w:val="16"/>
          <w:color w:val="252525"/>
        </w:rPr>
      </w:pPr>
      <w:r>
        <w:rPr>
          <w:rFonts w:ascii="Arial" w:cs="Arial" w:eastAsia="Arial" w:hAnsi="Arial"/>
          <w:sz w:val="16"/>
          <w:szCs w:val="16"/>
          <w:color w:val="252525"/>
        </w:rPr>
        <w:t>Total shareholder return.</w:t>
      </w:r>
    </w:p>
    <w:p>
      <w:pPr>
        <w:spacing w:after="0" w:line="1" w:lineRule="exact"/>
        <w:rPr>
          <w:rFonts w:ascii="Arial" w:cs="Arial" w:eastAsia="Arial" w:hAnsi="Arial"/>
          <w:sz w:val="16"/>
          <w:szCs w:val="16"/>
          <w:color w:val="252525"/>
        </w:rPr>
      </w:pPr>
    </w:p>
    <w:p>
      <w:pPr>
        <w:ind w:left="1140" w:hanging="381"/>
        <w:spacing w:after="0"/>
        <w:tabs>
          <w:tab w:leader="none" w:pos="1140" w:val="left"/>
        </w:tabs>
        <w:numPr>
          <w:ilvl w:val="1"/>
          <w:numId w:val="12"/>
        </w:numPr>
        <w:rPr>
          <w:rFonts w:ascii="Arial" w:cs="Arial" w:eastAsia="Arial" w:hAnsi="Arial"/>
          <w:sz w:val="16"/>
          <w:szCs w:val="16"/>
          <w:color w:val="252525"/>
        </w:rPr>
      </w:pPr>
      <w:r>
        <w:rPr>
          <w:rFonts w:ascii="Arial" w:cs="Arial" w:eastAsia="Arial" w:hAnsi="Arial"/>
          <w:sz w:val="16"/>
          <w:szCs w:val="16"/>
          <w:color w:val="252525"/>
        </w:rPr>
        <w:t>Revenues.</w:t>
      </w:r>
    </w:p>
    <w:p>
      <w:pPr>
        <w:spacing w:after="0" w:line="1" w:lineRule="exact"/>
        <w:rPr>
          <w:rFonts w:ascii="Arial" w:cs="Arial" w:eastAsia="Arial" w:hAnsi="Arial"/>
          <w:sz w:val="16"/>
          <w:szCs w:val="16"/>
          <w:color w:val="252525"/>
        </w:rPr>
      </w:pPr>
    </w:p>
    <w:p>
      <w:pPr>
        <w:ind w:left="1140" w:hanging="381"/>
        <w:spacing w:after="0"/>
        <w:tabs>
          <w:tab w:leader="none" w:pos="1140" w:val="left"/>
        </w:tabs>
        <w:numPr>
          <w:ilvl w:val="1"/>
          <w:numId w:val="12"/>
        </w:numPr>
        <w:rPr>
          <w:rFonts w:ascii="Arial" w:cs="Arial" w:eastAsia="Arial" w:hAnsi="Arial"/>
          <w:sz w:val="16"/>
          <w:szCs w:val="16"/>
          <w:color w:val="252525"/>
        </w:rPr>
      </w:pPr>
      <w:r>
        <w:rPr>
          <w:rFonts w:ascii="Arial" w:cs="Arial" w:eastAsia="Arial" w:hAnsi="Arial"/>
          <w:sz w:val="16"/>
          <w:szCs w:val="16"/>
          <w:color w:val="252525"/>
        </w:rPr>
        <w:t>Net income.</w:t>
      </w:r>
    </w:p>
    <w:p>
      <w:pPr>
        <w:spacing w:after="0" w:line="1" w:lineRule="exact"/>
        <w:rPr>
          <w:rFonts w:ascii="Arial" w:cs="Arial" w:eastAsia="Arial" w:hAnsi="Arial"/>
          <w:sz w:val="16"/>
          <w:szCs w:val="16"/>
          <w:color w:val="252525"/>
        </w:rPr>
      </w:pPr>
    </w:p>
    <w:p>
      <w:pPr>
        <w:ind w:left="1140" w:hanging="381"/>
        <w:spacing w:after="0"/>
        <w:tabs>
          <w:tab w:leader="none" w:pos="1140" w:val="left"/>
        </w:tabs>
        <w:numPr>
          <w:ilvl w:val="1"/>
          <w:numId w:val="12"/>
        </w:numPr>
        <w:rPr>
          <w:rFonts w:ascii="Arial" w:cs="Arial" w:eastAsia="Arial" w:hAnsi="Arial"/>
          <w:sz w:val="16"/>
          <w:szCs w:val="16"/>
          <w:color w:val="252525"/>
        </w:rPr>
      </w:pPr>
      <w:r>
        <w:rPr>
          <w:rFonts w:ascii="Arial" w:cs="Arial" w:eastAsia="Arial" w:hAnsi="Arial"/>
          <w:sz w:val="16"/>
          <w:szCs w:val="16"/>
          <w:color w:val="252525"/>
        </w:rPr>
        <w:t>Earnings before interest, taxes, depreciation, and amortization (EBITDA).</w:t>
      </w:r>
    </w:p>
    <w:p>
      <w:pPr>
        <w:spacing w:after="0" w:line="1" w:lineRule="exact"/>
        <w:rPr>
          <w:rFonts w:ascii="Arial" w:cs="Arial" w:eastAsia="Arial" w:hAnsi="Arial"/>
          <w:sz w:val="16"/>
          <w:szCs w:val="16"/>
          <w:color w:val="252525"/>
        </w:rPr>
      </w:pPr>
    </w:p>
    <w:p>
      <w:pPr>
        <w:ind w:left="1140" w:hanging="381"/>
        <w:spacing w:after="0"/>
        <w:tabs>
          <w:tab w:leader="none" w:pos="1140" w:val="left"/>
        </w:tabs>
        <w:numPr>
          <w:ilvl w:val="1"/>
          <w:numId w:val="12"/>
        </w:numPr>
        <w:rPr>
          <w:rFonts w:ascii="Arial" w:cs="Arial" w:eastAsia="Arial" w:hAnsi="Arial"/>
          <w:sz w:val="16"/>
          <w:szCs w:val="16"/>
          <w:color w:val="252525"/>
        </w:rPr>
      </w:pPr>
      <w:r>
        <w:rPr>
          <w:rFonts w:ascii="Arial" w:cs="Arial" w:eastAsia="Arial" w:hAnsi="Arial"/>
          <w:sz w:val="16"/>
          <w:szCs w:val="16"/>
          <w:color w:val="252525"/>
        </w:rPr>
        <w:t>Funds from operations.</w:t>
      </w:r>
    </w:p>
    <w:p>
      <w:pPr>
        <w:spacing w:after="0" w:line="1" w:lineRule="exact"/>
        <w:rPr>
          <w:rFonts w:ascii="Arial" w:cs="Arial" w:eastAsia="Arial" w:hAnsi="Arial"/>
          <w:sz w:val="16"/>
          <w:szCs w:val="16"/>
          <w:color w:val="252525"/>
        </w:rPr>
      </w:pPr>
    </w:p>
    <w:p>
      <w:pPr>
        <w:ind w:left="1140" w:hanging="381"/>
        <w:spacing w:after="0"/>
        <w:tabs>
          <w:tab w:leader="none" w:pos="1140" w:val="left"/>
        </w:tabs>
        <w:numPr>
          <w:ilvl w:val="1"/>
          <w:numId w:val="12"/>
        </w:numPr>
        <w:rPr>
          <w:rFonts w:ascii="Arial" w:cs="Arial" w:eastAsia="Arial" w:hAnsi="Arial"/>
          <w:sz w:val="16"/>
          <w:szCs w:val="16"/>
          <w:color w:val="252525"/>
        </w:rPr>
      </w:pPr>
      <w:r>
        <w:rPr>
          <w:rFonts w:ascii="Arial" w:cs="Arial" w:eastAsia="Arial" w:hAnsi="Arial"/>
          <w:sz w:val="16"/>
          <w:szCs w:val="16"/>
          <w:color w:val="252525"/>
        </w:rPr>
        <w:t>Liquidity measures such as working capital or operating cash flow.</w:t>
      </w:r>
    </w:p>
    <w:p>
      <w:pPr>
        <w:spacing w:after="0" w:line="1" w:lineRule="exact"/>
        <w:rPr>
          <w:rFonts w:ascii="Arial" w:cs="Arial" w:eastAsia="Arial" w:hAnsi="Arial"/>
          <w:sz w:val="16"/>
          <w:szCs w:val="16"/>
          <w:color w:val="252525"/>
        </w:rPr>
      </w:pPr>
    </w:p>
    <w:p>
      <w:pPr>
        <w:ind w:left="1140" w:hanging="381"/>
        <w:spacing w:after="0"/>
        <w:tabs>
          <w:tab w:leader="none" w:pos="1140" w:val="left"/>
        </w:tabs>
        <w:numPr>
          <w:ilvl w:val="1"/>
          <w:numId w:val="12"/>
        </w:numPr>
        <w:rPr>
          <w:rFonts w:ascii="Arial" w:cs="Arial" w:eastAsia="Arial" w:hAnsi="Arial"/>
          <w:sz w:val="16"/>
          <w:szCs w:val="16"/>
          <w:color w:val="252525"/>
        </w:rPr>
      </w:pPr>
      <w:r>
        <w:rPr>
          <w:rFonts w:ascii="Arial" w:cs="Arial" w:eastAsia="Arial" w:hAnsi="Arial"/>
          <w:sz w:val="16"/>
          <w:szCs w:val="16"/>
          <w:color w:val="252525"/>
        </w:rPr>
        <w:t>Return measures such as return on invested capital or return on assets.</w:t>
      </w:r>
    </w:p>
    <w:p>
      <w:pPr>
        <w:spacing w:after="0" w:line="1" w:lineRule="exact"/>
        <w:rPr>
          <w:rFonts w:ascii="Arial" w:cs="Arial" w:eastAsia="Arial" w:hAnsi="Arial"/>
          <w:sz w:val="16"/>
          <w:szCs w:val="16"/>
          <w:color w:val="252525"/>
        </w:rPr>
      </w:pPr>
    </w:p>
    <w:p>
      <w:pPr>
        <w:ind w:left="1140" w:hanging="381"/>
        <w:spacing w:after="0"/>
        <w:tabs>
          <w:tab w:leader="none" w:pos="1140" w:val="left"/>
        </w:tabs>
        <w:numPr>
          <w:ilvl w:val="1"/>
          <w:numId w:val="12"/>
        </w:numPr>
        <w:rPr>
          <w:rFonts w:ascii="Arial" w:cs="Arial" w:eastAsia="Arial" w:hAnsi="Arial"/>
          <w:sz w:val="16"/>
          <w:szCs w:val="16"/>
          <w:color w:val="252525"/>
        </w:rPr>
      </w:pPr>
      <w:r>
        <w:rPr>
          <w:rFonts w:ascii="Arial" w:cs="Arial" w:eastAsia="Arial" w:hAnsi="Arial"/>
          <w:sz w:val="16"/>
          <w:szCs w:val="16"/>
          <w:color w:val="252525"/>
        </w:rPr>
        <w:t>Earnings measures such as earnings per share.</w:t>
      </w:r>
    </w:p>
    <w:p>
      <w:pPr>
        <w:spacing w:after="0" w:line="158" w:lineRule="exact"/>
        <w:rPr>
          <w:rFonts w:ascii="Arial" w:cs="Arial" w:eastAsia="Arial" w:hAnsi="Arial"/>
          <w:sz w:val="16"/>
          <w:szCs w:val="16"/>
          <w:color w:val="252525"/>
        </w:rPr>
      </w:pPr>
    </w:p>
    <w:p>
      <w:pPr>
        <w:ind w:left="760" w:hanging="377"/>
        <w:spacing w:after="0"/>
        <w:tabs>
          <w:tab w:leader="none" w:pos="760" w:val="left"/>
        </w:tabs>
        <w:numPr>
          <w:ilvl w:val="0"/>
          <w:numId w:val="12"/>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Incentive Compensation</w:t>
      </w:r>
    </w:p>
    <w:p>
      <w:pPr>
        <w:spacing w:after="0" w:line="89" w:lineRule="exact"/>
        <w:rPr>
          <w:rFonts w:ascii="Arial" w:cs="Arial" w:eastAsia="Arial" w:hAnsi="Arial"/>
          <w:sz w:val="16"/>
          <w:szCs w:val="16"/>
          <w:b w:val="1"/>
          <w:bCs w:val="1"/>
          <w:u w:val="single" w:color="auto"/>
          <w:color w:val="auto"/>
        </w:rPr>
      </w:pPr>
    </w:p>
    <w:p>
      <w:pPr>
        <w:ind w:left="760"/>
        <w:spacing w:after="0"/>
        <w:rPr>
          <w:rFonts w:ascii="Arial" w:cs="Arial" w:eastAsia="Arial" w:hAnsi="Arial"/>
          <w:sz w:val="16"/>
          <w:szCs w:val="16"/>
          <w:b w:val="1"/>
          <w:bCs w:val="1"/>
          <w:u w:val="single" w:color="auto"/>
          <w:color w:val="auto"/>
        </w:rPr>
      </w:pPr>
      <w:r>
        <w:rPr>
          <w:rFonts w:ascii="Arial" w:cs="Arial" w:eastAsia="Arial" w:hAnsi="Arial"/>
          <w:sz w:val="15"/>
          <w:szCs w:val="15"/>
          <w:color w:val="252525"/>
        </w:rPr>
        <w:t>For purposes of this Policy, incentive compensation (“</w:t>
      </w:r>
      <w:r>
        <w:rPr>
          <w:rFonts w:ascii="Arial" w:cs="Arial" w:eastAsia="Arial" w:hAnsi="Arial"/>
          <w:sz w:val="15"/>
          <w:szCs w:val="15"/>
          <w:b w:val="1"/>
          <w:bCs w:val="1"/>
          <w:color w:val="252525"/>
        </w:rPr>
        <w:t>Incentive Compensation</w:t>
      </w:r>
      <w:r>
        <w:rPr>
          <w:rFonts w:ascii="Arial" w:cs="Arial" w:eastAsia="Arial" w:hAnsi="Arial"/>
          <w:sz w:val="15"/>
          <w:szCs w:val="15"/>
          <w:color w:val="252525"/>
        </w:rPr>
        <w:t>”) means (i) any equity or equity-based award granted on or after the Effective</w:t>
      </w:r>
    </w:p>
    <w:p>
      <w:pPr>
        <w:spacing w:after="0" w:line="3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252525"/>
        </w:rPr>
        <w:t>Date, and (ii) any cash-based performance or incentive award (i.e., bonus or cash incentive plan payment, including any amounts deferred with respect thereto) approved, awarded, or granted to a Covered Executive on or after the Effective Date, including Financials Incentive-Based Compensation.</w:t>
      </w:r>
    </w:p>
    <w:p>
      <w:pPr>
        <w:spacing w:after="0" w:line="144" w:lineRule="exact"/>
        <w:rPr>
          <w:sz w:val="20"/>
          <w:szCs w:val="20"/>
          <w:color w:val="auto"/>
        </w:rPr>
      </w:pPr>
    </w:p>
    <w:p>
      <w:pPr>
        <w:ind w:left="520" w:hanging="513"/>
        <w:spacing w:after="0"/>
        <w:tabs>
          <w:tab w:leader="none" w:pos="520" w:val="left"/>
        </w:tabs>
        <w:numPr>
          <w:ilvl w:val="0"/>
          <w:numId w:val="13"/>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Recoupment</w:t>
      </w:r>
    </w:p>
    <w:p>
      <w:pPr>
        <w:spacing w:after="0" w:line="89" w:lineRule="exact"/>
        <w:rPr>
          <w:rFonts w:ascii="Arial" w:cs="Arial" w:eastAsia="Arial" w:hAnsi="Arial"/>
          <w:sz w:val="16"/>
          <w:szCs w:val="16"/>
          <w:b w:val="1"/>
          <w:bCs w:val="1"/>
          <w:u w:val="single" w:color="auto"/>
          <w:color w:val="auto"/>
        </w:rPr>
      </w:pPr>
    </w:p>
    <w:p>
      <w:pPr>
        <w:ind w:left="380"/>
        <w:spacing w:after="0"/>
        <w:rPr>
          <w:rFonts w:ascii="Arial" w:cs="Arial" w:eastAsia="Arial" w:hAnsi="Arial"/>
          <w:sz w:val="16"/>
          <w:szCs w:val="16"/>
          <w:b w:val="1"/>
          <w:bCs w:val="1"/>
          <w:u w:val="single" w:color="auto"/>
          <w:color w:val="auto"/>
        </w:rPr>
      </w:pPr>
      <w:r>
        <w:rPr>
          <w:rFonts w:ascii="Arial" w:cs="Arial" w:eastAsia="Arial" w:hAnsi="Arial"/>
          <w:sz w:val="16"/>
          <w:szCs w:val="16"/>
          <w:b w:val="1"/>
          <w:bCs w:val="1"/>
          <w:color w:val="252525"/>
        </w:rPr>
        <w:t xml:space="preserve">a.   </w:t>
      </w:r>
      <w:r>
        <w:rPr>
          <w:rFonts w:ascii="Arial" w:cs="Arial" w:eastAsia="Arial" w:hAnsi="Arial"/>
          <w:sz w:val="16"/>
          <w:szCs w:val="16"/>
          <w:b w:val="1"/>
          <w:bCs w:val="1"/>
          <w:u w:val="single" w:color="auto"/>
          <w:color w:val="000000"/>
        </w:rPr>
        <w:t>Accounting Restatement</w:t>
      </w:r>
    </w:p>
    <w:p>
      <w:pPr>
        <w:spacing w:after="0" w:line="93" w:lineRule="exact"/>
        <w:rPr>
          <w:sz w:val="20"/>
          <w:szCs w:val="20"/>
          <w:color w:val="auto"/>
        </w:rPr>
      </w:pPr>
    </w:p>
    <w:p>
      <w:pPr>
        <w:jc w:val="both"/>
        <w:ind w:firstLine="752"/>
        <w:spacing w:after="0" w:line="286" w:lineRule="auto"/>
        <w:rPr>
          <w:sz w:val="20"/>
          <w:szCs w:val="20"/>
          <w:color w:val="auto"/>
        </w:rPr>
      </w:pPr>
      <w:r>
        <w:rPr>
          <w:rFonts w:ascii="Arial" w:cs="Arial" w:eastAsia="Arial" w:hAnsi="Arial"/>
          <w:sz w:val="14"/>
          <w:szCs w:val="14"/>
          <w:color w:val="252525"/>
        </w:rPr>
        <w:t>In the event the Company is required to prepare an accounting restatement of its financial statements due to the Company’s material noncompliance with any financial reporting requirement under U.S. securities laws, including any required accounting restatement to correct an error in previously issued financial statements that (i) is material to the previously issued financial statements or (ii) is not material to previously issued financial statements, but that would result in a material misstatement if the error were corrected in the current period or left uncorrected in the current period, the Committee will require reimbursement or forfeiture of any excess Financials Incentive-Based Compensation received by any Covered Executive during the three completed fiscal years immediately preceding the date on which the Company is required to prepare the accounting restatement (the “</w:t>
      </w:r>
      <w:r>
        <w:rPr>
          <w:rFonts w:ascii="Arial" w:cs="Arial" w:eastAsia="Arial" w:hAnsi="Arial"/>
          <w:sz w:val="14"/>
          <w:szCs w:val="14"/>
          <w:b w:val="1"/>
          <w:bCs w:val="1"/>
          <w:color w:val="252525"/>
        </w:rPr>
        <w:t>Look-Back Period</w:t>
      </w:r>
      <w:r>
        <w:rPr>
          <w:rFonts w:ascii="Arial" w:cs="Arial" w:eastAsia="Arial" w:hAnsi="Arial"/>
          <w:sz w:val="14"/>
          <w:szCs w:val="14"/>
          <w:color w:val="252525"/>
        </w:rPr>
        <w:t>”). For the purposes of this Policy, the date on which the Company is required to prepare an accounting restatement is the earlier of: (i) the date the Committee concludes or reasonably should have concluded that the Company is required to prepare a restatement to correct a material error, and (ii) the date a court, regulator, or other legally authorized body directs the Company to restate its previously issued financial statements to correct a material error.</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83755" cy="39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35" w:name="page36"/>
    <w:bookmarkEnd w:id="35"/>
    <w:p>
      <w:pPr>
        <w:jc w:val="both"/>
        <w:ind w:firstLine="752"/>
        <w:spacing w:after="0" w:line="251" w:lineRule="auto"/>
        <w:rPr>
          <w:sz w:val="20"/>
          <w:szCs w:val="20"/>
          <w:color w:val="auto"/>
        </w:rPr>
      </w:pPr>
      <w:r>
        <w:rPr>
          <w:rFonts w:ascii="Arial" w:cs="Arial" w:eastAsia="Arial" w:hAnsi="Arial"/>
          <w:sz w:val="16"/>
          <w:szCs w:val="16"/>
          <w:color w:val="252525"/>
        </w:rPr>
        <w:t>Recovery of the Financials Incentive-Based Compensation is only required when the excess award is received by a Covered Executive (i) after the beginning of their service as a Covered Executive, (ii) who served as an executive officer at any time during the performance period for the Financials Incentive-Based Compensation, (iii) while the Company has a class of securities listed on a national securities exchange, and (iv) when that Covered Executive served in such covered position during the Lookback Period.</w:t>
      </w:r>
    </w:p>
    <w:p>
      <w:pPr>
        <w:spacing w:after="0" w:line="57" w:lineRule="exact"/>
        <w:rPr>
          <w:sz w:val="20"/>
          <w:szCs w:val="20"/>
          <w:color w:val="auto"/>
        </w:rPr>
      </w:pPr>
    </w:p>
    <w:p>
      <w:pPr>
        <w:ind w:left="760" w:hanging="377"/>
        <w:spacing w:after="0"/>
        <w:tabs>
          <w:tab w:leader="none" w:pos="760" w:val="left"/>
        </w:tabs>
        <w:numPr>
          <w:ilvl w:val="0"/>
          <w:numId w:val="14"/>
        </w:numPr>
        <w:rPr>
          <w:rFonts w:ascii="Arial" w:cs="Arial" w:eastAsia="Arial" w:hAnsi="Arial"/>
          <w:sz w:val="16"/>
          <w:szCs w:val="16"/>
          <w:b w:val="1"/>
          <w:bCs w:val="1"/>
          <w:color w:val="252525"/>
        </w:rPr>
      </w:pPr>
      <w:r>
        <w:rPr>
          <w:rFonts w:ascii="Arial" w:cs="Arial" w:eastAsia="Arial" w:hAnsi="Arial"/>
          <w:sz w:val="16"/>
          <w:szCs w:val="16"/>
          <w:b w:val="1"/>
          <w:bCs w:val="1"/>
          <w:u w:val="single" w:color="auto"/>
          <w:color w:val="252525"/>
        </w:rPr>
        <w:t>Serious Misconduct</w:t>
      </w:r>
    </w:p>
    <w:p>
      <w:pPr>
        <w:spacing w:after="0" w:line="93" w:lineRule="exact"/>
        <w:rPr>
          <w:sz w:val="20"/>
          <w:szCs w:val="20"/>
          <w:color w:val="auto"/>
        </w:rPr>
      </w:pPr>
    </w:p>
    <w:p>
      <w:pPr>
        <w:jc w:val="both"/>
        <w:ind w:firstLine="752"/>
        <w:spacing w:after="0" w:line="264" w:lineRule="auto"/>
        <w:rPr>
          <w:sz w:val="20"/>
          <w:szCs w:val="20"/>
          <w:color w:val="auto"/>
        </w:rPr>
      </w:pPr>
      <w:r>
        <w:rPr>
          <w:rFonts w:ascii="Arial" w:cs="Arial" w:eastAsia="Arial" w:hAnsi="Arial"/>
          <w:sz w:val="15"/>
          <w:szCs w:val="15"/>
          <w:color w:val="252525"/>
        </w:rPr>
        <w:t>On and after the Effective Date of this Policy, the Committee may seek recoupment of any (i) amounts under Incentive Compensation subject to recoupment under this Policy or (ii) any Incentive Compensation after the Effective Date, to the extent granted or awarded to or earned by a Covered Executive in respect of services as an employee, all as determined by the Committee (such amounts, “</w:t>
      </w:r>
      <w:r>
        <w:rPr>
          <w:rFonts w:ascii="Arial" w:cs="Arial" w:eastAsia="Arial" w:hAnsi="Arial"/>
          <w:sz w:val="15"/>
          <w:szCs w:val="15"/>
          <w:b w:val="1"/>
          <w:bCs w:val="1"/>
          <w:color w:val="252525"/>
        </w:rPr>
        <w:t>Recoverable Payment</w:t>
      </w:r>
      <w:r>
        <w:rPr>
          <w:rFonts w:ascii="Arial" w:cs="Arial" w:eastAsia="Arial" w:hAnsi="Arial"/>
          <w:sz w:val="15"/>
          <w:szCs w:val="15"/>
          <w:color w:val="252525"/>
        </w:rPr>
        <w:t>”), when in its judgment, after reviewing relevant facts and circumstances, it determines that: (a) a Covered Executive (i) engaged in serious misconduct, or (ii) failed to supervise a subordinate employee who engaged in serious misconduct which the Covered Executive knew, or was reckless in not knowing, was occurring, and (b) such misconduct resulted in a material violation of law or a written Company policy that caused significant financial or reputational harm to the Company. As used in this Policy, “serious misconduct” may be found to have occurred only where a Covered Executive or a supervised employee acted knowingly, intentionally, or recklessly in violating a law or written Company policy. For the avoidance of doubt, a Covered Executive’s business judgment made in good faith and in the reasonable belief that such judgments and related actions were in or not opposed to the best interests of the Company shall not subject the Covered Executive’s Incentive Compensation to recoupment.</w:t>
      </w:r>
    </w:p>
    <w:p>
      <w:pPr>
        <w:spacing w:after="0" w:line="49"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b w:val="1"/>
          <w:bCs w:val="1"/>
          <w:u w:val="single" w:color="auto"/>
          <w:color w:val="auto"/>
        </w:rPr>
        <w:t>VI.</w:t>
      </w:r>
      <w:r>
        <w:rPr>
          <w:sz w:val="20"/>
          <w:szCs w:val="20"/>
          <w:color w:val="auto"/>
        </w:rPr>
        <w:tab/>
      </w:r>
      <w:r>
        <w:rPr>
          <w:rFonts w:ascii="Arial" w:cs="Arial" w:eastAsia="Arial" w:hAnsi="Arial"/>
          <w:sz w:val="16"/>
          <w:szCs w:val="16"/>
          <w:b w:val="1"/>
          <w:bCs w:val="1"/>
          <w:u w:val="single" w:color="auto"/>
          <w:color w:val="auto"/>
        </w:rPr>
        <w:t>Excess Incentive Compensation: Amount Subject to Recovery</w:t>
      </w:r>
    </w:p>
    <w:p>
      <w:pPr>
        <w:spacing w:after="0" w:line="89" w:lineRule="exact"/>
        <w:rPr>
          <w:sz w:val="20"/>
          <w:szCs w:val="20"/>
          <w:color w:val="auto"/>
        </w:rPr>
      </w:pPr>
    </w:p>
    <w:p>
      <w:pPr>
        <w:ind w:left="760" w:hanging="377"/>
        <w:spacing w:after="0"/>
        <w:tabs>
          <w:tab w:leader="none" w:pos="760" w:val="left"/>
        </w:tabs>
        <w:numPr>
          <w:ilvl w:val="0"/>
          <w:numId w:val="15"/>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Accounting Restatement</w:t>
      </w:r>
    </w:p>
    <w:p>
      <w:pPr>
        <w:spacing w:after="0" w:line="93" w:lineRule="exact"/>
        <w:rPr>
          <w:sz w:val="20"/>
          <w:szCs w:val="20"/>
          <w:color w:val="auto"/>
        </w:rPr>
      </w:pPr>
    </w:p>
    <w:p>
      <w:pPr>
        <w:jc w:val="both"/>
        <w:ind w:firstLine="752"/>
        <w:spacing w:after="0" w:line="256" w:lineRule="auto"/>
        <w:rPr>
          <w:sz w:val="20"/>
          <w:szCs w:val="20"/>
          <w:color w:val="auto"/>
        </w:rPr>
      </w:pPr>
      <w:r>
        <w:rPr>
          <w:rFonts w:ascii="Arial" w:cs="Arial" w:eastAsia="Arial" w:hAnsi="Arial"/>
          <w:sz w:val="16"/>
          <w:szCs w:val="16"/>
          <w:color w:val="252525"/>
        </w:rPr>
        <w:t>The amount of Financials Incentive-Based Compensation subject to recovery is the amount the Covered Executive received in excess of the amount of Financials Incentive-Based Compensation that would have been paid to the Covered Executive had it been based on the restated financial statements, as determined by the Committee. The amount subject to recovery will be calculated on a pre-tax basis.</w:t>
      </w:r>
    </w:p>
    <w:p>
      <w:pPr>
        <w:spacing w:after="0" w:line="56" w:lineRule="exact"/>
        <w:rPr>
          <w:sz w:val="20"/>
          <w:szCs w:val="20"/>
          <w:color w:val="auto"/>
        </w:rPr>
      </w:pPr>
    </w:p>
    <w:p>
      <w:pPr>
        <w:jc w:val="both"/>
        <w:ind w:firstLine="752"/>
        <w:spacing w:after="0" w:line="251" w:lineRule="auto"/>
        <w:rPr>
          <w:sz w:val="20"/>
          <w:szCs w:val="20"/>
          <w:color w:val="auto"/>
        </w:rPr>
      </w:pPr>
      <w:r>
        <w:rPr>
          <w:rFonts w:ascii="Arial" w:cs="Arial" w:eastAsia="Arial" w:hAnsi="Arial"/>
          <w:sz w:val="16"/>
          <w:szCs w:val="16"/>
          <w:color w:val="252525"/>
        </w:rPr>
        <w:t>For Financials Incentive-Based Compensation received as cash awards, the erroneously awarded compensation is the difference between the amount of the cash award that was received (whether payable in a lump sum or over time) and the amount that should have been received applying the restated Financial Reporting Measure. For cash awards paid from bonus pools, the erroneously awarded Financials Incentive-Based Compensation is the pro rata portion of any deficiency that results from the aggregate bonus pool that is reduced based on applying the restated Financial Reporting Measure.</w:t>
      </w:r>
    </w:p>
    <w:p>
      <w:pPr>
        <w:spacing w:after="0" w:line="61" w:lineRule="exact"/>
        <w:rPr>
          <w:sz w:val="20"/>
          <w:szCs w:val="20"/>
          <w:color w:val="auto"/>
        </w:rPr>
      </w:pPr>
    </w:p>
    <w:p>
      <w:pPr>
        <w:jc w:val="both"/>
        <w:ind w:firstLine="752"/>
        <w:spacing w:after="0" w:line="309" w:lineRule="auto"/>
        <w:rPr>
          <w:sz w:val="20"/>
          <w:szCs w:val="20"/>
          <w:color w:val="auto"/>
        </w:rPr>
      </w:pPr>
      <w:r>
        <w:rPr>
          <w:rFonts w:ascii="Arial" w:cs="Arial" w:eastAsia="Arial" w:hAnsi="Arial"/>
          <w:sz w:val="14"/>
          <w:szCs w:val="14"/>
          <w:color w:val="252525"/>
        </w:rPr>
        <w:t>For Financials Incentive-Based Compensation received as equity awards that are still held at the time of recovery, the amount subject to recovery is the number of shares or other equity awards received or vested in excess of the number that should have been received or vested applying the restated financial reporting measure. If the equity award has been exercised, but the underlying shares have not been sold, the erroneously awarded compensation is the number of shares underlying the award.</w:t>
      </w:r>
    </w:p>
    <w:p>
      <w:pPr>
        <w:spacing w:after="0" w:line="23" w:lineRule="exact"/>
        <w:rPr>
          <w:sz w:val="20"/>
          <w:szCs w:val="20"/>
          <w:color w:val="auto"/>
        </w:rPr>
      </w:pPr>
    </w:p>
    <w:p>
      <w:pPr>
        <w:jc w:val="both"/>
        <w:ind w:firstLine="752"/>
        <w:spacing w:after="0" w:line="251" w:lineRule="auto"/>
        <w:rPr>
          <w:sz w:val="20"/>
          <w:szCs w:val="20"/>
          <w:color w:val="auto"/>
        </w:rPr>
      </w:pPr>
      <w:r>
        <w:rPr>
          <w:rFonts w:ascii="Arial" w:cs="Arial" w:eastAsia="Arial" w:hAnsi="Arial"/>
          <w:sz w:val="16"/>
          <w:szCs w:val="16"/>
          <w:color w:val="252525"/>
        </w:rPr>
        <w:t>In instances where the Company is not able to determine the amount of erroneously awarded Financials Incentive-Based Compensation directly from the information in the accounting restatement, the amount will be based on the Company’s reasonable estimate of the effect of the accounting restatement on the stock price or total shareholder return upon which the Financials Incentive-Based Compensation was received. In such instances, the Company will maintain documentation of the determination of that reasonable estimate.</w:t>
      </w:r>
    </w:p>
    <w:p>
      <w:pPr>
        <w:spacing w:after="0" w:line="57" w:lineRule="exact"/>
        <w:rPr>
          <w:sz w:val="20"/>
          <w:szCs w:val="20"/>
          <w:color w:val="auto"/>
        </w:rPr>
      </w:pPr>
    </w:p>
    <w:p>
      <w:pPr>
        <w:ind w:left="760" w:hanging="377"/>
        <w:spacing w:after="0"/>
        <w:tabs>
          <w:tab w:leader="none" w:pos="760" w:val="left"/>
        </w:tabs>
        <w:numPr>
          <w:ilvl w:val="0"/>
          <w:numId w:val="16"/>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Serious Misconduct</w:t>
      </w:r>
    </w:p>
    <w:p>
      <w:pPr>
        <w:spacing w:after="0" w:line="93" w:lineRule="exact"/>
        <w:rPr>
          <w:sz w:val="20"/>
          <w:szCs w:val="20"/>
          <w:color w:val="auto"/>
        </w:rPr>
      </w:pPr>
    </w:p>
    <w:p>
      <w:pPr>
        <w:ind w:firstLine="752"/>
        <w:spacing w:after="0" w:line="269" w:lineRule="auto"/>
        <w:rPr>
          <w:sz w:val="20"/>
          <w:szCs w:val="20"/>
          <w:color w:val="auto"/>
        </w:rPr>
      </w:pPr>
      <w:r>
        <w:rPr>
          <w:rFonts w:ascii="Arial" w:cs="Arial" w:eastAsia="Arial" w:hAnsi="Arial"/>
          <w:sz w:val="16"/>
          <w:szCs w:val="16"/>
          <w:color w:val="252525"/>
        </w:rPr>
        <w:t>The determination by the Committee whether and the extent to which to seek recoupment of Incentive Compensation pursuant to Section V(b) of this Policy may be influenced by a variety of factors,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83755" cy="39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36" w:name="page37"/>
    <w:bookmarkEnd w:id="36"/>
    <w:p>
      <w:pPr>
        <w:jc w:val="both"/>
        <w:spacing w:after="0" w:line="251" w:lineRule="auto"/>
        <w:rPr>
          <w:sz w:val="20"/>
          <w:szCs w:val="20"/>
          <w:color w:val="auto"/>
        </w:rPr>
      </w:pPr>
      <w:r>
        <w:rPr>
          <w:rFonts w:ascii="Arial" w:cs="Arial" w:eastAsia="Arial" w:hAnsi="Arial"/>
          <w:sz w:val="16"/>
          <w:szCs w:val="16"/>
          <w:color w:val="252525"/>
        </w:rPr>
        <w:t>including, but not limited to: (i) the elements of the compensation received by the Covered Executive, (ii) retention, promotion, or succession planning considerations, (iii) pay equity factors, (iv) whether the underlying conduct was an isolated occurrence, (v) feasibility and cost of implementation, (vi) legal and compliance factors, (vii) whether other disciplinary actions have been taken against the Covered Executive, and (viii) the objective of administering the Policy in a way that does not discourage settlement of disputes when settlements are in the best long-term interests of the Company and its stockholders.</w:t>
      </w:r>
    </w:p>
    <w:p>
      <w:pPr>
        <w:spacing w:after="0" w:line="61" w:lineRule="exact"/>
        <w:rPr>
          <w:sz w:val="20"/>
          <w:szCs w:val="20"/>
          <w:color w:val="auto"/>
        </w:rPr>
      </w:pPr>
    </w:p>
    <w:p>
      <w:pPr>
        <w:jc w:val="both"/>
        <w:ind w:firstLine="752"/>
        <w:spacing w:after="0" w:line="249" w:lineRule="auto"/>
        <w:rPr>
          <w:sz w:val="20"/>
          <w:szCs w:val="20"/>
          <w:color w:val="auto"/>
        </w:rPr>
      </w:pPr>
      <w:r>
        <w:rPr>
          <w:rFonts w:ascii="Arial" w:cs="Arial" w:eastAsia="Arial" w:hAnsi="Arial"/>
          <w:sz w:val="16"/>
          <w:szCs w:val="16"/>
          <w:color w:val="252525"/>
        </w:rPr>
        <w:t>Based on the facts and circumstances, the Committee may decide on the appropriate recoupment method, including whether to seek recoupment of Recoverable Payments already paid or otherwise seek recoupment (totally or partially) of Recoverable Payments that have not vested or have not been paid. However, the Committee may not seek recoupment of any Recoverable Payments (a) following a change in control (as defined in the Covered Executive’s severance agreement) or (b) that were awarded more than three years prior to the first event giving rise to the recoupment. Recoupment determinations pursuant to this Policy shall only be made to the extent permitted by law, and this Policy shall be interpreted so as not to violate any law or regulation.</w:t>
      </w:r>
    </w:p>
    <w:p>
      <w:pPr>
        <w:spacing w:after="0" w:line="58"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b w:val="1"/>
          <w:bCs w:val="1"/>
          <w:u w:val="single" w:color="auto"/>
          <w:color w:val="auto"/>
        </w:rPr>
        <w:t>VII.</w:t>
        <w:tab/>
        <w:t>Method of Recoupment</w:t>
      </w:r>
    </w:p>
    <w:p>
      <w:pPr>
        <w:spacing w:after="0" w:line="93" w:lineRule="exact"/>
        <w:rPr>
          <w:sz w:val="20"/>
          <w:szCs w:val="20"/>
          <w:color w:val="auto"/>
        </w:rPr>
      </w:pPr>
    </w:p>
    <w:p>
      <w:pPr>
        <w:jc w:val="both"/>
        <w:ind w:firstLine="752"/>
        <w:spacing w:after="0" w:line="269" w:lineRule="auto"/>
        <w:rPr>
          <w:sz w:val="20"/>
          <w:szCs w:val="20"/>
          <w:color w:val="auto"/>
        </w:rPr>
      </w:pPr>
      <w:r>
        <w:rPr>
          <w:rFonts w:ascii="Arial" w:cs="Arial" w:eastAsia="Arial" w:hAnsi="Arial"/>
          <w:sz w:val="16"/>
          <w:szCs w:val="16"/>
          <w:color w:val="252525"/>
        </w:rPr>
        <w:t>The Committee will determine, in its sole discretion, subject to applicable laws and regulations, the method for recouping Incentive Compensation hereunder, which may include, without limitation:</w:t>
      </w:r>
    </w:p>
    <w:p>
      <w:pPr>
        <w:spacing w:after="0" w:line="47" w:lineRule="exact"/>
        <w:rPr>
          <w:sz w:val="20"/>
          <w:szCs w:val="20"/>
          <w:color w:val="auto"/>
        </w:rPr>
      </w:pPr>
    </w:p>
    <w:p>
      <w:pPr>
        <w:ind w:left="1140" w:hanging="381"/>
        <w:spacing w:after="0"/>
        <w:tabs>
          <w:tab w:leader="none" w:pos="1140" w:val="left"/>
        </w:tabs>
        <w:numPr>
          <w:ilvl w:val="0"/>
          <w:numId w:val="17"/>
        </w:numPr>
        <w:rPr>
          <w:rFonts w:ascii="Arial" w:cs="Arial" w:eastAsia="Arial" w:hAnsi="Arial"/>
          <w:sz w:val="16"/>
          <w:szCs w:val="16"/>
          <w:color w:val="252525"/>
        </w:rPr>
      </w:pPr>
      <w:r>
        <w:rPr>
          <w:rFonts w:ascii="Arial" w:cs="Arial" w:eastAsia="Arial" w:hAnsi="Arial"/>
          <w:sz w:val="16"/>
          <w:szCs w:val="16"/>
          <w:color w:val="252525"/>
        </w:rPr>
        <w:t>requiring reimbursement of cash Incentive Compensation previously paid;</w:t>
      </w:r>
    </w:p>
    <w:p>
      <w:pPr>
        <w:spacing w:after="0" w:line="15" w:lineRule="exact"/>
        <w:rPr>
          <w:rFonts w:ascii="Arial" w:cs="Arial" w:eastAsia="Arial" w:hAnsi="Arial"/>
          <w:sz w:val="16"/>
          <w:szCs w:val="16"/>
          <w:color w:val="252525"/>
        </w:rPr>
      </w:pPr>
    </w:p>
    <w:p>
      <w:pPr>
        <w:ind w:left="1140" w:hanging="381"/>
        <w:spacing w:after="0"/>
        <w:tabs>
          <w:tab w:leader="none" w:pos="1140" w:val="left"/>
        </w:tabs>
        <w:numPr>
          <w:ilvl w:val="0"/>
          <w:numId w:val="17"/>
        </w:numPr>
        <w:rPr>
          <w:rFonts w:ascii="Arial" w:cs="Arial" w:eastAsia="Arial" w:hAnsi="Arial"/>
          <w:sz w:val="16"/>
          <w:szCs w:val="16"/>
          <w:color w:val="252525"/>
        </w:rPr>
      </w:pPr>
      <w:r>
        <w:rPr>
          <w:rFonts w:ascii="Arial" w:cs="Arial" w:eastAsia="Arial" w:hAnsi="Arial"/>
          <w:sz w:val="16"/>
          <w:szCs w:val="16"/>
          <w:color w:val="252525"/>
        </w:rPr>
        <w:t>seeking recovery of any gain realized on the vesting, exercise, settlement, sale, transfer, or other disposition of any equity-based awards;</w:t>
      </w:r>
    </w:p>
    <w:p>
      <w:pPr>
        <w:spacing w:after="0" w:line="1" w:lineRule="exact"/>
        <w:rPr>
          <w:rFonts w:ascii="Arial" w:cs="Arial" w:eastAsia="Arial" w:hAnsi="Arial"/>
          <w:sz w:val="16"/>
          <w:szCs w:val="16"/>
          <w:color w:val="252525"/>
        </w:rPr>
      </w:pPr>
    </w:p>
    <w:p>
      <w:pPr>
        <w:ind w:left="1140" w:hanging="381"/>
        <w:spacing w:after="0"/>
        <w:tabs>
          <w:tab w:leader="none" w:pos="1140" w:val="left"/>
        </w:tabs>
        <w:numPr>
          <w:ilvl w:val="0"/>
          <w:numId w:val="17"/>
        </w:numPr>
        <w:rPr>
          <w:rFonts w:ascii="Arial" w:cs="Arial" w:eastAsia="Arial" w:hAnsi="Arial"/>
          <w:sz w:val="16"/>
          <w:szCs w:val="16"/>
          <w:color w:val="252525"/>
        </w:rPr>
      </w:pPr>
      <w:r>
        <w:rPr>
          <w:rFonts w:ascii="Arial" w:cs="Arial" w:eastAsia="Arial" w:hAnsi="Arial"/>
          <w:sz w:val="16"/>
          <w:szCs w:val="16"/>
          <w:color w:val="252525"/>
        </w:rPr>
        <w:t>offsetting the recouped amount from any compensation otherwise owed by the Company to the Covered Executive;</w:t>
      </w:r>
    </w:p>
    <w:p>
      <w:pPr>
        <w:spacing w:after="0" w:line="1" w:lineRule="exact"/>
        <w:rPr>
          <w:rFonts w:ascii="Arial" w:cs="Arial" w:eastAsia="Arial" w:hAnsi="Arial"/>
          <w:sz w:val="16"/>
          <w:szCs w:val="16"/>
          <w:color w:val="252525"/>
        </w:rPr>
      </w:pPr>
    </w:p>
    <w:p>
      <w:pPr>
        <w:ind w:left="1140" w:hanging="381"/>
        <w:spacing w:after="0"/>
        <w:tabs>
          <w:tab w:leader="none" w:pos="1140" w:val="left"/>
        </w:tabs>
        <w:numPr>
          <w:ilvl w:val="0"/>
          <w:numId w:val="17"/>
        </w:numPr>
        <w:rPr>
          <w:rFonts w:ascii="Arial" w:cs="Arial" w:eastAsia="Arial" w:hAnsi="Arial"/>
          <w:sz w:val="16"/>
          <w:szCs w:val="16"/>
          <w:color w:val="252525"/>
        </w:rPr>
      </w:pPr>
      <w:r>
        <w:rPr>
          <w:rFonts w:ascii="Arial" w:cs="Arial" w:eastAsia="Arial" w:hAnsi="Arial"/>
          <w:sz w:val="16"/>
          <w:szCs w:val="16"/>
          <w:color w:val="252525"/>
        </w:rPr>
        <w:t>cancelling outstanding vested or unvested equity awards; and/or</w:t>
      </w:r>
    </w:p>
    <w:p>
      <w:pPr>
        <w:spacing w:after="0" w:line="1" w:lineRule="exact"/>
        <w:rPr>
          <w:rFonts w:ascii="Arial" w:cs="Arial" w:eastAsia="Arial" w:hAnsi="Arial"/>
          <w:sz w:val="16"/>
          <w:szCs w:val="16"/>
          <w:color w:val="252525"/>
        </w:rPr>
      </w:pPr>
    </w:p>
    <w:p>
      <w:pPr>
        <w:ind w:left="1140" w:hanging="381"/>
        <w:spacing w:after="0"/>
        <w:tabs>
          <w:tab w:leader="none" w:pos="1140" w:val="left"/>
        </w:tabs>
        <w:numPr>
          <w:ilvl w:val="0"/>
          <w:numId w:val="17"/>
        </w:numPr>
        <w:rPr>
          <w:rFonts w:ascii="Arial" w:cs="Arial" w:eastAsia="Arial" w:hAnsi="Arial"/>
          <w:sz w:val="16"/>
          <w:szCs w:val="16"/>
          <w:color w:val="252525"/>
        </w:rPr>
      </w:pPr>
      <w:r>
        <w:rPr>
          <w:rFonts w:ascii="Arial" w:cs="Arial" w:eastAsia="Arial" w:hAnsi="Arial"/>
          <w:sz w:val="16"/>
          <w:szCs w:val="16"/>
          <w:color w:val="252525"/>
        </w:rPr>
        <w:t>taking any other remedial and recovery action permitted by law, as determined by the Committee.</w:t>
      </w:r>
    </w:p>
    <w:p>
      <w:pPr>
        <w:spacing w:after="0" w:line="159"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b w:val="1"/>
          <w:bCs w:val="1"/>
          <w:u w:val="single" w:color="auto"/>
          <w:color w:val="auto"/>
        </w:rPr>
        <w:t>VIII.</w:t>
      </w:r>
      <w:r>
        <w:rPr>
          <w:sz w:val="20"/>
          <w:szCs w:val="20"/>
          <w:color w:val="auto"/>
        </w:rPr>
        <w:tab/>
      </w:r>
      <w:r>
        <w:rPr>
          <w:rFonts w:ascii="Arial" w:cs="Arial" w:eastAsia="Arial" w:hAnsi="Arial"/>
          <w:sz w:val="14"/>
          <w:szCs w:val="14"/>
          <w:b w:val="1"/>
          <w:bCs w:val="1"/>
          <w:u w:val="single" w:color="auto"/>
          <w:color w:val="auto"/>
        </w:rPr>
        <w:t>No Indemnification; Successors</w:t>
      </w:r>
    </w:p>
    <w:p>
      <w:pPr>
        <w:spacing w:after="0" w:line="93" w:lineRule="exact"/>
        <w:rPr>
          <w:sz w:val="20"/>
          <w:szCs w:val="20"/>
          <w:color w:val="auto"/>
        </w:rPr>
      </w:pPr>
    </w:p>
    <w:p>
      <w:pPr>
        <w:jc w:val="both"/>
        <w:ind w:firstLine="752"/>
        <w:spacing w:after="0" w:line="269" w:lineRule="auto"/>
        <w:rPr>
          <w:sz w:val="20"/>
          <w:szCs w:val="20"/>
          <w:color w:val="auto"/>
        </w:rPr>
      </w:pPr>
      <w:r>
        <w:rPr>
          <w:rFonts w:ascii="Arial" w:cs="Arial" w:eastAsia="Arial" w:hAnsi="Arial"/>
          <w:sz w:val="16"/>
          <w:szCs w:val="16"/>
          <w:color w:val="252525"/>
        </w:rPr>
        <w:t>The Company shall not indemnify any Covered Executives against the loss of any incorrectly awarded Incentive Compensation. This Policy shall be binding and enforceable against all Covered Executives and their beneficiaries, heirs, executors, administrators, or other legal representatives.</w:t>
      </w:r>
    </w:p>
    <w:p>
      <w:pPr>
        <w:spacing w:after="0" w:line="43"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b w:val="1"/>
          <w:bCs w:val="1"/>
          <w:u w:val="single" w:color="auto"/>
          <w:color w:val="auto"/>
        </w:rPr>
        <w:t>IX.</w:t>
      </w:r>
      <w:r>
        <w:rPr>
          <w:sz w:val="20"/>
          <w:szCs w:val="20"/>
          <w:color w:val="auto"/>
        </w:rPr>
        <w:tab/>
      </w:r>
      <w:r>
        <w:rPr>
          <w:rFonts w:ascii="Arial" w:cs="Arial" w:eastAsia="Arial" w:hAnsi="Arial"/>
          <w:sz w:val="16"/>
          <w:szCs w:val="16"/>
          <w:b w:val="1"/>
          <w:bCs w:val="1"/>
          <w:u w:val="single" w:color="auto"/>
          <w:color w:val="auto"/>
        </w:rPr>
        <w:t>Interpretation</w:t>
      </w:r>
    </w:p>
    <w:p>
      <w:pPr>
        <w:spacing w:after="0" w:line="93" w:lineRule="exact"/>
        <w:rPr>
          <w:sz w:val="20"/>
          <w:szCs w:val="20"/>
          <w:color w:val="auto"/>
        </w:rPr>
      </w:pPr>
    </w:p>
    <w:p>
      <w:pPr>
        <w:jc w:val="both"/>
        <w:ind w:firstLine="752"/>
        <w:spacing w:after="0" w:line="251" w:lineRule="auto"/>
        <w:rPr>
          <w:sz w:val="20"/>
          <w:szCs w:val="20"/>
          <w:color w:val="auto"/>
        </w:rPr>
      </w:pPr>
      <w:r>
        <w:rPr>
          <w:rFonts w:ascii="Arial" w:cs="Arial" w:eastAsia="Arial" w:hAnsi="Arial"/>
          <w:sz w:val="16"/>
          <w:szCs w:val="16"/>
          <w:color w:val="252525"/>
        </w:rPr>
        <w:t>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including, without limitation, Item 402(b) of Regulation S-K, reasonably interpreted and applied, and any national securities exchange on which the Company’s securities are listed.</w:t>
      </w:r>
    </w:p>
    <w:p>
      <w:pPr>
        <w:spacing w:after="0" w:line="57" w:lineRule="exact"/>
        <w:rPr>
          <w:sz w:val="20"/>
          <w:szCs w:val="20"/>
          <w:color w:val="auto"/>
        </w:rPr>
      </w:pPr>
    </w:p>
    <w:p>
      <w:pPr>
        <w:ind w:left="520" w:hanging="513"/>
        <w:spacing w:after="0"/>
        <w:tabs>
          <w:tab w:leader="none" w:pos="520" w:val="left"/>
        </w:tabs>
        <w:numPr>
          <w:ilvl w:val="0"/>
          <w:numId w:val="18"/>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Effective Date</w:t>
      </w:r>
    </w:p>
    <w:p>
      <w:pPr>
        <w:spacing w:after="0" w:line="93" w:lineRule="exact"/>
        <w:rPr>
          <w:sz w:val="20"/>
          <w:szCs w:val="20"/>
          <w:color w:val="auto"/>
        </w:rPr>
      </w:pPr>
    </w:p>
    <w:p>
      <w:pPr>
        <w:jc w:val="both"/>
        <w:ind w:firstLine="752"/>
        <w:spacing w:after="0" w:line="256" w:lineRule="auto"/>
        <w:rPr>
          <w:sz w:val="20"/>
          <w:szCs w:val="20"/>
          <w:color w:val="auto"/>
        </w:rPr>
      </w:pPr>
      <w:r>
        <w:rPr>
          <w:rFonts w:ascii="Arial" w:cs="Arial" w:eastAsia="Arial" w:hAnsi="Arial"/>
          <w:sz w:val="16"/>
          <w:szCs w:val="16"/>
          <w:color w:val="252525"/>
        </w:rPr>
        <w:t>Once effective, this Policy shall apply to Incentive Compensation that is received by a Covered Executive on or after October 2, 2023, as determined by the Committee in accordance with applicable rules or standards adopted by the SEC and the listing standards of any national securities exchange on which the Company’s securities are listed.</w:t>
      </w:r>
    </w:p>
    <w:p>
      <w:pPr>
        <w:spacing w:after="0" w:line="52"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b w:val="1"/>
          <w:bCs w:val="1"/>
          <w:u w:val="single" w:color="auto"/>
          <w:color w:val="auto"/>
        </w:rPr>
        <w:t>XI.</w:t>
      </w:r>
      <w:r>
        <w:rPr>
          <w:sz w:val="20"/>
          <w:szCs w:val="20"/>
          <w:color w:val="auto"/>
        </w:rPr>
        <w:tab/>
      </w:r>
      <w:r>
        <w:rPr>
          <w:rFonts w:ascii="Arial" w:cs="Arial" w:eastAsia="Arial" w:hAnsi="Arial"/>
          <w:sz w:val="16"/>
          <w:szCs w:val="16"/>
          <w:b w:val="1"/>
          <w:bCs w:val="1"/>
          <w:u w:val="single" w:color="auto"/>
          <w:color w:val="auto"/>
        </w:rPr>
        <w:t>Amendment; Termination</w:t>
      </w:r>
    </w:p>
    <w:p>
      <w:pPr>
        <w:spacing w:after="0" w:line="93" w:lineRule="exact"/>
        <w:rPr>
          <w:sz w:val="20"/>
          <w:szCs w:val="20"/>
          <w:color w:val="auto"/>
        </w:rPr>
      </w:pPr>
    </w:p>
    <w:p>
      <w:pPr>
        <w:jc w:val="both"/>
        <w:ind w:firstLine="752"/>
        <w:spacing w:after="0" w:line="269" w:lineRule="auto"/>
        <w:rPr>
          <w:sz w:val="20"/>
          <w:szCs w:val="20"/>
          <w:color w:val="auto"/>
        </w:rPr>
      </w:pPr>
      <w:r>
        <w:rPr>
          <w:rFonts w:ascii="Arial" w:cs="Arial" w:eastAsia="Arial" w:hAnsi="Arial"/>
          <w:sz w:val="16"/>
          <w:szCs w:val="16"/>
          <w:color w:val="252525"/>
        </w:rPr>
        <w:t>The Committee may amend this Policy from time to time in its discretion and shall amend this Policy as it deems necessary to comply with any rules or standards adopted by the SEC and the listing</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83755" cy="393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252525"/>
        </w:rPr>
        <w:t>standards of any a national securities exchange on which the Company’s securities are listed. The Committee may terminate this Policy at any time.</w:t>
      </w:r>
    </w:p>
    <w:p>
      <w:pPr>
        <w:spacing w:after="0" w:line="85"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b w:val="1"/>
          <w:bCs w:val="1"/>
          <w:u w:val="single" w:color="auto"/>
          <w:color w:val="auto"/>
        </w:rPr>
        <w:t>XII.</w:t>
        <w:tab/>
        <w:t>Other Recoupment Rights</w:t>
      </w:r>
    </w:p>
    <w:p>
      <w:pPr>
        <w:spacing w:after="0" w:line="93" w:lineRule="exact"/>
        <w:rPr>
          <w:sz w:val="20"/>
          <w:szCs w:val="20"/>
          <w:color w:val="auto"/>
        </w:rPr>
      </w:pPr>
    </w:p>
    <w:p>
      <w:pPr>
        <w:jc w:val="both"/>
        <w:ind w:firstLine="752"/>
        <w:spacing w:after="0" w:line="256" w:lineRule="auto"/>
        <w:rPr>
          <w:sz w:val="20"/>
          <w:szCs w:val="20"/>
          <w:color w:val="auto"/>
        </w:rPr>
      </w:pPr>
      <w:r>
        <w:rPr>
          <w:rFonts w:ascii="Arial" w:cs="Arial" w:eastAsia="Arial" w:hAnsi="Arial"/>
          <w:sz w:val="16"/>
          <w:szCs w:val="16"/>
          <w:color w:val="252525"/>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44" w:lineRule="exact"/>
        <w:rPr>
          <w:sz w:val="20"/>
          <w:szCs w:val="20"/>
          <w:color w:val="auto"/>
        </w:rPr>
      </w:pPr>
    </w:p>
    <w:p>
      <w:pPr>
        <w:jc w:val="both"/>
        <w:ind w:firstLine="752"/>
        <w:spacing w:after="0" w:line="256" w:lineRule="auto"/>
        <w:rPr>
          <w:sz w:val="20"/>
          <w:szCs w:val="20"/>
          <w:color w:val="auto"/>
        </w:rPr>
      </w:pPr>
      <w:r>
        <w:rPr>
          <w:rFonts w:ascii="Arial" w:cs="Arial" w:eastAsia="Arial" w:hAnsi="Arial"/>
          <w:sz w:val="16"/>
          <w:szCs w:val="16"/>
          <w:color w:val="252525"/>
        </w:rPr>
        <w:t>In the event of any misconduct or supervisory failure described in Section V(b) above, the Company may take any actions that it deems appropriate to remedy the misconduct or supervisory failure and/or prevent its recurrence, including, but not limited to, dismissing or otherwise disciplining the Covered Executive or authorizing legal action for breach of fiduciary duty.</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83755" cy="393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6026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164070" cy="602615"/>
                    </a:xfrm>
                    <a:prstGeom prst="rect">
                      <a:avLst/>
                    </a:prstGeom>
                    <a:noFill/>
                  </pic:spPr>
                </pic:pic>
              </a:graphicData>
            </a:graphic>
          </wp:anchor>
        </w:drawing>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Fulgent Genetics, Inc.</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Executive Officer Incentive Plan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October 30,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86" w:lineRule="exact"/>
        <w:rPr>
          <w:sz w:val="20"/>
          <w:szCs w:val="20"/>
          <w:color w:val="auto"/>
        </w:rPr>
      </w:pPr>
    </w:p>
    <w:p>
      <w:pPr>
        <w:ind w:right="120"/>
        <w:spacing w:after="0" w:line="236" w:lineRule="auto"/>
        <w:rPr>
          <w:sz w:val="20"/>
          <w:szCs w:val="20"/>
          <w:color w:val="auto"/>
        </w:rPr>
      </w:pPr>
      <w:r>
        <w:rPr>
          <w:rFonts w:ascii="Arial" w:cs="Arial" w:eastAsia="Arial" w:hAnsi="Arial"/>
          <w:sz w:val="16"/>
          <w:szCs w:val="16"/>
          <w:color w:val="auto"/>
        </w:rPr>
        <w:t>The Amended and Restated Executive Officer Incentive Plan (the “Plan”) is an annual incentive compensation program designed to support the pay for performance philosophy of Fulgent Genetics, Inc. (“Company”) by rewarding members of the executive management team for their contributions in the achievement of corporate profitability and other important performance targets. The Plan is intended to deliver competitive levels of incentive compensation at expected levels of corporate performance with substantial upside potential for superior performance. The Plan, as amended and restated, will apply to Performance Years beginning with the Performance Year ending December 31, 2023.</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 of the Plan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the Plan is to:</w:t>
      </w:r>
    </w:p>
    <w:p>
      <w:pPr>
        <w:spacing w:after="0" w:line="78" w:lineRule="exact"/>
        <w:rPr>
          <w:sz w:val="20"/>
          <w:szCs w:val="20"/>
          <w:color w:val="auto"/>
        </w:rPr>
      </w:pPr>
    </w:p>
    <w:p>
      <w:pPr>
        <w:ind w:left="1140" w:hanging="381"/>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Align the executive management team with the organization’s strategic plan and critical performance goals;</w:t>
      </w:r>
    </w:p>
    <w:p>
      <w:pPr>
        <w:spacing w:after="0" w:line="89" w:lineRule="exact"/>
        <w:rPr>
          <w:rFonts w:ascii="Arial" w:cs="Arial" w:eastAsia="Arial" w:hAnsi="Arial"/>
          <w:sz w:val="16"/>
          <w:szCs w:val="16"/>
          <w:color w:val="auto"/>
        </w:rPr>
      </w:pPr>
    </w:p>
    <w:p>
      <w:pPr>
        <w:ind w:left="1140" w:hanging="381"/>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Motivate and reward the achievement of specific, measurable performance objectives;</w:t>
      </w:r>
    </w:p>
    <w:p>
      <w:pPr>
        <w:spacing w:after="0" w:line="89" w:lineRule="exact"/>
        <w:rPr>
          <w:rFonts w:ascii="Arial" w:cs="Arial" w:eastAsia="Arial" w:hAnsi="Arial"/>
          <w:sz w:val="16"/>
          <w:szCs w:val="16"/>
          <w:color w:val="auto"/>
        </w:rPr>
      </w:pPr>
    </w:p>
    <w:p>
      <w:pPr>
        <w:ind w:left="1140" w:hanging="381"/>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incentive payouts commensurate with the organization’s performance;</w:t>
      </w:r>
    </w:p>
    <w:p>
      <w:pPr>
        <w:spacing w:after="0" w:line="89" w:lineRule="exact"/>
        <w:rPr>
          <w:rFonts w:ascii="Arial" w:cs="Arial" w:eastAsia="Arial" w:hAnsi="Arial"/>
          <w:sz w:val="16"/>
          <w:szCs w:val="16"/>
          <w:color w:val="auto"/>
        </w:rPr>
      </w:pPr>
    </w:p>
    <w:p>
      <w:pPr>
        <w:ind w:left="1140" w:hanging="381"/>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competitive total compensation opportunities; and</w:t>
      </w:r>
    </w:p>
    <w:p>
      <w:pPr>
        <w:spacing w:after="0" w:line="89" w:lineRule="exact"/>
        <w:rPr>
          <w:rFonts w:ascii="Arial" w:cs="Arial" w:eastAsia="Arial" w:hAnsi="Arial"/>
          <w:sz w:val="16"/>
          <w:szCs w:val="16"/>
          <w:color w:val="auto"/>
        </w:rPr>
      </w:pPr>
    </w:p>
    <w:p>
      <w:pPr>
        <w:ind w:left="1140" w:hanging="381"/>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Enable the organization to attract, motivate, and retain talent.</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Participation and Eligibility</w:t>
      </w:r>
    </w:p>
    <w:p>
      <w:pPr>
        <w:spacing w:after="0" w:line="86" w:lineRule="exact"/>
        <w:rPr>
          <w:sz w:val="20"/>
          <w:szCs w:val="20"/>
          <w:color w:val="auto"/>
        </w:rPr>
      </w:pPr>
    </w:p>
    <w:p>
      <w:pPr>
        <w:jc w:val="both"/>
        <w:ind w:right="100"/>
        <w:spacing w:after="0" w:line="241" w:lineRule="auto"/>
        <w:rPr>
          <w:sz w:val="20"/>
          <w:szCs w:val="20"/>
          <w:color w:val="auto"/>
        </w:rPr>
      </w:pPr>
      <w:r>
        <w:rPr>
          <w:rFonts w:ascii="Arial" w:cs="Arial" w:eastAsia="Arial" w:hAnsi="Arial"/>
          <w:sz w:val="16"/>
          <w:szCs w:val="16"/>
          <w:color w:val="auto"/>
        </w:rPr>
        <w:t>Participants in the Plan shall include the company’s executive officers as determined by the Administrator. Additional individuals may be added to or removed from the Plan as participants at the discretion of the Administrator. Eligibility in the Plan will be communicated to each participant in writing at the beginning of the Performance Year (as defined below).</w:t>
      </w:r>
    </w:p>
    <w:p>
      <w:pPr>
        <w:spacing w:after="0" w:line="58"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Participants who join the organization during the Performance Year, or who transfer into an eligible position, and who are made eligible for the Plan in that year by the Administrator, will be eligible for a prorated incentive opportunity based on the number of full months the individual works in the eligible position. Generally, anyone joining the organization, or transferring into an eligible position, after September 30 will not be eligible for an incentive opportunity for that Performance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7183755" cy="393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Performance Period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Plan will measure performance from January 1 to December 31 (“Performance Year”).</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Target Incentive Opportunities</w:t>
      </w:r>
    </w:p>
    <w:p>
      <w:pPr>
        <w:spacing w:after="0" w:line="8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Each participant will have a specified annual target incentive opportunity based on their role. The target incentive will be expressed as a percentage of annual base salary for the Plan Year. The target incentive opportunities as a percent of annual base salary will be communicated to each participant in writing at the beginning of the Performance Year.</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Measures</w:t>
      </w:r>
    </w:p>
    <w:p>
      <w:pPr>
        <w:spacing w:after="0" w:line="8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Plan delivers annual incentives based on company performance. The table below provides the performance metrics and weighting for each performance component.</w:t>
      </w:r>
    </w:p>
    <w:p>
      <w:pPr>
        <w:spacing w:after="0" w:line="37" w:lineRule="exact"/>
        <w:rPr>
          <w:sz w:val="20"/>
          <w:szCs w:val="20"/>
          <w:color w:val="auto"/>
        </w:rPr>
      </w:pPr>
    </w:p>
    <w:tbl>
      <w:tblPr>
        <w:tblLayout w:type="fixed"/>
        <w:tblInd w:w="950" w:type="dxa"/>
        <w:tblCellMar>
          <w:top w:w="0" w:type="dxa"/>
          <w:left w:w="0" w:type="dxa"/>
          <w:bottom w:w="0" w:type="dxa"/>
          <w:right w:w="0" w:type="dxa"/>
        </w:tblCellMar>
      </w:tblPr>
      <w:tr>
        <w:trPr>
          <w:trHeight w:val="316"/>
        </w:trPr>
        <w:tc>
          <w:tcPr>
            <w:tcW w:w="458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Performance Metrics</w:t>
            </w:r>
          </w:p>
        </w:tc>
        <w:tc>
          <w:tcPr>
            <w:tcW w:w="4320" w:type="dxa"/>
            <w:vAlign w:val="bottom"/>
            <w:tcBorders>
              <w:top w:val="single" w:sz="8" w:color="auto"/>
              <w:right w:val="single" w:sz="8" w:color="auto"/>
            </w:tcBorders>
            <w:shd w:val="clear" w:color="auto" w:fill="D9D9D9"/>
          </w:tcPr>
          <w:p>
            <w:pPr>
              <w:ind w:left="1720"/>
              <w:spacing w:after="0"/>
              <w:rPr>
                <w:sz w:val="20"/>
                <w:szCs w:val="20"/>
                <w:color w:val="auto"/>
              </w:rPr>
            </w:pPr>
            <w:r>
              <w:rPr>
                <w:rFonts w:ascii="Arial" w:cs="Arial" w:eastAsia="Arial" w:hAnsi="Arial"/>
                <w:sz w:val="16"/>
                <w:szCs w:val="16"/>
                <w:b w:val="1"/>
                <w:bCs w:val="1"/>
                <w:color w:val="auto"/>
              </w:rPr>
              <w:t>Weightings</w:t>
            </w:r>
          </w:p>
        </w:tc>
      </w:tr>
      <w:tr>
        <w:trPr>
          <w:trHeight w:val="67"/>
        </w:trPr>
        <w:tc>
          <w:tcPr>
            <w:tcW w:w="4580" w:type="dxa"/>
            <w:vAlign w:val="bottom"/>
            <w:tcBorders>
              <w:left w:val="single" w:sz="8" w:color="auto"/>
              <w:bottom w:val="single" w:sz="8" w:color="auto"/>
              <w:right w:val="single" w:sz="8" w:color="auto"/>
            </w:tcBorders>
            <w:shd w:val="clear" w:color="auto" w:fill="D9D9D9"/>
          </w:tcPr>
          <w:p>
            <w:pPr>
              <w:spacing w:after="0"/>
              <w:rPr>
                <w:sz w:val="5"/>
                <w:szCs w:val="5"/>
                <w:color w:val="auto"/>
              </w:rPr>
            </w:pPr>
          </w:p>
        </w:tc>
        <w:tc>
          <w:tcPr>
            <w:tcW w:w="4320" w:type="dxa"/>
            <w:vAlign w:val="bottom"/>
            <w:tcBorders>
              <w:bottom w:val="single" w:sz="8" w:color="auto"/>
              <w:right w:val="single" w:sz="8" w:color="auto"/>
            </w:tcBorders>
            <w:shd w:val="clear" w:color="auto" w:fill="D9D9D9"/>
          </w:tcPr>
          <w:p>
            <w:pPr>
              <w:spacing w:after="0"/>
              <w:rPr>
                <w:sz w:val="5"/>
                <w:szCs w:val="5"/>
                <w:color w:val="auto"/>
              </w:rPr>
            </w:pPr>
          </w:p>
        </w:tc>
      </w:tr>
      <w:tr>
        <w:trPr>
          <w:trHeight w:val="284"/>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Revenue</w:t>
            </w:r>
          </w:p>
        </w:tc>
        <w:tc>
          <w:tcPr>
            <w:tcW w:w="43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50%</w:t>
            </w:r>
          </w:p>
        </w:tc>
      </w:tr>
      <w:tr>
        <w:trPr>
          <w:trHeight w:val="83"/>
        </w:trPr>
        <w:tc>
          <w:tcPr>
            <w:tcW w:w="4580" w:type="dxa"/>
            <w:vAlign w:val="bottom"/>
            <w:tcBorders>
              <w:left w:val="single" w:sz="8" w:color="auto"/>
              <w:bottom w:val="single" w:sz="8" w:color="auto"/>
              <w:right w:val="single" w:sz="8" w:color="auto"/>
            </w:tcBorders>
          </w:tcPr>
          <w:p>
            <w:pPr>
              <w:spacing w:after="0"/>
              <w:rPr>
                <w:sz w:val="7"/>
                <w:szCs w:val="7"/>
                <w:color w:val="auto"/>
              </w:rPr>
            </w:pPr>
          </w:p>
        </w:tc>
        <w:tc>
          <w:tcPr>
            <w:tcW w:w="4320" w:type="dxa"/>
            <w:vAlign w:val="bottom"/>
            <w:tcBorders>
              <w:bottom w:val="single" w:sz="8" w:color="auto"/>
              <w:right w:val="single" w:sz="8" w:color="auto"/>
            </w:tcBorders>
          </w:tcPr>
          <w:p>
            <w:pPr>
              <w:spacing w:after="0"/>
              <w:rPr>
                <w:sz w:val="7"/>
                <w:szCs w:val="7"/>
                <w:color w:val="auto"/>
              </w:rPr>
            </w:pPr>
          </w:p>
        </w:tc>
      </w:tr>
      <w:tr>
        <w:trPr>
          <w:trHeight w:val="279"/>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EBITDA</w:t>
            </w:r>
          </w:p>
        </w:tc>
        <w:tc>
          <w:tcPr>
            <w:tcW w:w="43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50%</w:t>
            </w:r>
          </w:p>
        </w:tc>
      </w:tr>
      <w:tr>
        <w:trPr>
          <w:trHeight w:val="83"/>
        </w:trPr>
        <w:tc>
          <w:tcPr>
            <w:tcW w:w="4580" w:type="dxa"/>
            <w:vAlign w:val="bottom"/>
            <w:tcBorders>
              <w:left w:val="single" w:sz="8" w:color="auto"/>
              <w:bottom w:val="single" w:sz="8" w:color="auto"/>
              <w:right w:val="single" w:sz="8" w:color="auto"/>
            </w:tcBorders>
          </w:tcPr>
          <w:p>
            <w:pPr>
              <w:spacing w:after="0"/>
              <w:rPr>
                <w:sz w:val="7"/>
                <w:szCs w:val="7"/>
                <w:color w:val="auto"/>
              </w:rPr>
            </w:pPr>
          </w:p>
        </w:tc>
        <w:tc>
          <w:tcPr>
            <w:tcW w:w="4320" w:type="dxa"/>
            <w:vAlign w:val="bottom"/>
            <w:tcBorders>
              <w:bottom w:val="single" w:sz="8" w:color="auto"/>
              <w:right w:val="single" w:sz="8" w:color="auto"/>
            </w:tcBorders>
          </w:tcPr>
          <w:p>
            <w:pPr>
              <w:spacing w:after="0"/>
              <w:rPr>
                <w:sz w:val="7"/>
                <w:szCs w:val="7"/>
                <w:color w:val="auto"/>
              </w:rPr>
            </w:pPr>
          </w:p>
        </w:tc>
      </w:tr>
      <w:tr>
        <w:trPr>
          <w:trHeight w:val="291"/>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Total</w:t>
            </w:r>
          </w:p>
        </w:tc>
        <w:tc>
          <w:tcPr>
            <w:tcW w:w="43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100%</w:t>
            </w:r>
          </w:p>
        </w:tc>
      </w:tr>
      <w:tr>
        <w:trPr>
          <w:trHeight w:val="71"/>
        </w:trPr>
        <w:tc>
          <w:tcPr>
            <w:tcW w:w="4580" w:type="dxa"/>
            <w:vAlign w:val="bottom"/>
            <w:tcBorders>
              <w:left w:val="single" w:sz="8" w:color="auto"/>
              <w:bottom w:val="single" w:sz="8" w:color="auto"/>
              <w:right w:val="single" w:sz="8" w:color="auto"/>
            </w:tcBorders>
          </w:tcPr>
          <w:p>
            <w:pPr>
              <w:spacing w:after="0"/>
              <w:rPr>
                <w:sz w:val="6"/>
                <w:szCs w:val="6"/>
                <w:color w:val="auto"/>
              </w:rPr>
            </w:pPr>
          </w:p>
        </w:tc>
        <w:tc>
          <w:tcPr>
            <w:tcW w:w="4320" w:type="dxa"/>
            <w:vAlign w:val="bottom"/>
            <w:tcBorders>
              <w:bottom w:val="single" w:sz="8" w:color="auto"/>
              <w:right w:val="single" w:sz="8" w:color="auto"/>
            </w:tcBorders>
          </w:tcPr>
          <w:p>
            <w:pPr>
              <w:spacing w:after="0"/>
              <w:rPr>
                <w:sz w:val="6"/>
                <w:szCs w:val="6"/>
                <w:color w:val="auto"/>
              </w:rPr>
            </w:pPr>
          </w:p>
        </w:tc>
      </w:tr>
    </w:tbl>
    <w:p>
      <w:pPr>
        <w:spacing w:after="0" w:line="73"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At the beginning of the Performance Year, specific performance goals are defined and are approved by the Administrator. The goals reflect the strategic priorities for the Company. The Administrator may change the performance metrics and adjust the weightings for a Performance Year at any time in its sole discretion.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Determination of Incentive Awards</w:t>
      </w:r>
    </w:p>
    <w:p>
      <w:pPr>
        <w:spacing w:after="0" w:line="86"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After the end of the Performance Year and completion of the financial statement audit, each participant will be eligible for an incentive award in the form of (i) cash or (ii) in the sole discretion of the Administrator (as defined below), either fully or partially in the form of fully vested restricted stock units (“RSUs”), to be issued pursuant to the Company’s Amended and Restated 2016 Omnibus Incentive Plan or other then-stockholder approved equity incentive plan, for a number of shares equal to the amount of the incentive award divided by the closing price of the Company’s common stock on the Payment Date (as defined below) (rounded up to the nearest whole share).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value of the incentive award is calculated by taking (A) multiplied by (B), where:</w:t>
      </w:r>
    </w:p>
    <w:p>
      <w:pPr>
        <w:spacing w:after="0" w:line="78" w:lineRule="exact"/>
        <w:rPr>
          <w:sz w:val="20"/>
          <w:szCs w:val="20"/>
          <w:color w:val="auto"/>
        </w:rPr>
      </w:pPr>
    </w:p>
    <w:p>
      <w:pPr>
        <w:ind w:left="760" w:hanging="377"/>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 the participant’s target incentive opportunity, and</w:t>
      </w:r>
    </w:p>
    <w:p>
      <w:pPr>
        <w:spacing w:after="0" w:line="89" w:lineRule="exact"/>
        <w:rPr>
          <w:rFonts w:ascii="Arial" w:cs="Arial" w:eastAsia="Arial" w:hAnsi="Arial"/>
          <w:sz w:val="16"/>
          <w:szCs w:val="16"/>
          <w:color w:val="auto"/>
        </w:rPr>
      </w:pPr>
    </w:p>
    <w:p>
      <w:pPr>
        <w:ind w:left="760" w:hanging="377"/>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 the adjustment for company performance.</w:t>
      </w:r>
    </w:p>
    <w:p>
      <w:pPr>
        <w:spacing w:after="0" w:line="177"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The Company performance is based on level of achievement of the goals. Threshold levels of performance are established for each goal. If the applicable threshold level of</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183755" cy="393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160"/>
          </w:cols>
          <w:pgMar w:left="300" w:top="401" w:right="439" w:bottom="1440" w:gutter="0" w:footer="0" w:header="0"/>
        </w:sectPr>
      </w:pPr>
    </w:p>
    <w:bookmarkStart w:id="40" w:name="page41"/>
    <w:bookmarkEnd w:id="40"/>
    <w:p>
      <w:pPr>
        <w:jc w:val="both"/>
        <w:spacing w:after="0" w:line="241" w:lineRule="auto"/>
        <w:rPr>
          <w:sz w:val="20"/>
          <w:szCs w:val="20"/>
          <w:color w:val="auto"/>
        </w:rPr>
      </w:pPr>
      <w:r>
        <w:rPr>
          <w:rFonts w:ascii="Arial" w:cs="Arial" w:eastAsia="Arial" w:hAnsi="Arial"/>
          <w:sz w:val="16"/>
          <w:szCs w:val="16"/>
          <w:color w:val="auto"/>
        </w:rPr>
        <w:t>achievement is met, participants will be eligible to be awarded a pro rata portion of such goal’s target incentive based on the difference between the applicable threshold and the related goal. The maximum award is capped at 200% of the target incentive. Refer to the Appendix A for details relating to Plan funding and an illustration.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If threshold levels of performance are not met, then any incentive award will be at the discretion of the Administrator.</w:t>
      </w:r>
    </w:p>
    <w:p>
      <w:pPr>
        <w:spacing w:after="0" w:line="78"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Incentive awards may be appropriately adjusted for all other extraordinary and unusual items or events as the Administrator determines may be necessary or appropriate in its sole and absolute discretion. The Administrator also retains the discretion to adjust individual participant awards up or down at any time based upon any other factors determined to be relevant, regardless of whether any of the performance metrics outlined herein are achieved.</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Timing and Payment</w:t>
      </w:r>
    </w:p>
    <w:p>
      <w:pPr>
        <w:spacing w:after="0" w:line="86"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Following the end of the Performance Year, upon completion of the financial statement audit, the annual incentive award will be calculated for each participant and approved by the Administrator. Upon approval, incentive payments (less any applicable tax withholdings) shall be made to participants. Generally, payment will be made as soon as administratively possible; however, all payments made to participants under this Plan shall be paid on the date that is the earlier of (i) the second business day following the filing date of the Company’s Annual Report on Form 10-K for the applicable Performance Year or (ii) March 15 of the year following the Performance Year (the “Payment Date”).</w:t>
      </w:r>
    </w:p>
    <w:p>
      <w:pPr>
        <w:spacing w:after="0" w:line="58"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Employees will only be eligible to earn an incentive award for the applicable Plan Year if the Employee remains employed until the payment date of the award. The incentive award shall not be deemed to be earned until the payment date, which is the date by which services by the Employee must be completed in order to effectuate earning such award. I</w:t>
      </w:r>
      <w:r>
        <w:rPr>
          <w:rFonts w:ascii="Arial" w:cs="Arial" w:eastAsia="Arial" w:hAnsi="Arial"/>
          <w:sz w:val="16"/>
          <w:szCs w:val="16"/>
          <w:color w:val="333333"/>
        </w:rPr>
        <w:t>f a participant resigns or is terminated for any reason and subsequently violates the terms of a previously signed</w:t>
      </w:r>
      <w:r>
        <w:rPr>
          <w:rFonts w:ascii="Arial" w:cs="Arial" w:eastAsia="Arial" w:hAnsi="Arial"/>
          <w:sz w:val="16"/>
          <w:szCs w:val="16"/>
          <w:color w:val="auto"/>
        </w:rPr>
        <w:t xml:space="preserve"> </w:t>
      </w:r>
      <w:r>
        <w:rPr>
          <w:rFonts w:ascii="Arial" w:cs="Arial" w:eastAsia="Arial" w:hAnsi="Arial"/>
          <w:sz w:val="16"/>
          <w:szCs w:val="16"/>
          <w:color w:val="333333"/>
        </w:rPr>
        <w:t>Confidentiality and Non-Solicitation Agreement or Employment Agreement, the participant shall also forfeit the right to retain any previous incentive award payments made and shall be required to repay the full amount of all prior incentive award payments paid, except as required by applicable law. Payments under this Plan are subject to the Company's Incentive Compensation Recoupment Policy as then in effect. If the Participant fails to repay any portion of the incentive amounts rightfully required to be returned, the Company may take legal action to recover any such amounts previously paid.</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For a participant that was on an approved medical leave of absence or on a military leave of absence during the Performance Year, eligibility for an incentive award will be prorated based on the number of days worked in the Performance Year.</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Although The Company does not guarantee the tax treatment of any payments under the Plan, the intent is that the payments under this Plan be exempt from, or comply with, Section 409A of the Internal Revenue Code of 1986, as amended, and all Treasury regulations and guidance.</w:t>
      </w:r>
    </w:p>
    <w:p>
      <w:pPr>
        <w:spacing w:after="0" w:line="30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183755" cy="393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20"/>
          </w:cols>
          <w:pgMar w:left="300" w:top="496" w:right="37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About the Plan</w:t>
      </w:r>
    </w:p>
    <w:p>
      <w:pPr>
        <w:spacing w:after="0" w:line="8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Board of Directors (the “Board”) will administer the Plan and may delegate the responsibility to administer the Plan to the Compensation Committee (“Administrator”). The Administrator shall have authority, duty, and power to interpret and construe the provisions of the Plan as it deems appropriate, to adopt, establish and revise rules, procedures and regulations relating to the Plan, to determine the conditions subject to which any benefits may be payable, to resolve all factual and legal questions concerning the status of the participants and others under the Plan, including but not limited to, eligibility for incentive awards, and to make any other determinations which it believes necessary or advisable for the administration of the Plan. Incentive awards payable are subject to approval by the Administrator. Incentive awards under this Plan will be payable only if the Administrator decides in its sole discretion that the employee is entitled to them under the Plan. The determinations, interpretations, and regulations of the Administrator and the calculations of the Administrator shall be final and binding on all persons and parties concerned.</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No employee will have a claim as a matter of right to any incentive award until it is actually paid to him or her. The Company reserves the right to amend, modify, or terminate any or all the provisions of the Plan in the future in its sole discretion. This Plan does not constitute an agreement of any kind.</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on Benefits</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Incentive payment received under this Plan may impact benefits. The benefit plans each define “compensation.” The definition may be different for each benefit plan. Refer to the benefit plan documents for additional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at Will</w:t>
      </w:r>
    </w:p>
    <w:p>
      <w:pPr>
        <w:spacing w:after="0" w:line="8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While it is hoped that each participant’s employment relationship with the Company will be mutually rewarding and long-term, this document should not be construed as, and does not constitute, a contract of employment for any specific duration. The participant or Company may terminate the employment relationship at any time.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183755" cy="393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401" w:right="319" w:bottom="1440" w:gutter="0" w:footer="0" w:header="0"/>
        </w:sectPr>
      </w:pPr>
    </w:p>
    <w:bookmarkStart w:id="42" w:name="page43"/>
    <w:bookmarkEnd w:id="42"/>
    <w:p>
      <w:pPr>
        <w:jc w:val="center"/>
        <w:ind w:right="120"/>
        <w:spacing w:after="0"/>
        <w:rPr>
          <w:sz w:val="20"/>
          <w:szCs w:val="20"/>
          <w:color w:val="auto"/>
        </w:rPr>
      </w:pPr>
      <w:r>
        <w:rPr>
          <w:rFonts w:ascii="Arial" w:cs="Arial" w:eastAsia="Arial" w:hAnsi="Arial"/>
          <w:sz w:val="23"/>
          <w:szCs w:val="23"/>
          <w:b w:val="1"/>
          <w:bCs w:val="1"/>
          <w:color w:val="FFFFFF"/>
        </w:rPr>
        <w:drawing>
          <wp:anchor simplePos="0" relativeHeight="251657728" behindDoc="1" locked="0" layoutInCell="0" allowOverlap="1">
            <wp:simplePos x="0" y="0"/>
            <wp:positionH relativeFrom="page">
              <wp:posOffset>192405</wp:posOffset>
            </wp:positionH>
            <wp:positionV relativeFrom="page">
              <wp:posOffset>210820</wp:posOffset>
            </wp:positionV>
            <wp:extent cx="7164070" cy="5473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164070" cy="547370"/>
                    </a:xfrm>
                    <a:prstGeom prst="rect">
                      <a:avLst/>
                    </a:prstGeom>
                    <a:noFill/>
                  </pic:spPr>
                </pic:pic>
              </a:graphicData>
            </a:graphic>
          </wp:anchor>
        </w:drawing>
        <w:t>Fulgent Genetics, Inc.</w:t>
      </w:r>
    </w:p>
    <w:p>
      <w:pPr>
        <w:spacing w:after="0" w:line="96" w:lineRule="exact"/>
        <w:rPr>
          <w:sz w:val="20"/>
          <w:szCs w:val="20"/>
          <w:color w:val="auto"/>
        </w:rPr>
      </w:pPr>
    </w:p>
    <w:p>
      <w:pPr>
        <w:jc w:val="center"/>
        <w:ind w:right="120"/>
        <w:spacing w:after="0"/>
        <w:rPr>
          <w:sz w:val="20"/>
          <w:szCs w:val="20"/>
          <w:color w:val="auto"/>
        </w:rPr>
      </w:pPr>
      <w:r>
        <w:rPr>
          <w:rFonts w:ascii="Arial" w:cs="Arial" w:eastAsia="Arial" w:hAnsi="Arial"/>
          <w:sz w:val="23"/>
          <w:szCs w:val="23"/>
          <w:b w:val="1"/>
          <w:bCs w:val="1"/>
          <w:color w:val="FFFFFF"/>
        </w:rPr>
        <w:t>Amended and Restated Executive Officer Incentive Plan</w:t>
      </w:r>
    </w:p>
    <w:p>
      <w:pPr>
        <w:spacing w:after="0" w:line="222" w:lineRule="exact"/>
        <w:rPr>
          <w:sz w:val="20"/>
          <w:szCs w:val="20"/>
          <w:color w:val="auto"/>
        </w:rPr>
      </w:pPr>
    </w:p>
    <w:p>
      <w:pPr>
        <w:ind w:right="360"/>
        <w:spacing w:after="0" w:line="238" w:lineRule="auto"/>
        <w:rPr>
          <w:sz w:val="20"/>
          <w:szCs w:val="20"/>
          <w:color w:val="auto"/>
        </w:rPr>
      </w:pPr>
      <w:r>
        <w:rPr>
          <w:rFonts w:ascii="Arial" w:cs="Arial" w:eastAsia="Arial" w:hAnsi="Arial"/>
          <w:sz w:val="16"/>
          <w:szCs w:val="16"/>
          <w:color w:val="auto"/>
        </w:rPr>
        <w:t>The Amended and Restated Executive Officer Incentive Plan (the “Plan”) is an annual incentive compensation program designed to support the pay for performance philosophy of Fulgent Genetics, Inc. by rewarding members of the executive management team for their contributions in the achievement of corporate profitability and other important performance targets. The Plan will deliver competitive levels of incentive compensation at expected levels of corporate and individual performance with substantial upside potential for superior performance. Below are details relating to your participation in the plan.</w: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348"/>
        </w:trPr>
        <w:tc>
          <w:tcPr>
            <w:tcW w:w="3160" w:type="dxa"/>
            <w:vAlign w:val="bottom"/>
            <w:tcBorders>
              <w:top w:val="single" w:sz="8" w:color="auto"/>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Name</w:t>
            </w:r>
          </w:p>
        </w:tc>
        <w:tc>
          <w:tcPr>
            <w:tcW w:w="8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16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8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auto"/>
              <w:right w:val="single" w:sz="8" w:color="auto"/>
            </w:tcBorders>
            <w:vMerge w:val="restart"/>
            <w:shd w:val="clear" w:color="auto" w:fill="D9D9D9"/>
          </w:tcPr>
          <w:p>
            <w:pPr>
              <w:ind w:left="100"/>
              <w:spacing w:after="0"/>
              <w:rPr>
                <w:sz w:val="20"/>
                <w:szCs w:val="20"/>
                <w:color w:val="auto"/>
              </w:rPr>
            </w:pPr>
            <w:r>
              <w:rPr>
                <w:rFonts w:ascii="Arial" w:cs="Arial" w:eastAsia="Arial" w:hAnsi="Arial"/>
                <w:sz w:val="16"/>
                <w:szCs w:val="16"/>
                <w:color w:val="auto"/>
              </w:rPr>
              <w:t>Title</w:t>
            </w:r>
          </w:p>
        </w:tc>
        <w:tc>
          <w:tcPr>
            <w:tcW w:w="8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160" w:type="dxa"/>
            <w:vAlign w:val="bottom"/>
            <w:tcBorders>
              <w:left w:val="single" w:sz="8" w:color="auto"/>
              <w:right w:val="single" w:sz="8" w:color="auto"/>
            </w:tcBorders>
            <w:vMerge w:val="continue"/>
            <w:shd w:val="clear" w:color="auto" w:fill="D9D9D9"/>
          </w:tcPr>
          <w:p>
            <w:pPr>
              <w:spacing w:after="0"/>
              <w:rPr>
                <w:sz w:val="24"/>
                <w:szCs w:val="24"/>
                <w:color w:val="auto"/>
              </w:rPr>
            </w:pPr>
          </w:p>
        </w:tc>
        <w:tc>
          <w:tcPr>
            <w:tcW w:w="8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16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8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16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Performance Period</w:t>
            </w: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January 1 – December 31, 20XX</w:t>
            </w:r>
          </w:p>
        </w:tc>
        <w:tc>
          <w:tcPr>
            <w:tcW w:w="0" w:type="dxa"/>
            <w:vAlign w:val="bottom"/>
          </w:tcPr>
          <w:p>
            <w:pPr>
              <w:spacing w:after="0"/>
              <w:rPr>
                <w:sz w:val="1"/>
                <w:szCs w:val="1"/>
                <w:color w:val="auto"/>
              </w:rPr>
            </w:pPr>
          </w:p>
        </w:tc>
      </w:tr>
      <w:tr>
        <w:trPr>
          <w:trHeight w:val="138"/>
        </w:trPr>
        <w:tc>
          <w:tcPr>
            <w:tcW w:w="316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8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16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Incentive Target %</w:t>
            </w: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xx%</w:t>
            </w:r>
          </w:p>
        </w:tc>
        <w:tc>
          <w:tcPr>
            <w:tcW w:w="0" w:type="dxa"/>
            <w:vAlign w:val="bottom"/>
          </w:tcPr>
          <w:p>
            <w:pPr>
              <w:spacing w:after="0"/>
              <w:rPr>
                <w:sz w:val="1"/>
                <w:szCs w:val="1"/>
                <w:color w:val="auto"/>
              </w:rPr>
            </w:pPr>
          </w:p>
        </w:tc>
      </w:tr>
      <w:tr>
        <w:trPr>
          <w:trHeight w:val="138"/>
        </w:trPr>
        <w:tc>
          <w:tcPr>
            <w:tcW w:w="316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8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 and Acknowledgement of Receipt</w:t>
      </w:r>
    </w:p>
    <w:p>
      <w:pPr>
        <w:spacing w:after="0" w:line="174"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I hereby acknowledge that (1) I have read and accept the terms of the Amended and Restated Executive Officer Incentive Plan; (2) this Amended and Restated Executive Incentive Plan fully amends and restates any previously adopted Executive Incentive Plan, effective as of October 30, 2023; and (3) its terms will apply to payments that may be owed with respect to the Performance Years ending on or after December 31, 2023, including the Performance Year ended December 31, 2023.</w:t>
      </w:r>
    </w:p>
    <w:p>
      <w:pPr>
        <w:sectPr>
          <w:pgSz w:w="11900" w:h="16838" w:orient="portrait"/>
          <w:cols w:equalWidth="0" w:num="1">
            <w:col w:w="11280"/>
          </w:cols>
          <w:pgMar w:left="300" w:top="414" w:right="31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Signature: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66" w:lineRule="exact"/>
        <w:rPr>
          <w:sz w:val="20"/>
          <w:szCs w:val="20"/>
          <w:color w:val="auto"/>
        </w:rPr>
      </w:pPr>
    </w:p>
    <w:p>
      <w:pPr>
        <w:sectPr>
          <w:pgSz w:w="11900" w:h="16838" w:orient="portrait"/>
          <w:cols w:equalWidth="0" w:num="2">
            <w:col w:w="2000" w:space="500"/>
            <w:col w:w="8780"/>
          </w:cols>
          <w:pgMar w:left="300" w:top="414" w:right="319" w:bottom="1440" w:gutter="0" w:footer="0" w:header="0"/>
          <w:type w:val="continuous"/>
        </w:sect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___________________________________</w:t>
      </w:r>
    </w:p>
    <w:p>
      <w:pPr>
        <w:spacing w:after="0" w:line="200" w:lineRule="exact"/>
        <w:rPr>
          <w:sz w:val="20"/>
          <w:szCs w:val="20"/>
          <w:color w:val="auto"/>
        </w:rPr>
      </w:pPr>
    </w:p>
    <w:p>
      <w:pPr>
        <w:sectPr>
          <w:pgSz w:w="11900" w:h="16838" w:orient="portrait"/>
          <w:cols w:equalWidth="0" w:num="2">
            <w:col w:w="1780" w:space="720"/>
            <w:col w:w="8780"/>
          </w:cols>
          <w:pgMar w:left="300" w:top="414" w:right="31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Signature: ___________________________________</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20"/>
                <w:szCs w:val="20"/>
                <w:color w:val="auto"/>
              </w:rPr>
            </w:pPr>
            <w:r>
              <w:rPr>
                <w:rFonts w:ascii="Arial" w:cs="Arial" w:eastAsia="Arial" w:hAnsi="Arial"/>
                <w:sz w:val="16"/>
                <w:szCs w:val="16"/>
                <w:color w:val="auto"/>
              </w:rPr>
              <w:t>Date:</w:t>
            </w:r>
          </w:p>
        </w:tc>
        <w:tc>
          <w:tcPr>
            <w:tcW w:w="9660" w:type="dxa"/>
            <w:vAlign w:val="bottom"/>
          </w:tcPr>
          <w:p>
            <w:pPr>
              <w:jc w:val="right"/>
              <w:ind w:right="5580"/>
              <w:spacing w:after="0"/>
              <w:rPr>
                <w:sz w:val="20"/>
                <w:szCs w:val="20"/>
                <w:color w:val="auto"/>
              </w:rPr>
            </w:pPr>
            <w:r>
              <w:rPr>
                <w:rFonts w:ascii="Arial" w:cs="Arial" w:eastAsia="Arial" w:hAnsi="Arial"/>
                <w:sz w:val="16"/>
                <w:szCs w:val="16"/>
                <w:color w:val="auto"/>
              </w:rPr>
              <w:t>___________________________________</w:t>
            </w:r>
          </w:p>
        </w:tc>
      </w:tr>
      <w:tr>
        <w:trPr>
          <w:trHeight w:val="205"/>
        </w:trPr>
        <w:tc>
          <w:tcPr>
            <w:tcW w:w="1620" w:type="dxa"/>
            <w:vAlign w:val="bottom"/>
          </w:tcPr>
          <w:p>
            <w:pPr>
              <w:ind w:left="240"/>
              <w:spacing w:after="0"/>
              <w:rPr>
                <w:sz w:val="20"/>
                <w:szCs w:val="20"/>
                <w:color w:val="auto"/>
              </w:rPr>
            </w:pPr>
            <w:r>
              <w:rPr>
                <w:rFonts w:ascii="Arial" w:cs="Arial" w:eastAsia="Arial" w:hAnsi="Arial"/>
                <w:sz w:val="16"/>
                <w:szCs w:val="16"/>
                <w:color w:val="auto"/>
              </w:rPr>
              <w:t>Page 5</w:t>
            </w:r>
          </w:p>
        </w:tc>
        <w:tc>
          <w:tcPr>
            <w:tcW w:w="9660" w:type="dxa"/>
            <w:vAlign w:val="bottom"/>
          </w:tcPr>
          <w:p>
            <w:pPr>
              <w:spacing w:after="0"/>
              <w:rPr>
                <w:sz w:val="17"/>
                <w:szCs w:val="17"/>
                <w:color w:val="auto"/>
              </w:rPr>
            </w:pPr>
          </w:p>
        </w:tc>
      </w:tr>
      <w:tr>
        <w:trPr>
          <w:trHeight w:val="74"/>
        </w:trPr>
        <w:tc>
          <w:tcPr>
            <w:tcW w:w="1620" w:type="dxa"/>
            <w:vAlign w:val="bottom"/>
            <w:tcBorders>
              <w:bottom w:val="single" w:sz="8" w:color="9A9A9A"/>
            </w:tcBorders>
          </w:tcPr>
          <w:p>
            <w:pPr>
              <w:spacing w:after="0"/>
              <w:rPr>
                <w:sz w:val="6"/>
                <w:szCs w:val="6"/>
                <w:color w:val="auto"/>
              </w:rPr>
            </w:pPr>
          </w:p>
        </w:tc>
        <w:tc>
          <w:tcPr>
            <w:tcW w:w="96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414" w:right="31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5"/>
          <w:szCs w:val="15"/>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RULES 13a-14(a) AND 15d-14(a) UNDER THE SECURITIES EXCHANGE ACT OF 1934,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I, Ming Hsieh, certify that:</w:t>
      </w:r>
    </w:p>
    <w:p>
      <w:pPr>
        <w:spacing w:after="0" w:line="177" w:lineRule="exact"/>
        <w:rPr>
          <w:sz w:val="20"/>
          <w:szCs w:val="20"/>
          <w:color w:val="auto"/>
        </w:rPr>
      </w:pPr>
    </w:p>
    <w:p>
      <w:pPr>
        <w:ind w:left="520" w:hanging="513"/>
        <w:spacing w:after="0"/>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quarterly period ended September 30, 2023 of Fulgent Genetics, Inc.;</w:t>
      </w:r>
    </w:p>
    <w:p>
      <w:pPr>
        <w:spacing w:after="0" w:line="177" w:lineRule="exact"/>
        <w:rPr>
          <w:rFonts w:ascii="Arial" w:cs="Arial" w:eastAsia="Arial" w:hAnsi="Arial"/>
          <w:sz w:val="15"/>
          <w:szCs w:val="15"/>
          <w:color w:val="auto"/>
        </w:rPr>
      </w:pPr>
    </w:p>
    <w:p>
      <w:pPr>
        <w:ind w:left="520" w:right="420" w:hanging="513"/>
        <w:spacing w:after="0" w:line="262" w:lineRule="auto"/>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5"/>
          <w:szCs w:val="15"/>
          <w:color w:val="auto"/>
        </w:rPr>
      </w:pPr>
    </w:p>
    <w:p>
      <w:pPr>
        <w:ind w:left="520" w:right="520" w:hanging="513"/>
        <w:spacing w:after="0" w:line="262" w:lineRule="auto"/>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5"/>
          <w:szCs w:val="15"/>
          <w:color w:val="auto"/>
        </w:rPr>
      </w:pPr>
    </w:p>
    <w:p>
      <w:pPr>
        <w:ind w:left="520" w:hanging="513"/>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w:t>
      </w:r>
    </w:p>
    <w:p>
      <w:pPr>
        <w:spacing w:after="0" w:line="47" w:lineRule="exact"/>
        <w:rPr>
          <w:rFonts w:ascii="Arial" w:cs="Arial" w:eastAsia="Arial" w:hAnsi="Arial"/>
          <w:sz w:val="12"/>
          <w:szCs w:val="12"/>
          <w:color w:val="auto"/>
        </w:rPr>
      </w:pPr>
    </w:p>
    <w:p>
      <w:pPr>
        <w:ind w:left="520"/>
        <w:spacing w:after="0"/>
        <w:rPr>
          <w:rFonts w:ascii="Arial" w:cs="Arial" w:eastAsia="Arial" w:hAnsi="Arial"/>
          <w:sz w:val="12"/>
          <w:szCs w:val="12"/>
          <w:color w:val="auto"/>
        </w:rPr>
      </w:pPr>
      <w:r>
        <w:rPr>
          <w:rFonts w:ascii="Arial" w:cs="Arial" w:eastAsia="Arial" w:hAnsi="Arial"/>
          <w:sz w:val="15"/>
          <w:szCs w:val="15"/>
          <w:color w:val="auto"/>
        </w:rPr>
        <w:t>15d-15(e)) and internal control over financial reporting (as defined in Exchange Act Rules 13a-15(f) and 15d-15(f)) for the registrant and have:</w:t>
      </w:r>
    </w:p>
    <w:p>
      <w:pPr>
        <w:spacing w:after="0" w:line="166" w:lineRule="exact"/>
        <w:rPr>
          <w:rFonts w:ascii="Arial" w:cs="Arial" w:eastAsia="Arial" w:hAnsi="Arial"/>
          <w:sz w:val="12"/>
          <w:szCs w:val="12"/>
          <w:color w:val="auto"/>
        </w:rPr>
      </w:pPr>
    </w:p>
    <w:p>
      <w:pPr>
        <w:jc w:val="both"/>
        <w:ind w:left="1040" w:right="60" w:hanging="521"/>
        <w:spacing w:after="0" w:line="252" w:lineRule="auto"/>
        <w:tabs>
          <w:tab w:leader="none" w:pos="10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5"/>
          <w:szCs w:val="15"/>
          <w:color w:val="auto"/>
        </w:rPr>
      </w:pPr>
    </w:p>
    <w:p>
      <w:pPr>
        <w:ind w:left="1020" w:right="280" w:hanging="477"/>
        <w:spacing w:after="0" w:line="252" w:lineRule="auto"/>
        <w:tabs>
          <w:tab w:leader="none" w:pos="825" w:val="left"/>
        </w:tabs>
        <w:numPr>
          <w:ilvl w:val="2"/>
          <w:numId w:val="2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5"/>
          <w:szCs w:val="15"/>
          <w:color w:val="auto"/>
        </w:rPr>
      </w:pPr>
    </w:p>
    <w:p>
      <w:pPr>
        <w:ind w:left="1020" w:right="40" w:hanging="477"/>
        <w:spacing w:after="0" w:line="262" w:lineRule="auto"/>
        <w:tabs>
          <w:tab w:leader="none" w:pos="825" w:val="left"/>
        </w:tabs>
        <w:numPr>
          <w:ilvl w:val="2"/>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5"/>
          <w:szCs w:val="15"/>
          <w:color w:val="auto"/>
        </w:rPr>
      </w:pPr>
    </w:p>
    <w:p>
      <w:pPr>
        <w:ind w:left="1020" w:right="40" w:hanging="477"/>
        <w:spacing w:after="0" w:line="252" w:lineRule="auto"/>
        <w:tabs>
          <w:tab w:leader="none" w:pos="825" w:val="left"/>
        </w:tabs>
        <w:numPr>
          <w:ilvl w:val="2"/>
          <w:numId w:val="2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5"/>
          <w:szCs w:val="15"/>
          <w:color w:val="auto"/>
        </w:rPr>
      </w:pPr>
    </w:p>
    <w:p>
      <w:pPr>
        <w:ind w:left="520" w:right="60" w:hanging="513"/>
        <w:spacing w:after="0" w:line="262" w:lineRule="auto"/>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5"/>
          <w:szCs w:val="15"/>
          <w:color w:val="auto"/>
        </w:rPr>
      </w:pPr>
    </w:p>
    <w:p>
      <w:pPr>
        <w:ind w:left="1020" w:right="400" w:hanging="477"/>
        <w:spacing w:after="0" w:line="262" w:lineRule="auto"/>
        <w:tabs>
          <w:tab w:leader="none" w:pos="825" w:val="left"/>
        </w:tabs>
        <w:numPr>
          <w:ilvl w:val="2"/>
          <w:numId w:val="2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5"/>
          <w:szCs w:val="15"/>
          <w:color w:val="auto"/>
        </w:rPr>
      </w:pPr>
    </w:p>
    <w:p>
      <w:pPr>
        <w:ind w:left="840" w:hanging="297"/>
        <w:spacing w:after="0"/>
        <w:tabs>
          <w:tab w:leader="none" w:pos="840" w:val="left"/>
        </w:tabs>
        <w:numPr>
          <w:ilvl w:val="2"/>
          <w:numId w:val="2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20"/>
        <w:spacing w:after="0"/>
        <w:tabs>
          <w:tab w:leader="none" w:pos="6760" w:val="left"/>
          <w:tab w:leader="none" w:pos="8740" w:val="left"/>
        </w:tabs>
        <w:rPr>
          <w:sz w:val="20"/>
          <w:szCs w:val="20"/>
          <w:color w:val="auto"/>
        </w:rPr>
      </w:pPr>
      <w:r>
        <w:rPr>
          <w:rFonts w:ascii="Arial" w:cs="Arial" w:eastAsia="Arial" w:hAnsi="Arial"/>
          <w:sz w:val="15"/>
          <w:szCs w:val="15"/>
          <w:color w:val="auto"/>
        </w:rPr>
        <w:t>Date: November 3, 2023</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2"/>
          <w:szCs w:val="12"/>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4518025</wp:posOffset>
            </wp:positionH>
            <wp:positionV relativeFrom="paragraph">
              <wp:posOffset>15240</wp:posOffset>
            </wp:positionV>
            <wp:extent cx="264541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2645410" cy="6985"/>
                    </a:xfrm>
                    <a:prstGeom prst="rect">
                      <a:avLst/>
                    </a:prstGeom>
                    <a:noFill/>
                  </pic:spPr>
                </pic:pic>
              </a:graphicData>
            </a:graphic>
          </wp:anchor>
        </w:drawing>
      </w:r>
    </w:p>
    <w:p>
      <w:pPr>
        <w:spacing w:after="0" w:line="15" w:lineRule="exact"/>
        <w:rPr>
          <w:sz w:val="20"/>
          <w:szCs w:val="20"/>
          <w:color w:val="auto"/>
        </w:rPr>
      </w:pPr>
    </w:p>
    <w:p>
      <w:pPr>
        <w:jc w:val="center"/>
        <w:ind w:left="7100"/>
        <w:spacing w:after="0"/>
        <w:rPr>
          <w:sz w:val="20"/>
          <w:szCs w:val="20"/>
          <w:color w:val="auto"/>
        </w:rPr>
      </w:pPr>
      <w:r>
        <w:rPr>
          <w:rFonts w:ascii="Arial" w:cs="Arial" w:eastAsia="Arial" w:hAnsi="Arial"/>
          <w:sz w:val="15"/>
          <w:szCs w:val="15"/>
          <w:color w:val="auto"/>
        </w:rPr>
        <w:t>Ming Hsieh</w:t>
      </w:r>
    </w:p>
    <w:p>
      <w:pPr>
        <w:spacing w:after="0" w:line="20" w:lineRule="exact"/>
        <w:rPr>
          <w:sz w:val="20"/>
          <w:szCs w:val="20"/>
          <w:color w:val="auto"/>
        </w:rPr>
      </w:pPr>
    </w:p>
    <w:p>
      <w:pPr>
        <w:jc w:val="center"/>
        <w:ind w:left="7100"/>
        <w:spacing w:after="0"/>
        <w:rPr>
          <w:sz w:val="20"/>
          <w:szCs w:val="20"/>
          <w:color w:val="auto"/>
        </w:rPr>
      </w:pPr>
      <w:r>
        <w:rPr>
          <w:rFonts w:ascii="Arial" w:cs="Arial" w:eastAsia="Arial" w:hAnsi="Arial"/>
          <w:sz w:val="15"/>
          <w:szCs w:val="15"/>
          <w:b w:val="1"/>
          <w:bCs w:val="1"/>
          <w:color w:val="auto"/>
        </w:rPr>
        <w:t>Chief Executive Officer</w:t>
      </w:r>
    </w:p>
    <w:p>
      <w:pPr>
        <w:spacing w:after="0" w:line="28" w:lineRule="exact"/>
        <w:rPr>
          <w:sz w:val="20"/>
          <w:szCs w:val="20"/>
          <w:color w:val="auto"/>
        </w:rPr>
      </w:pPr>
    </w:p>
    <w:p>
      <w:pPr>
        <w:jc w:val="center"/>
        <w:ind w:left="7100"/>
        <w:spacing w:after="0"/>
        <w:rPr>
          <w:sz w:val="20"/>
          <w:szCs w:val="20"/>
          <w:color w:val="auto"/>
        </w:rPr>
      </w:pPr>
      <w:r>
        <w:rPr>
          <w:rFonts w:ascii="Arial" w:cs="Arial" w:eastAsia="Arial" w:hAnsi="Arial"/>
          <w:sz w:val="15"/>
          <w:szCs w:val="15"/>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280035</wp:posOffset>
            </wp:positionV>
            <wp:extent cx="7183755" cy="393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44" w:name="page45"/>
    <w:bookmarkEnd w:id="44"/>
    <w:p>
      <w:pPr>
        <w:jc w:val="right"/>
        <w:spacing w:after="0"/>
        <w:rPr>
          <w:sz w:val="20"/>
          <w:szCs w:val="20"/>
          <w:color w:val="auto"/>
        </w:rPr>
      </w:pPr>
      <w:r>
        <w:rPr>
          <w:rFonts w:ascii="Arial" w:cs="Arial" w:eastAsia="Arial" w:hAnsi="Arial"/>
          <w:sz w:val="15"/>
          <w:szCs w:val="15"/>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RULES 13a-14(a) AND 15d-14(a) UNDER THE SECURITIES EXCHANGE ACT OF 1934,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I, Paul Kim, certify that:</w:t>
      </w:r>
    </w:p>
    <w:p>
      <w:pPr>
        <w:spacing w:after="0" w:line="177" w:lineRule="exact"/>
        <w:rPr>
          <w:sz w:val="20"/>
          <w:szCs w:val="20"/>
          <w:color w:val="auto"/>
        </w:rPr>
      </w:pPr>
    </w:p>
    <w:p>
      <w:pPr>
        <w:ind w:left="520" w:hanging="513"/>
        <w:spacing w:after="0"/>
        <w:tabs>
          <w:tab w:leader="none" w:pos="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quarterly period ended September 30, 2023 of Fulgent Genetics, Inc.;</w:t>
      </w:r>
    </w:p>
    <w:p>
      <w:pPr>
        <w:spacing w:after="0" w:line="177" w:lineRule="exact"/>
        <w:rPr>
          <w:rFonts w:ascii="Arial" w:cs="Arial" w:eastAsia="Arial" w:hAnsi="Arial"/>
          <w:sz w:val="15"/>
          <w:szCs w:val="15"/>
          <w:color w:val="auto"/>
        </w:rPr>
      </w:pPr>
    </w:p>
    <w:p>
      <w:pPr>
        <w:ind w:left="520" w:right="420" w:hanging="513"/>
        <w:spacing w:after="0" w:line="262" w:lineRule="auto"/>
        <w:tabs>
          <w:tab w:leader="none" w:pos="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5"/>
          <w:szCs w:val="15"/>
          <w:color w:val="auto"/>
        </w:rPr>
      </w:pPr>
    </w:p>
    <w:p>
      <w:pPr>
        <w:ind w:left="520" w:right="520" w:hanging="513"/>
        <w:spacing w:after="0" w:line="262" w:lineRule="auto"/>
        <w:tabs>
          <w:tab w:leader="none" w:pos="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5"/>
          <w:szCs w:val="15"/>
          <w:color w:val="auto"/>
        </w:rPr>
      </w:pPr>
    </w:p>
    <w:p>
      <w:pPr>
        <w:ind w:left="520" w:hanging="513"/>
        <w:spacing w:after="0"/>
        <w:tabs>
          <w:tab w:leader="none" w:pos="5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w:t>
      </w:r>
    </w:p>
    <w:p>
      <w:pPr>
        <w:spacing w:after="0" w:line="47" w:lineRule="exact"/>
        <w:rPr>
          <w:rFonts w:ascii="Arial" w:cs="Arial" w:eastAsia="Arial" w:hAnsi="Arial"/>
          <w:sz w:val="12"/>
          <w:szCs w:val="12"/>
          <w:color w:val="auto"/>
        </w:rPr>
      </w:pPr>
    </w:p>
    <w:p>
      <w:pPr>
        <w:ind w:left="520"/>
        <w:spacing w:after="0"/>
        <w:rPr>
          <w:rFonts w:ascii="Arial" w:cs="Arial" w:eastAsia="Arial" w:hAnsi="Arial"/>
          <w:sz w:val="12"/>
          <w:szCs w:val="12"/>
          <w:color w:val="auto"/>
        </w:rPr>
      </w:pPr>
      <w:r>
        <w:rPr>
          <w:rFonts w:ascii="Arial" w:cs="Arial" w:eastAsia="Arial" w:hAnsi="Arial"/>
          <w:sz w:val="15"/>
          <w:szCs w:val="15"/>
          <w:color w:val="auto"/>
        </w:rPr>
        <w:t>15d-15(e)) and internal control over financial reporting (as defined in Exchange Act Rules 13a-15(f) and 15d-15(f)) for the registrant and have:</w:t>
      </w:r>
    </w:p>
    <w:p>
      <w:pPr>
        <w:spacing w:after="0" w:line="166" w:lineRule="exact"/>
        <w:rPr>
          <w:rFonts w:ascii="Arial" w:cs="Arial" w:eastAsia="Arial" w:hAnsi="Arial"/>
          <w:sz w:val="12"/>
          <w:szCs w:val="12"/>
          <w:color w:val="auto"/>
        </w:rPr>
      </w:pPr>
    </w:p>
    <w:p>
      <w:pPr>
        <w:jc w:val="both"/>
        <w:ind w:left="1040" w:right="60" w:hanging="521"/>
        <w:spacing w:after="0" w:line="252" w:lineRule="auto"/>
        <w:tabs>
          <w:tab w:leader="none" w:pos="1040" w:val="left"/>
        </w:tabs>
        <w:numPr>
          <w:ilvl w:val="1"/>
          <w:numId w:val="2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5"/>
          <w:szCs w:val="15"/>
          <w:color w:val="auto"/>
        </w:rPr>
      </w:pPr>
    </w:p>
    <w:p>
      <w:pPr>
        <w:jc w:val="both"/>
        <w:ind w:left="1040" w:right="260" w:hanging="521"/>
        <w:spacing w:after="0" w:line="252" w:lineRule="auto"/>
        <w:tabs>
          <w:tab w:leader="none" w:pos="1040" w:val="left"/>
        </w:tabs>
        <w:numPr>
          <w:ilvl w:val="1"/>
          <w:numId w:val="23"/>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5"/>
          <w:szCs w:val="15"/>
          <w:color w:val="auto"/>
        </w:rPr>
      </w:pPr>
    </w:p>
    <w:p>
      <w:pPr>
        <w:ind w:left="1020" w:right="40" w:hanging="477"/>
        <w:spacing w:after="0" w:line="262" w:lineRule="auto"/>
        <w:tabs>
          <w:tab w:leader="none" w:pos="825" w:val="left"/>
        </w:tabs>
        <w:numPr>
          <w:ilvl w:val="2"/>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5"/>
          <w:szCs w:val="15"/>
          <w:color w:val="auto"/>
        </w:rPr>
      </w:pPr>
    </w:p>
    <w:p>
      <w:pPr>
        <w:ind w:left="1020" w:right="40" w:hanging="477"/>
        <w:spacing w:after="0" w:line="252" w:lineRule="auto"/>
        <w:tabs>
          <w:tab w:leader="none" w:pos="825" w:val="left"/>
        </w:tabs>
        <w:numPr>
          <w:ilvl w:val="2"/>
          <w:numId w:val="2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5"/>
          <w:szCs w:val="15"/>
          <w:color w:val="auto"/>
        </w:rPr>
      </w:pPr>
    </w:p>
    <w:p>
      <w:pPr>
        <w:ind w:left="520" w:right="60" w:hanging="513"/>
        <w:spacing w:after="0" w:line="262" w:lineRule="auto"/>
        <w:tabs>
          <w:tab w:leader="none" w:pos="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5"/>
          <w:szCs w:val="15"/>
          <w:color w:val="auto"/>
        </w:rPr>
      </w:pPr>
    </w:p>
    <w:p>
      <w:pPr>
        <w:ind w:left="1020" w:right="400" w:hanging="477"/>
        <w:spacing w:after="0" w:line="262" w:lineRule="auto"/>
        <w:tabs>
          <w:tab w:leader="none" w:pos="825" w:val="left"/>
        </w:tabs>
        <w:numPr>
          <w:ilvl w:val="2"/>
          <w:numId w:val="2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5"/>
          <w:szCs w:val="15"/>
          <w:color w:val="auto"/>
        </w:rPr>
      </w:pPr>
    </w:p>
    <w:p>
      <w:pPr>
        <w:ind w:left="840" w:hanging="297"/>
        <w:spacing w:after="0"/>
        <w:tabs>
          <w:tab w:leader="none" w:pos="840" w:val="left"/>
        </w:tabs>
        <w:numPr>
          <w:ilvl w:val="2"/>
          <w:numId w:val="2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20"/>
        <w:spacing w:after="0"/>
        <w:tabs>
          <w:tab w:leader="none" w:pos="6760" w:val="left"/>
          <w:tab w:leader="none" w:pos="8820" w:val="left"/>
        </w:tabs>
        <w:rPr>
          <w:sz w:val="20"/>
          <w:szCs w:val="20"/>
          <w:color w:val="auto"/>
        </w:rPr>
      </w:pPr>
      <w:r>
        <w:rPr>
          <w:rFonts w:ascii="Arial" w:cs="Arial" w:eastAsia="Arial" w:hAnsi="Arial"/>
          <w:sz w:val="15"/>
          <w:szCs w:val="15"/>
          <w:color w:val="auto"/>
        </w:rPr>
        <w:t>Date: November 3, 2023</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2"/>
          <w:szCs w:val="12"/>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4518025</wp:posOffset>
            </wp:positionH>
            <wp:positionV relativeFrom="paragraph">
              <wp:posOffset>15240</wp:posOffset>
            </wp:positionV>
            <wp:extent cx="264541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2645410" cy="6985"/>
                    </a:xfrm>
                    <a:prstGeom prst="rect">
                      <a:avLst/>
                    </a:prstGeom>
                    <a:noFill/>
                  </pic:spPr>
                </pic:pic>
              </a:graphicData>
            </a:graphic>
          </wp:anchor>
        </w:drawing>
      </w:r>
    </w:p>
    <w:p>
      <w:pPr>
        <w:spacing w:after="0" w:line="15" w:lineRule="exact"/>
        <w:rPr>
          <w:sz w:val="20"/>
          <w:szCs w:val="20"/>
          <w:color w:val="auto"/>
        </w:rPr>
      </w:pPr>
    </w:p>
    <w:p>
      <w:pPr>
        <w:jc w:val="center"/>
        <w:ind w:left="7100"/>
        <w:spacing w:after="0"/>
        <w:rPr>
          <w:sz w:val="20"/>
          <w:szCs w:val="20"/>
          <w:color w:val="auto"/>
        </w:rPr>
      </w:pPr>
      <w:r>
        <w:rPr>
          <w:rFonts w:ascii="Arial" w:cs="Arial" w:eastAsia="Arial" w:hAnsi="Arial"/>
          <w:sz w:val="15"/>
          <w:szCs w:val="15"/>
          <w:color w:val="auto"/>
        </w:rPr>
        <w:t>Paul Kim</w:t>
      </w:r>
    </w:p>
    <w:p>
      <w:pPr>
        <w:spacing w:after="0" w:line="20" w:lineRule="exact"/>
        <w:rPr>
          <w:sz w:val="20"/>
          <w:szCs w:val="20"/>
          <w:color w:val="auto"/>
        </w:rPr>
      </w:pPr>
    </w:p>
    <w:p>
      <w:pPr>
        <w:jc w:val="center"/>
        <w:ind w:left="7100"/>
        <w:spacing w:after="0"/>
        <w:rPr>
          <w:sz w:val="20"/>
          <w:szCs w:val="20"/>
          <w:color w:val="auto"/>
        </w:rPr>
      </w:pPr>
      <w:r>
        <w:rPr>
          <w:rFonts w:ascii="Arial" w:cs="Arial" w:eastAsia="Arial" w:hAnsi="Arial"/>
          <w:sz w:val="15"/>
          <w:szCs w:val="15"/>
          <w:b w:val="1"/>
          <w:bCs w:val="1"/>
          <w:color w:val="auto"/>
        </w:rPr>
        <w:t>Chief Financial Officer</w:t>
      </w:r>
    </w:p>
    <w:p>
      <w:pPr>
        <w:spacing w:after="0" w:line="28" w:lineRule="exact"/>
        <w:rPr>
          <w:sz w:val="20"/>
          <w:szCs w:val="20"/>
          <w:color w:val="auto"/>
        </w:rPr>
      </w:pPr>
    </w:p>
    <w:p>
      <w:pPr>
        <w:jc w:val="center"/>
        <w:ind w:left="7100"/>
        <w:spacing w:after="0"/>
        <w:rPr>
          <w:sz w:val="20"/>
          <w:szCs w:val="20"/>
          <w:color w:val="auto"/>
        </w:rPr>
      </w:pPr>
      <w:r>
        <w:rPr>
          <w:rFonts w:ascii="Arial" w:cs="Arial" w:eastAsia="Arial" w:hAnsi="Arial"/>
          <w:sz w:val="15"/>
          <w:szCs w:val="15"/>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280035</wp:posOffset>
            </wp:positionV>
            <wp:extent cx="7183755" cy="393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45" w:name="page46"/>
    <w:bookmarkEnd w:id="45"/>
    <w:p>
      <w:pPr>
        <w:jc w:val="right"/>
        <w:spacing w:after="0"/>
        <w:rPr>
          <w:sz w:val="20"/>
          <w:szCs w:val="20"/>
          <w:color w:val="auto"/>
        </w:rPr>
      </w:pPr>
      <w:r>
        <w:rPr>
          <w:rFonts w:ascii="Arial" w:cs="Arial" w:eastAsia="Arial" w:hAnsi="Arial"/>
          <w:sz w:val="15"/>
          <w:szCs w:val="15"/>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7"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18 U.S.C. SECTION 1350, AS ADOPTED PURSUANT TO</w:t>
      </w:r>
    </w:p>
    <w:p>
      <w:pPr>
        <w:spacing w:after="0" w:line="2"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66" w:lineRule="exact"/>
        <w:rPr>
          <w:sz w:val="20"/>
          <w:szCs w:val="20"/>
          <w:color w:val="auto"/>
        </w:rPr>
      </w:pPr>
    </w:p>
    <w:p>
      <w:pPr>
        <w:ind w:right="180" w:firstLine="511"/>
        <w:spacing w:after="0" w:line="252" w:lineRule="auto"/>
        <w:rPr>
          <w:sz w:val="20"/>
          <w:szCs w:val="20"/>
          <w:color w:val="auto"/>
        </w:rPr>
      </w:pPr>
      <w:r>
        <w:rPr>
          <w:rFonts w:ascii="Arial" w:cs="Arial" w:eastAsia="Arial" w:hAnsi="Arial"/>
          <w:sz w:val="15"/>
          <w:szCs w:val="15"/>
          <w:color w:val="auto"/>
        </w:rPr>
        <w:t>In connection with the Quarterly Report on Form 10-Q for the quarterly period ended September 30, 2023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56" w:lineRule="exact"/>
        <w:rPr>
          <w:sz w:val="20"/>
          <w:szCs w:val="20"/>
          <w:color w:val="auto"/>
        </w:rPr>
      </w:pPr>
    </w:p>
    <w:p>
      <w:pPr>
        <w:ind w:left="840" w:hanging="297"/>
        <w:spacing w:after="0"/>
        <w:tabs>
          <w:tab w:leader="none" w:pos="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77" w:lineRule="exact"/>
        <w:rPr>
          <w:rFonts w:ascii="Arial" w:cs="Arial" w:eastAsia="Arial" w:hAnsi="Arial"/>
          <w:sz w:val="15"/>
          <w:szCs w:val="15"/>
          <w:color w:val="auto"/>
        </w:rPr>
      </w:pPr>
    </w:p>
    <w:p>
      <w:pPr>
        <w:ind w:left="840" w:hanging="297"/>
        <w:spacing w:after="0"/>
        <w:tabs>
          <w:tab w:leader="none" w:pos="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9" w:lineRule="exact"/>
        <w:rPr>
          <w:sz w:val="20"/>
          <w:szCs w:val="20"/>
          <w:color w:val="auto"/>
        </w:rPr>
      </w:pPr>
    </w:p>
    <w:p>
      <w:pPr>
        <w:ind w:left="20"/>
        <w:spacing w:after="0"/>
        <w:tabs>
          <w:tab w:leader="none" w:pos="5700" w:val="left"/>
          <w:tab w:leader="none" w:pos="8200" w:val="left"/>
        </w:tabs>
        <w:rPr>
          <w:sz w:val="20"/>
          <w:szCs w:val="20"/>
          <w:color w:val="auto"/>
        </w:rPr>
      </w:pPr>
      <w:r>
        <w:rPr>
          <w:rFonts w:ascii="Arial" w:cs="Arial" w:eastAsia="Arial" w:hAnsi="Arial"/>
          <w:sz w:val="15"/>
          <w:szCs w:val="15"/>
          <w:color w:val="auto"/>
        </w:rPr>
        <w:t>Date: November 3, 2023</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2"/>
          <w:szCs w:val="12"/>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15240</wp:posOffset>
            </wp:positionV>
            <wp:extent cx="3325495"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3325495" cy="6985"/>
                    </a:xfrm>
                    <a:prstGeom prst="rect">
                      <a:avLst/>
                    </a:prstGeom>
                    <a:noFill/>
                  </pic:spPr>
                </pic:pic>
              </a:graphicData>
            </a:graphic>
          </wp:anchor>
        </w:drawing>
      </w:r>
    </w:p>
    <w:p>
      <w:pPr>
        <w:spacing w:after="0" w:line="4" w:lineRule="exact"/>
        <w:rPr>
          <w:sz w:val="20"/>
          <w:szCs w:val="20"/>
          <w:color w:val="auto"/>
        </w:rPr>
      </w:pPr>
    </w:p>
    <w:p>
      <w:pPr>
        <w:jc w:val="center"/>
        <w:ind w:left="6020"/>
        <w:spacing w:after="0"/>
        <w:rPr>
          <w:sz w:val="20"/>
          <w:szCs w:val="20"/>
          <w:color w:val="auto"/>
        </w:rPr>
      </w:pPr>
      <w:r>
        <w:rPr>
          <w:rFonts w:ascii="Arial" w:cs="Arial" w:eastAsia="Arial" w:hAnsi="Arial"/>
          <w:sz w:val="15"/>
          <w:szCs w:val="15"/>
          <w:color w:val="auto"/>
        </w:rPr>
        <w:t>Ming Hsieh</w:t>
      </w:r>
    </w:p>
    <w:p>
      <w:pPr>
        <w:spacing w:after="0" w:line="13" w:lineRule="exact"/>
        <w:rPr>
          <w:sz w:val="20"/>
          <w:szCs w:val="20"/>
          <w:color w:val="auto"/>
        </w:rPr>
      </w:pPr>
    </w:p>
    <w:p>
      <w:pPr>
        <w:jc w:val="center"/>
        <w:ind w:left="6020"/>
        <w:spacing w:after="0"/>
        <w:rPr>
          <w:sz w:val="20"/>
          <w:szCs w:val="20"/>
          <w:color w:val="auto"/>
        </w:rPr>
      </w:pPr>
      <w:r>
        <w:rPr>
          <w:rFonts w:ascii="Arial" w:cs="Arial" w:eastAsia="Arial" w:hAnsi="Arial"/>
          <w:sz w:val="15"/>
          <w:szCs w:val="15"/>
          <w:b w:val="1"/>
          <w:bCs w:val="1"/>
          <w:color w:val="auto"/>
        </w:rPr>
        <w:t>Chief Executive Officer</w:t>
      </w:r>
    </w:p>
    <w:p>
      <w:pPr>
        <w:spacing w:after="0" w:line="13" w:lineRule="exact"/>
        <w:rPr>
          <w:sz w:val="20"/>
          <w:szCs w:val="20"/>
          <w:color w:val="auto"/>
        </w:rPr>
      </w:pPr>
    </w:p>
    <w:p>
      <w:pPr>
        <w:jc w:val="center"/>
        <w:ind w:left="6020"/>
        <w:spacing w:after="0"/>
        <w:rPr>
          <w:sz w:val="20"/>
          <w:szCs w:val="20"/>
          <w:color w:val="auto"/>
        </w:rPr>
      </w:pPr>
      <w:r>
        <w:rPr>
          <w:rFonts w:ascii="Arial" w:cs="Arial" w:eastAsia="Arial" w:hAnsi="Arial"/>
          <w:sz w:val="15"/>
          <w:szCs w:val="15"/>
          <w:color w:val="auto"/>
        </w:rPr>
        <w:t>(principal executive officer)</w:t>
      </w:r>
    </w:p>
    <w:p>
      <w:pPr>
        <w:spacing w:after="0" w:line="199" w:lineRule="exact"/>
        <w:rPr>
          <w:sz w:val="20"/>
          <w:szCs w:val="20"/>
          <w:color w:val="auto"/>
        </w:rPr>
      </w:pPr>
    </w:p>
    <w:p>
      <w:pPr>
        <w:ind w:left="20"/>
        <w:spacing w:after="0"/>
        <w:tabs>
          <w:tab w:leader="none" w:pos="5700" w:val="left"/>
          <w:tab w:leader="none" w:pos="8280" w:val="left"/>
        </w:tabs>
        <w:rPr>
          <w:sz w:val="20"/>
          <w:szCs w:val="20"/>
          <w:color w:val="auto"/>
        </w:rPr>
      </w:pPr>
      <w:r>
        <w:rPr>
          <w:rFonts w:ascii="Arial" w:cs="Arial" w:eastAsia="Arial" w:hAnsi="Arial"/>
          <w:sz w:val="15"/>
          <w:szCs w:val="15"/>
          <w:color w:val="auto"/>
        </w:rPr>
        <w:t>Date: November 3, 2023</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2"/>
          <w:szCs w:val="12"/>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15240</wp:posOffset>
            </wp:positionV>
            <wp:extent cx="3325495"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3325495" cy="6985"/>
                    </a:xfrm>
                    <a:prstGeom prst="rect">
                      <a:avLst/>
                    </a:prstGeom>
                    <a:noFill/>
                  </pic:spPr>
                </pic:pic>
              </a:graphicData>
            </a:graphic>
          </wp:anchor>
        </w:drawing>
      </w:r>
    </w:p>
    <w:p>
      <w:pPr>
        <w:spacing w:after="0" w:line="4" w:lineRule="exact"/>
        <w:rPr>
          <w:sz w:val="20"/>
          <w:szCs w:val="20"/>
          <w:color w:val="auto"/>
        </w:rPr>
      </w:pPr>
    </w:p>
    <w:p>
      <w:pPr>
        <w:jc w:val="center"/>
        <w:ind w:left="6020"/>
        <w:spacing w:after="0"/>
        <w:rPr>
          <w:sz w:val="20"/>
          <w:szCs w:val="20"/>
          <w:color w:val="auto"/>
        </w:rPr>
      </w:pPr>
      <w:r>
        <w:rPr>
          <w:rFonts w:ascii="Arial" w:cs="Arial" w:eastAsia="Arial" w:hAnsi="Arial"/>
          <w:sz w:val="15"/>
          <w:szCs w:val="15"/>
          <w:color w:val="auto"/>
        </w:rPr>
        <w:t>Paul Kim</w:t>
      </w:r>
    </w:p>
    <w:p>
      <w:pPr>
        <w:spacing w:after="0" w:line="13" w:lineRule="exact"/>
        <w:rPr>
          <w:sz w:val="20"/>
          <w:szCs w:val="20"/>
          <w:color w:val="auto"/>
        </w:rPr>
      </w:pPr>
    </w:p>
    <w:p>
      <w:pPr>
        <w:jc w:val="center"/>
        <w:ind w:left="6020"/>
        <w:spacing w:after="0"/>
        <w:rPr>
          <w:sz w:val="20"/>
          <w:szCs w:val="20"/>
          <w:color w:val="auto"/>
        </w:rPr>
      </w:pPr>
      <w:r>
        <w:rPr>
          <w:rFonts w:ascii="Arial" w:cs="Arial" w:eastAsia="Arial" w:hAnsi="Arial"/>
          <w:sz w:val="15"/>
          <w:szCs w:val="15"/>
          <w:b w:val="1"/>
          <w:bCs w:val="1"/>
          <w:color w:val="auto"/>
        </w:rPr>
        <w:t>Chief Financial Officer</w:t>
      </w:r>
    </w:p>
    <w:p>
      <w:pPr>
        <w:spacing w:after="0" w:line="13" w:lineRule="exact"/>
        <w:rPr>
          <w:sz w:val="20"/>
          <w:szCs w:val="20"/>
          <w:color w:val="auto"/>
        </w:rPr>
      </w:pPr>
    </w:p>
    <w:p>
      <w:pPr>
        <w:jc w:val="center"/>
        <w:ind w:left="6020"/>
        <w:spacing w:after="0"/>
        <w:rPr>
          <w:sz w:val="20"/>
          <w:szCs w:val="20"/>
          <w:color w:val="auto"/>
        </w:rPr>
      </w:pPr>
      <w:r>
        <w:rPr>
          <w:rFonts w:ascii="Arial" w:cs="Arial" w:eastAsia="Arial" w:hAnsi="Arial"/>
          <w:sz w:val="15"/>
          <w:szCs w:val="15"/>
          <w:color w:val="auto"/>
        </w:rPr>
        <w:t>(principal financial and accounting officer)</w:t>
      </w:r>
    </w:p>
    <w:p>
      <w:pPr>
        <w:spacing w:after="0" w:line="210" w:lineRule="exact"/>
        <w:rPr>
          <w:sz w:val="20"/>
          <w:szCs w:val="20"/>
          <w:color w:val="auto"/>
        </w:rPr>
      </w:pPr>
    </w:p>
    <w:p>
      <w:pPr>
        <w:ind w:right="100" w:firstLine="511"/>
        <w:spacing w:after="0" w:line="252" w:lineRule="auto"/>
        <w:rPr>
          <w:sz w:val="20"/>
          <w:szCs w:val="20"/>
          <w:color w:val="auto"/>
        </w:rPr>
      </w:pPr>
      <w:r>
        <w:rPr>
          <w:rFonts w:ascii="Arial" w:cs="Arial" w:eastAsia="Arial" w:hAnsi="Arial"/>
          <w:sz w:val="15"/>
          <w:szCs w:val="15"/>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370840</wp:posOffset>
            </wp:positionV>
            <wp:extent cx="7183755" cy="393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upperLetter"/>
      <w:start w:val="9"/>
    </w:lvl>
  </w:abstractNum>
  <w:abstractNum w:abstractNumId="7">
    <w:nsid w:val="4E6AFB66"/>
    <w:multiLevelType w:val="hybridMultilevel"/>
    <w:lvl w:ilvl="0">
      <w:lvlJc w:val="left"/>
      <w:lvlText w:val="%1."/>
      <w:numFmt w:val="upperLetter"/>
      <w:start w:val="35"/>
    </w:lvl>
  </w:abstractNum>
  <w:abstractNum w:abstractNumId="8">
    <w:nsid w:val="25E45D32"/>
    <w:multiLevelType w:val="hybridMultilevel"/>
    <w:lvl w:ilvl="0">
      <w:lvlJc w:val="left"/>
      <w:lvlText w:val="%1."/>
      <w:numFmt w:val="upperLetter"/>
      <w:start w:val="6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lowerLetter"/>
      <w:start w:val="1"/>
    </w:lvl>
    <w:lvl w:ilvl="1">
      <w:lvlJc w:val="left"/>
      <w:lvlText w:val="•"/>
      <w:numFmt w:val="bullet"/>
      <w:start w:val="1"/>
    </w:lvl>
  </w:abstractNum>
  <w:abstractNum w:abstractNumId="12">
    <w:nsid w:val="7C83E458"/>
    <w:multiLevelType w:val="hybridMultilevel"/>
    <w:lvl w:ilvl="0">
      <w:lvlJc w:val="left"/>
      <w:lvlText w:val="%1."/>
      <w:numFmt w:val="upperLetter"/>
      <w:start w:val="22"/>
    </w:lvl>
    <w:lvl w:ilvl="1">
      <w:lvlJc w:val="left"/>
      <w:lvlText w:val="%2"/>
      <w:numFmt w:val="lowerLetter"/>
      <w:start w:val="1"/>
    </w:lvl>
  </w:abstractNum>
  <w:abstractNum w:abstractNumId="13">
    <w:nsid w:val="257130A3"/>
    <w:multiLevelType w:val="hybridMultilevel"/>
    <w:lvl w:ilvl="0">
      <w:lvlJc w:val="left"/>
      <w:lvlText w:val="%1."/>
      <w:numFmt w:val="lowerLetter"/>
      <w:start w:val="2"/>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upperLetter"/>
      <w:start w:val="24"/>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upp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1">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3">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25" Type="http://schemas.openxmlformats.org/officeDocument/2006/relationships/hyperlink" Target="https://www.sec.gov/Archives/edgar/data/1674930/000119312516700733/d360404dex31.htm" TargetMode="External"/><Relationship Id="rId326" Type="http://schemas.openxmlformats.org/officeDocument/2006/relationships/hyperlink" Target="https://www.sec.gov/Archives/edgar/data/1674930/000119312516700733/d360404dex311.htm" TargetMode="External"/><Relationship Id="rId327" Type="http://schemas.openxmlformats.org/officeDocument/2006/relationships/hyperlink" Target="https://www.sec.gov/Archives/edgar/data/1674930/000156459017017670/flgt-ex312_342.htm" TargetMode="External"/><Relationship Id="rId328" Type="http://schemas.openxmlformats.org/officeDocument/2006/relationships/hyperlink" Target="https://www.sec.gov/Archives/edgar/data/1674930/000095017023038316/flgt-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2023-11-03T06:41:14Z</dcterms:created>
  <dcterms:modified xsi:type="dcterms:W3CDTF">2023-11-03T06:41:14Z</dcterms:modified>
</cp:coreProperties>
</file>