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9" w:lineRule="exact"/>
        <w:rPr>
          <w:sz w:val="24"/>
          <w:szCs w:val="24"/>
          <w:color w:val="auto"/>
        </w:rPr>
      </w:pPr>
    </w:p>
    <w:p>
      <w:pPr>
        <w:ind w:left="4100" w:right="2980" w:hanging="4092"/>
        <w:spacing w:after="0" w:line="308" w:lineRule="auto"/>
        <w:tabs>
          <w:tab w:leader="none" w:pos="33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4" w:lineRule="exact"/>
        <w:rPr>
          <w:sz w:val="24"/>
          <w:szCs w:val="24"/>
          <w:color w:val="auto"/>
        </w:rPr>
      </w:pPr>
    </w:p>
    <w:p>
      <w:pPr>
        <w:jc w:val="cente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001-37894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FULGENT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81-2621304</w:t>
            </w:r>
          </w:p>
        </w:tc>
      </w:tr>
      <w:tr>
        <w:trPr>
          <w:trHeight w:val="148"/>
        </w:trPr>
        <w:tc>
          <w:tcPr>
            <w:tcW w:w="4340" w:type="dxa"/>
            <w:vAlign w:val="bottom"/>
          </w:tcPr>
          <w:p>
            <w:pPr>
              <w:jc w:val="center"/>
              <w:ind w:right="186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00" w:type="dxa"/>
            <w:vAlign w:val="bottom"/>
          </w:tcPr>
          <w:p>
            <w:pPr>
              <w:jc w:val="center"/>
              <w:ind w:left="186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49"/>
        </w:trPr>
        <w:tc>
          <w:tcPr>
            <w:tcW w:w="43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color w:val="auto"/>
              </w:rPr>
              <w:t>incorporation or organization)</w:t>
            </w:r>
          </w:p>
        </w:tc>
        <w:tc>
          <w:tcPr>
            <w:tcW w:w="3000" w:type="dxa"/>
            <w:vAlign w:val="bottom"/>
          </w:tcPr>
          <w:p>
            <w:pPr>
              <w:jc w:val="center"/>
              <w:ind w:left="1864"/>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3000" w:type="dxa"/>
            <w:vAlign w:val="bottom"/>
          </w:tcPr>
          <w:p>
            <w:pPr>
              <w:spacing w:after="0"/>
              <w:rPr>
                <w:sz w:val="18"/>
                <w:szCs w:val="18"/>
                <w:color w:val="auto"/>
              </w:rPr>
            </w:pPr>
          </w:p>
        </w:tc>
      </w:tr>
      <w:tr>
        <w:trPr>
          <w:trHeight w:val="214"/>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30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91731</w:t>
            </w:r>
          </w:p>
        </w:tc>
      </w:tr>
      <w:tr>
        <w:trPr>
          <w:trHeight w:val="190"/>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(626) 350-0537</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302"/>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40" w:type="dxa"/>
            <w:vAlign w:val="bottom"/>
            <w:tcBorders>
              <w:top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940" w:type="dxa"/>
            <w:vAlign w:val="bottom"/>
          </w:tcPr>
          <w:p>
            <w:pPr>
              <w:spacing w:after="0"/>
              <w:rPr>
                <w:sz w:val="14"/>
                <w:szCs w:val="14"/>
                <w:color w:val="auto"/>
              </w:rPr>
            </w:pPr>
          </w:p>
        </w:tc>
        <w:tc>
          <w:tcPr>
            <w:tcW w:w="3100" w:type="dxa"/>
            <w:vAlign w:val="bottom"/>
            <w:tcBorders>
              <w:right w:val="single" w:sz="8" w:color="auto"/>
            </w:tcBorders>
          </w:tcPr>
          <w:p>
            <w:pPr>
              <w:jc w:val="center"/>
              <w:ind w:right="859"/>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358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r>
        <w:trPr>
          <w:trHeight w:val="185"/>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3100" w:type="dxa"/>
            <w:vAlign w:val="bottom"/>
          </w:tcPr>
          <w:p>
            <w:pPr>
              <w:spacing w:after="0"/>
              <w:rPr>
                <w:sz w:val="16"/>
                <w:szCs w:val="16"/>
                <w:color w:val="auto"/>
              </w:rPr>
            </w:pPr>
          </w:p>
        </w:tc>
        <w:tc>
          <w:tcPr>
            <w:tcW w:w="358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7"/>
        </w:trPr>
        <w:tc>
          <w:tcPr>
            <w:tcW w:w="766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124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40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8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56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32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as of June 30, 2024 (computed by reference to the price at which the registrant’s common stock was last sold on June 28, 2024, the last business day of the registrant’s most recently completed second fiscal quarter, as reported by the Nasdaq Global Market) was approximately $325.6 million. For purposes of this calculation, it has been assumed that all shares of the registrant’s common stock held by directors, executive officers and persons beneficially owning 5% or more of the registrant’s common stock are held by affiliates; however, the treatment of these persons as affiliates for purposes of this calculation is not, and shall not be considered, a determination as to whether such persons are affiliates of the registrant for any other purpose.</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24, 2025, there were 30,829,454 outstanding shares of the registrant’s common stock.</w:t>
      </w:r>
    </w:p>
    <w:p>
      <w:pPr>
        <w:spacing w:after="0" w:line="5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2025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4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40" w:type="dxa"/>
            <w:vAlign w:val="bottom"/>
            <w:gridSpan w:val="28"/>
            <w:vMerge w:val="continue"/>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0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8600" w:type="dxa"/>
            <w:vAlign w:val="bottom"/>
            <w:gridSpan w:val="2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34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200" w:type="dxa"/>
            <w:vAlign w:val="bottom"/>
            <w:gridSpan w:val="1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24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2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3"/>
          </w:tcPr>
          <w:p>
            <w:pPr>
              <w:spacing w:after="0"/>
              <w:rPr>
                <w:sz w:val="17"/>
                <w:szCs w:val="17"/>
                <w:color w:val="auto"/>
              </w:rPr>
            </w:pPr>
          </w:p>
        </w:tc>
        <w:tc>
          <w:tcPr>
            <w:tcW w:w="278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6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3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40" w:type="dxa"/>
            <w:vAlign w:val="bottom"/>
            <w:gridSpan w:val="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7440" w:type="dxa"/>
            <w:vAlign w:val="bottom"/>
            <w:gridSpan w:val="1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196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36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8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675"/>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report include statements about, among other things:</w:t>
      </w:r>
    </w:p>
    <w:p>
      <w:pPr>
        <w:spacing w:after="0" w:line="2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projections, and trends relating to us, our competitors, and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our business;</w:t>
      </w:r>
    </w:p>
    <w:p>
      <w:pPr>
        <w:spacing w:after="0" w:line="9" w:lineRule="exact"/>
        <w:rPr>
          <w:rFonts w:ascii="Times New Roman" w:cs="Times New Roman" w:eastAsia="Times New Roman" w:hAnsi="Times New Roman"/>
          <w:sz w:val="18"/>
          <w:szCs w:val="18"/>
          <w:color w:val="auto"/>
        </w:rPr>
      </w:pPr>
    </w:p>
    <w:p>
      <w:pPr>
        <w:ind w:left="1020" w:right="8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acquired businesses and technologies and to realize the value of any acquired entities, joint ventures, or investments;</w:t>
      </w: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including our ability to stabilize the historical fluctuations in our performance and to achieve, maintain, or grow profitability;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adoption of our tests and testing services and other anticipated trends in our industry;</w:t>
      </w:r>
    </w:p>
    <w:p>
      <w:pPr>
        <w:spacing w:after="0" w:line="9"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our ability to remain competitive, particularly if the testing markets continue to expand, and competition becomes more acute;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test menu and introduce other improvements to our tests;</w:t>
      </w:r>
    </w:p>
    <w:p>
      <w:pPr>
        <w:spacing w:after="0" w:line="9" w:lineRule="exact"/>
        <w:rPr>
          <w:rFonts w:ascii="Times New Roman" w:cs="Times New Roman" w:eastAsia="Times New Roman" w:hAnsi="Times New Roman"/>
          <w:sz w:val="18"/>
          <w:szCs w:val="18"/>
          <w:color w:val="auto"/>
        </w:rPr>
      </w:pPr>
    </w:p>
    <w:p>
      <w:pPr>
        <w:ind w:left="1020" w:right="7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offer affordable pricing for our tests, to maintain the low internal costs of our business model, and to record acceptable margins on our sales;</w:t>
      </w:r>
    </w:p>
    <w:p>
      <w:pPr>
        <w:ind w:left="1020" w:right="7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our ability to develop our drug candidates, to satisfy the U.S. Food and Drug Administration’s, or FDA’s, regulatory requirements, and to commercialize our drug candidates;</w:t>
      </w:r>
    </w:p>
    <w:p>
      <w:pPr>
        <w:ind w:left="1020" w:right="1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progress of our drug candidate development programs, including whether our ongoing and potential future clinical trials will achieve clinically relevant results;</w:t>
      </w:r>
    </w:p>
    <w:p>
      <w:pPr>
        <w:ind w:left="1020" w:right="820" w:hanging="503"/>
        <w:spacing w:after="0" w:line="265"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data and conduct analyses to support the regulatory approval of our drug candidates and our plans to pursue discussions with regulatory authorities, and the anticipated timing, scope and outcome of related regulatory actions or guidance;</w:t>
      </w:r>
    </w:p>
    <w:p>
      <w:pPr>
        <w:ind w:left="1020" w:right="2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competitors’ research and development efforts for drug candidates seeking to treat similar or the same indication as our drug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base of customers by maintaining or increasing demand from these customers;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diversify our customer base;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and their ability to adapt to possible disruptions in their operations;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laboratory facilities and our ability to adapt in the event we need to relocate or in the event any of our facilities are damaged or rendered inoperable;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future sales and marketing efforts;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technology by us and our competitors;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technology and ability to prevent security breaches; unauthorized use or disclosure of health information, personal information, or sensitive personal information; loss of data; and other disruptions;</w:t>
      </w: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U.S. and foreign laws and regulations applicable to our business, and our ability to comply with these regulations, and the results or potential liability associated with disclosure pursuant to any voluntary disclosure process by and between us and applicable regulatory agencies and bodies;</w:t>
      </w:r>
    </w:p>
    <w:p>
      <w:pPr>
        <w:spacing w:after="0" w:line="1"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the results of payor audits and government audits and investigations, such as our currently ongoing U.S. Department of Health Resources and Services Administration, or HRSA, audit and Civil Investigative Demands, or CIDs;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errors in interpreting the results of our tests so as to avoid product liability and professional liability claims;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our tests and to manage the complexity of billing and collecting such reimbursement;</w:t>
      </w:r>
    </w:p>
    <w:p>
      <w:pPr>
        <w:ind w:left="1020" w:right="40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and foreign healthcare markets, including the role of governments in the healthcare industry, generally, pressures or incentives to reduce healthcare costs while expanding individual benefits, and the impact of general uncertainty in the U.S. healthcare regulatory environment;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key scientific and management personnel;</w:t>
      </w:r>
    </w:p>
    <w:p>
      <w:pPr>
        <w:spacing w:after="0" w:line="27"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protection of our trade secrets, licensed intellectual property, patent rights, and other intellectual property rights and to not infringe upon the rights of others;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inflation and our future expense levels and our ability to appropriately forecast and plan our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capital requirements and our ability to obtain additional capital if and when needed;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w:t>
      </w:r>
    </w:p>
    <w:p>
      <w:pPr>
        <w:spacing w:after="0" w:line="20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that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18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qualify all of our forward-looking statements by this cautionary note.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 * *</w:t>
      </w:r>
    </w:p>
    <w:p>
      <w:pPr>
        <w:spacing w:after="0" w:line="23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i w:val="1"/>
          <w:iCs w:val="1"/>
          <w:color w:val="auto"/>
        </w:rPr>
        <w:t>We own registered or unregistered trademark rights to FULGENT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PICTURE GENETICS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BEACON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INFORMDX</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LUMERA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97"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Fulgent Genetics, Inc., together with its subsidiaries and affiliated professional corporations with which the Company has a management services arrangement, are collectively referred to in this Annual Report on Form 10-K as the “Company,” “Fulgent,” “we,” “us,” and “our.”</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Mission and Vision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Founded in 2011, Fulgent began with two simple ideas: flexibility and affordability. We offer and develop flexible and affordable diagnostic and genetic tests and laboratory services designed to improve patient care and quality of life. We strive to provide the most effective and wide-ranging genetic and diagnostic testing menu on the market. Our long-term vision is to transform from a diagnostic business into a fully integrated precision medicine company.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Laboratory Services Business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have broad testing capabilities with a testing and testing services menu that is scalable and affordable to our customers. Our testing services include:</w:t>
      </w:r>
    </w:p>
    <w:p>
      <w:pPr>
        <w:spacing w:after="0" w:line="252" w:lineRule="auto"/>
        <w:rPr>
          <w:sz w:val="20"/>
          <w:szCs w:val="20"/>
          <w:color w:val="auto"/>
        </w:rPr>
      </w:pPr>
      <w:r>
        <w:rPr>
          <w:sz w:val="1"/>
          <w:szCs w:val="1"/>
          <w:color w:val="auto"/>
        </w:rPr>
        <w:drawing>
          <wp:inline distT="0" distB="0" distL="0" distR="0">
            <wp:extent cx="394335" cy="3943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Comprehensive anatomic pathology testing services, including gastrointestinal pathology, dermatopathology, urologic pathology, breast pathology, neuropathology, and hematopathology. These services are supported by our expansive geographic presence with Clinical Laboratory Improvement Amendments of 1988, or CLIA, licensed laboratories in the United States.</w:t>
      </w:r>
    </w:p>
    <w:p>
      <w:pPr>
        <w:spacing w:after="0" w:line="2" w:lineRule="exact"/>
        <w:rPr>
          <w:sz w:val="20"/>
          <w:szCs w:val="20"/>
          <w:color w:val="auto"/>
        </w:rPr>
      </w:pPr>
    </w:p>
    <w:p>
      <w:pPr>
        <w:ind w:right="520"/>
        <w:spacing w:after="0" w:line="252" w:lineRule="auto"/>
        <w:rPr>
          <w:sz w:val="20"/>
          <w:szCs w:val="20"/>
          <w:color w:val="auto"/>
        </w:rPr>
      </w:pPr>
      <w:r>
        <w:rPr>
          <w:sz w:val="1"/>
          <w:szCs w:val="1"/>
          <w:color w:val="auto"/>
        </w:rPr>
        <w:drawing>
          <wp:inline distT="0" distB="0" distL="0" distR="0">
            <wp:extent cx="385445" cy="3943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44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Precision diagnostics testing services, including next-generation sequencing, or NGS, tests for biopharma research and clinical tests for rare disease, hereditary cancer, reproductive health, and many other disease subtypes. Our precision diagnostic testing also includes specialized oncology services that utilize a wide array of technologies. These services include flow cytometry; cytogenetic analysis; fluorescence in-situ, or FISH; immunohistochemistry; molecular genetics; NGS; and consultations in hematopathology and surgical pathology.</w:t>
      </w:r>
    </w:p>
    <w:p>
      <w:pPr>
        <w:spacing w:after="0" w:line="1" w:lineRule="exact"/>
        <w:rPr>
          <w:sz w:val="20"/>
          <w:szCs w:val="20"/>
          <w:color w:val="auto"/>
        </w:rPr>
      </w:pPr>
    </w:p>
    <w:p>
      <w:pPr>
        <w:ind w:right="200"/>
        <w:spacing w:after="0" w:line="299" w:lineRule="auto"/>
        <w:rPr>
          <w:sz w:val="20"/>
          <w:szCs w:val="20"/>
          <w:color w:val="auto"/>
        </w:rPr>
      </w:pPr>
      <w:r>
        <w:rPr>
          <w:sz w:val="1"/>
          <w:szCs w:val="1"/>
          <w:color w:val="auto"/>
        </w:rPr>
        <w:drawing>
          <wp:inline distT="0" distB="0" distL="0" distR="0">
            <wp:extent cx="394335" cy="4025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335" cy="402590"/>
                    </a:xfrm>
                    <a:prstGeom prst="rect">
                      <a:avLst/>
                    </a:prstGeom>
                    <a:noFill/>
                    <a:ln>
                      <a:noFill/>
                    </a:ln>
                  </pic:spPr>
                </pic:pic>
              </a:graphicData>
            </a:graphic>
          </wp:inline>
        </w:drawing>
      </w:r>
      <w:r>
        <w:rPr>
          <w:rFonts w:ascii="Times New Roman" w:cs="Times New Roman" w:eastAsia="Times New Roman" w:hAnsi="Times New Roman"/>
          <w:sz w:val="18"/>
          <w:szCs w:val="18"/>
          <w:color w:val="auto"/>
        </w:rPr>
        <w:t>We also offer testing services to pharmaceutical or biotech companies, contract research organizations, or CROs, or sponsored testing programs, which we call BioPharma services.</w:t>
      </w:r>
    </w:p>
    <w:p>
      <w:pPr>
        <w:spacing w:after="0" w:line="138" w:lineRule="exact"/>
        <w:rPr>
          <w:sz w:val="20"/>
          <w:szCs w:val="20"/>
          <w:color w:val="auto"/>
        </w:rPr>
      </w:pPr>
    </w:p>
    <w:p>
      <w:pPr>
        <w:ind w:right="380"/>
        <w:spacing w:after="0" w:line="276" w:lineRule="auto"/>
        <w:rPr>
          <w:sz w:val="20"/>
          <w:szCs w:val="20"/>
          <w:color w:val="auto"/>
        </w:rPr>
      </w:pPr>
      <w:r>
        <w:rPr>
          <w:sz w:val="1"/>
          <w:szCs w:val="1"/>
          <w:color w:val="auto"/>
        </w:rPr>
        <w:drawing>
          <wp:inline distT="0" distB="0" distL="0" distR="0">
            <wp:extent cx="85725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Picture is a patient-centric telemedicine platform that prioritizes patient convenience and education, giving consumers the power to initiate testing and access to clinical support. Picture tests help individuals identify important health markers to empower their personal health journey.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Laboratory Services Technology Platform</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proprietary technology platform for our laboratory services business includes proprietary gene probes, data suppression and comparison algorithms, adaptive learning software, and proprietary laboratory information management systems. This platform provides a broad test menu, the ability to rapidly develop and launch new tests, customizable test offerings, lower cost per test, and high efficiency. As an example, this technology platform allowed us to rapidly respond to the 2019 novel coronavirus disease, or COVID-19, pandemic and scale our business to provide COVID-19 tests with reliable results and rapid turnaround time in a way that surpassed even our largest competitors. We are proud that through this effort we supplied approximately 19.4 million COVID-19 tests from 2020 through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Therapeutic Development Business - Fulgent Pharma</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2022, we completed our acquisition of Fulgent Pharma Holdings, Inc., or Fulgent Pharma. Our efforts at Fulgent Pharma are based on a novel nano-drug delivery platform technology capable of delivering various water insoluble or poorly soluble drugs. Nano-drug delivery, or nanoencapsulation, refers to a technology where active pharmaceuticals are encapsulated within miniature capsules to protect and control the release of these pharmaceuticals in a targeted manner. Unlike other nano drug delivery materials such as Human Serum Albumin, which is only soluble in water, our nano-drug delivery materials used for our drug candidates in development are soluble not only in water, but also in various organic solvents, as well as capable of hot melt mixing with active pharmaceutical ingredients, or APIs. We believe these advantages will allow us to generate a much broader range of drug candidate formulations, particularly amorphous drug candidate formulations, which can be used for both intravenous, or IV, and oral formulations with a goal to improve the PK profile, as well as safety and efficacy, for encapsulated drugs and therapeutics.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goal of our nano-drug delivery platform is to develop drug candidates to treat various diseases for which we believe the current standard of care is inadequate or may be improved. The target markets for these drug candidates are large and well-established, as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260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U.S. opportunity shown</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Sources: Evaluate Pharma, Wall Street research, and management pricing expectations</w:t>
      </w:r>
    </w:p>
    <w:p>
      <w:pPr>
        <w:spacing w:after="0" w:line="87" w:lineRule="exact"/>
        <w:rPr>
          <w:sz w:val="20"/>
          <w:szCs w:val="20"/>
          <w:color w:val="auto"/>
        </w:rPr>
      </w:pPr>
    </w:p>
    <w:p>
      <w:pPr>
        <w:ind w:left="1780" w:hanging="515"/>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 &amp; Neck, or H&amp;N, market opportunity for both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line and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4"/>
          <w:szCs w:val="14"/>
          <w:color w:val="auto"/>
        </w:rPr>
        <w:t xml:space="preserve"> line therapy</w:t>
      </w:r>
    </w:p>
    <w:p>
      <w:pPr>
        <w:spacing w:after="0" w:line="78" w:lineRule="exact"/>
        <w:rPr>
          <w:rFonts w:ascii="Times New Roman" w:cs="Times New Roman" w:eastAsia="Times New Roman" w:hAnsi="Times New Roman"/>
          <w:sz w:val="14"/>
          <w:szCs w:val="14"/>
          <w:color w:val="auto"/>
        </w:rPr>
      </w:pPr>
    </w:p>
    <w:p>
      <w:pPr>
        <w:ind w:left="1780" w:hanging="515"/>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Ampullary market opportunity for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line therapy</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color w:val="auto"/>
        </w:rPr>
        <w:t>Our current research and development progress for certain of our candidates and assets is shown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38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Laboratory Services Customers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currently classify our customers in our laboratory services business by their payor types: (i) Insurance; (ii) Institutional, including hospitals, medical institutions, other laboratories, governmental bodies, payors, municipalities, and large corporations; and (iii) Patients who pay directly. Typically, we bill our Institutional customers for our tests, and testing services, and they are responsible for paying us directly. A small percentage of our customers are patients, who elect to pay for tests or testing services themselves with out-of-pocket payments after their physicians have ordered our tests or testing services.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and testing services. Aggregating customers that are under common control, one of our customers contributed $62.6 million or 22% of our total revenue in 2024, and $35.7 million or 12% of our total revenue in 2023.</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Laboratory Services Sales and Marketing</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sales and marketing force for our laboratory services business currently consists of internal teams of sales and marketing professionals, respectively, with deep experience in our industry, as well as a network of primarily U.S. field-based sales representatives who are knowledgeable about our tests and testing services. Historically, we have significantly relied on organic growth and word-of-mouth among our customers to generate interest in our tests, which we believe demonstrates the value of our offerings. In recent years, we have invested significant time and capital to strengthen our sales and marketing efforts, including increasing the size and restructuring the organization of our internal team, re-focusing our initiatives and strategies, and increasing the overall scope of our marketing activities. On a regular basis, we continue to evaluate the need to grow the size of our sales team and marketing resources.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Laboratory Services Research and Development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assembled a highly qualified team with expertise in a number of fields important to our business, such as bioinformatics, genetics, software engineering, laboratory management, drug development, and sales and marketing. This team conducts all of our research and development activities related to our laboratory services business, including efforts to develop and curate our expansive library of genetic information and further expand our testing and testing services technology platform.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Pharma-Pre-Clinical Studies and Clinical Trials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FID-007 Phase 1/1b Clinical Trial</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FID-007, nanoencapsulated paclitaxel, is currently being investigated in the United States to treat patients diagnosed with various cancers including H&amp;N, ampullary, and pancreatic cancer. We have released preliminary data and completed enrollment for a Phase1/1b dose escalation/expansion clinical trial for evaluation of FID-007 in treating patients diagnosed with advanced solid tumors. This Phase 1/1b is being conducted at clinical trial sites in the United States and has enrolled 50 patients. In this trial and to date, we observed FID-007 to have a manageable safety profile and observed preliminary evidence of anti-tumor activity in heavily pre-treated patients across various tumor types. The PK observed was linear, dose proportional, and comparable to that of nab paclitaxel. No neuropathy above grade two was observed.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FID-007 Phase 2 Clinical Trial</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began enrollment of a Phase 2, randomized, multi-center, open-label trial of FID-007 in patients with recurrent or metastatic H&amp;N squamous cell carcinoma at various sites in the United States in the second quarter of 2024. Up to 46 patients will be randomly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ind w:right="100"/>
        <w:spacing w:after="0" w:line="258" w:lineRule="auto"/>
        <w:rPr>
          <w:sz w:val="20"/>
          <w:szCs w:val="20"/>
          <w:color w:val="auto"/>
        </w:rPr>
      </w:pPr>
      <w:r>
        <w:rPr>
          <w:rFonts w:ascii="Times New Roman" w:cs="Times New Roman" w:eastAsia="Times New Roman" w:hAnsi="Times New Roman"/>
          <w:sz w:val="18"/>
          <w:szCs w:val="18"/>
          <w:color w:val="auto"/>
        </w:rPr>
        <w:t>assigned (1:1) to one of two treatment arms: Arm A: FID-007 (75 mg/m2) plus cetuximab or Arm B: FID-007 (125 mg/m2) plus cetuximab. We expect to complete the trial by early 2026. We currently anticipate releasing preliminary data for this trial in or around June 2025 and final results in or around June 2026. Assuming favorable results, we plan to investigate FID-007 in a Phase 3 registrational clinical trial in patients diagnosed with H&amp;N squamous cell carcinoma, and potentially seek regulatory approval in the United States through the 505(b)(2) pathway, which may shorten the clinical trial process and accelerate potential commercialization.</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FID-022 and ADC Pre-Clinical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also continuing to engage in other clinical and preclinical development utilizing our nano-drug delivery platform. In our preclinical studies, we observed our second drug candidate, FID-022, nanoencapsulated SN38, to have superior efficacy over irinotecan in various xenograft cancer models, including colon, bile duct, ovarian, and pancreatic cancers, with no significant unexpected toxicity observed in both rat and monkey Good Laboratory Practice, or GLP, toxicity studies. We plan to next evaluate FID-022 in a Phase 1/1b clinical trial in patients diagnosed with these cancers. The IND for this trial was cleared by the FDA in January 2025. In connection with this trial, we plan to enroll 42 patients at sites located in the United States and to begin dosing patients for this trial in mid-2025.</w:t>
      </w:r>
    </w:p>
    <w:p>
      <w:pPr>
        <w:spacing w:after="0" w:line="18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we have also made a significant advancement in development of antibody drug conjugates, or ADCs, using our novel patented linker and payload platform technology. In preclinical studies, we observed our ADC to have better efficacy over different tumors with a broad range of target antigens expression level compared with some of the best ADC benchmarks on the market in preclinical studies. In the meantime, ADCs honing to novel targets using our novel platform technology are also being prepared with the goal of generating leading candidates for clinical studies.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into our tests and testing services, which we refer to as reagents, as well as for the sequencers and various other equipment and materials we use in our laboratory operations. In particular, we rely on Illumina, Inc., or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on Leica Biosystems for an automated digital scanning solution to scale up digital pathology operations; and on Abbott Laboratories for certain laboratory equipment, supplies, and services for our FISH tests and testing services. Additionally, our therapeutic development business relies on ANP Technologies, Inc. for certain laboratory services, equipment, tools, and drug intermediates in connection with our research and development efforts. While there are several sequencer suppliers that we believe could replace Illumina, and while we believe that we have sufficient alternative suppliers for our other needs, our laboratory operations or therapeutic development efforts could be interrupted if we encounter delays or difficulties in connection with securing these supplies, services, reagents, sequencers, other equipment,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for our laboratory services business include dozens of companies focused on pathology, genetic, and diagnostic testing services, including specialty and reference laboratories that offer traditional single-gene and multi-gene tests and other diagnostic test providers. Principal competitors include companies such as Ambry Genetics Corporation, a subsidiary of Tempus AI, Inc.; Baylor Genetics Management, LLC; Caris Life Sciences, LLC; Exact Sciences Corporation; Foundation Medicine, Inc.; GeneDx Holdings Corp.; Guardant Health, Inc.; Laboratory Corporation of America Holdings; Myriad Genetics, Inc.; Natera, Inc.; NeoGenomics, Inc.; PerkinElmer, Inc.; Quest Diagnostics Incorporated; Tempus AI, Inc.; and other commercial and academic laboratories. Other established and emerging healthcare, information technology, and service companies may develop and sell competitive tests, which may include informatics analysis, integrated genetic tools, and services for health and wellness. We also expect to compete in the future with certain developers of traditional in vitro diagnostic test products, which are often packaged as commercial kits and sold for use in clinical laboratories, due to complex ongoing legal and regulatory reforms occurring in both the United States and the European Union for in vitro testing products, among other marketplace changes.</w:t>
      </w:r>
    </w:p>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participants in closely related markets, such as prenatal testing and clinical trial or companion diagnostic testing, could converge on offerings that are competitive with the type of tests we perform. Our principal competitors in this space include companies such as Laboratory Corporation of America Holdings; Natera, Inc.; Myriad Genetics, Inc.; Quest Diagnostics Incorporated; and other commercial and academic laboratories. Instances where potential competitors are aligned with key suppliers or are themselves suppliers could provide these potential competitors with significant advantages. Further, hospitals, research institutions,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and eventually individual physicians and other practitioners may also seek to perform at their own facilities the type of genetic or diagnostic testing we would otherwise perform for them. In this regard, continued development of, and potential associated relative decreases in the cost of, equipment, reagents, and other materials and databases and genetic data interpretation services may enable broader direct participation in genetic testing and analysis and drive down the use of third-party testing companies such as ours. Moreover, cost decreases and increased direct participation, as well as cost-saving initiatives on the part of government entities and other insurance payors could intensify the downward pressure on the price for genetic analysis and interpretation generally. Moreover, the clinical diagnostic testing field continues to undergo significant consolidation, permitting larger clinical laboratory service providers to increase cost efficiencies and service levels and potentially resulting in more intense competition. The development and commercialization of new drug candidates is highly competitive. Our competitors include drug delivery platform companies and 505(b)(2) drug developers in the cancer therapeutics area. Principal competitors include companies making nano drugs such as Bristol-Myers Squibb, academic research institutions, government agencies, and various other public and private research institutions.</w:t>
      </w:r>
    </w:p>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believe we compare favorably with our competitors. However, many of our competitors have longer operating histories; larger customer bases; more expansive brand recognition; established manufacturing capabilities and facilities; deeper market penetration; substantially greater financial, technological, research and development resources and selling and marketing capabilities; and considerably more experience dealing with insurance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insurance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Smaller or early-stage companies may also prove to be significant competitors, particularly through collaborative arrangements with large and established companies. Further, companies or governments that effectively control access to genetic or diagnostic testing through umbrella contracts or regional preferences could promote our competitors or prevent us from performing certain tests in certain territories. We may not be able to compete effectively against these organizations.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Intellectual property is essential to our strategy and capturing the value of research output. We rely on a combination of registered and unregistered intellectual property rights, including trade secrets, certain licenses, patents, trademarks, and customary contractual protections, to protect our core technology and intellectual property.</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principally rely on trade secrets and know-how to protect the proprietary technology platform we use in our laboratory services business to develop and maintain our competitive position. We seek to protect our proprietary technology and processes, and obtain and maintain ownership of certain technologies, in part, through non-disclosure and intellectual property assignment agreements with our employees, consultants, and commercial partners.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 We also seek to preserve the integrity and confidentiality of our proprietary technology and processes by maintaining physical security of our premises and physical and electronic security of our information technology systems.</w:t>
      </w:r>
    </w:p>
    <w:p>
      <w:pPr>
        <w:spacing w:after="0" w:line="190"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7"/>
          <w:szCs w:val="17"/>
          <w:color w:val="auto"/>
        </w:rPr>
        <w:t>Further, we seek to obtain and maintain patent rights intended to cover the technologies incorporated into, or used to produce, our drug candidates, the compositions of matter of our drug candidates and their methods of use and manufacture, as well as other inventions that are important to our business. The patent families comprising our patent portfolio are primarily focused on our nano-drug delivery platform technology, including FID-007 and FID-022 and other candidates we may develop, for delivery of water insoluble or poorly soluble drugs for treatments of disease conditions, including cancer.</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Worldwide, we own or exclusively in-license over 20 issued or allowed patents and over 10 active patent applications as of December 31, 2024. This includes eight issued or allowed U.S. patents. Patents in these patent families are expected to expire by 2034, and patent applications in these patent families, if granted, are expected to expire as far out as 2044, subject to any patent term disclaimers, adjustments, or extensions. Patents and/or patent applications in these families are active in multiple jurisdictions, including the United States, Australia, Canada, China, European Patent Organization, Germany, New Zealand, Japan, and Switzerland. In addition to these owned and exclusively licensed patents and active patent applications, we also license patents on a non-exclusive and/or territory-restricted basis. In particular, as of December 31, 2024, we own or exclusively in-license 18 issued patents and five patent applications relating to FID-007 and related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right="60"/>
        <w:spacing w:after="0" w:line="261" w:lineRule="auto"/>
        <w:rPr>
          <w:sz w:val="20"/>
          <w:szCs w:val="20"/>
          <w:color w:val="auto"/>
        </w:rPr>
      </w:pPr>
      <w:r>
        <w:rPr>
          <w:rFonts w:ascii="Times New Roman" w:cs="Times New Roman" w:eastAsia="Times New Roman" w:hAnsi="Times New Roman"/>
          <w:sz w:val="18"/>
          <w:szCs w:val="18"/>
          <w:color w:val="auto"/>
        </w:rPr>
        <w:t>formulations. United States and foreign patents (Canada, China, Germany, France, United Kingdom, Japan, Australia, and New Zealand) were granted in these families, and these patents are expected to expire by 2034, absent any patent term extension. Individual patent terms extend for varying periods of time, depending upon the date of filing of the patent application, the date of patent issuance, and the legal term of patents in the countries in which they are obtained.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rely on in-licensing opportunities to develop, strengthen, and maintain our proprietary position in the fields targeted by our drug candidates, including FID-007 and FID-022. In June 2017, we entered into an exclusive license agreement with ANP Technologies, Inc., or ANP, as amended on December 28, 2017, and May 1, 2024. Under the agreement, ANP granted us ownership of certain patents and patent applications, and an exclusive, worldwide, perpetual, irrevocable, and sublicensable license to certain rights in patents and patent applications under which we may develop and commercialize FID-007 and FID-022 and related formulations for human therapeutic, prophylactic, and diagnostic uses. We do not currently have any obligations to pay royalties pursuant to the terms of the ANP License Agreement. The ANP License Agreement term expires upon the date of expiration or the invalidation of the last of the patents licensed to us unless terminated earlier under its terms. The ANP License Agreement provides ANP the right to terminate for an uncured breach by us, or if we are insolvent, the subject of a bankruptcy proceeding, or potentially other reasons. We may terminate the ANP License Agreement at any time on 90 days’ notice.</w:t>
      </w:r>
    </w:p>
    <w:p>
      <w:pPr>
        <w:spacing w:after="0" w:line="18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ANP License Agreement provides that ANP will be responsible for preparing, filing, prosecuting and maintaining all of the licensed patents at ANP’s expense. If ANP decides that it is not interested in prosecuting or maintaining a particular licensed patent, it will notify us in writing, we will have the right to assume such responsibilities at our own cost and expense.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also grant a sublicense provided that the sublicensee agrees to (i) be bound by the terms of the ANP License Agreement; (ii) in the event the sublicensee initiates a proceeding to challenge the enforceability of any licensed patent, ANP may terminate the sublicense agreement; (iii) the ANP License Agreement controls in the event that there is any inconsistency with the sublicense agreement; and (iv) the sublicensee will submit quarterly reports to ANP consistent with the reporting provisions in the ANP License Agreement.</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also own registered and unregistered trademark and service mark rights under applicable U.S. and foreign law to distinguish and/or protect our brand, including our company name and logo.</w:t>
      </w:r>
    </w:p>
    <w:p>
      <w:pPr>
        <w:spacing w:after="0" w:line="26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Regulations Applicable to Our Laboratory Operations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we operate clinical laboratories in the United States, we are required to hold certain federal licenses, certifications, and permits to conduct our business. Clinical Laboratory Improvement Amendments, or CLIA, establishes quality standards for all laboratory testing to ensure the accuracy, reliability and timeliness of patient test results. Our laboratories located in California, Texas, Georgia, Massachusetts, and Arizona are CLIA-certified and are accredited by the College of American Pathologists, or CAP, and the Centers for Medicare &amp; Medicaid Services, or CMS.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CLIA requires that we hold certificates for each of our laboratories applicable to the categories of testing that each laboratory performs and that we comply with various standards with respect to personnel qualifications, facility administration, proficiency testing, quality control and assurance, and inspections. Each of our laboratories must obtain a certificate from CMS, the agency that enforces CLIA, and CLIA compliance and certification are prerequisites to be eligible to bill government payors and many private payors for our tests.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Each CLIA certificate is valid for two years from the date of issuance. If one or more of our laboratories is found to be out of compliance with CLIA requirements,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we elect to participate in the accreditation program of CAP. CMS has deemed CAP standards to be equally or more stringent than CLIA regulations and has approved CAP as a recognized accrediting organization. An inspection by CAP is performed in lieu of inspection by CMS for CAP-accredited laboratories. Because we are accredited by the CAP Laboratory Accreditation Program, we are deemed to also comply with CLIA.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Foreign Clinical Laboratory Licensure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clinical laboratories are required to maintain certain state laboratory licenses. State laws establish standards for day-to-day operations of our laboratories, including requirements with respect to the training and skills required of personnel, quality control,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proficiency testing requirements. If our clinical laboratories are out of compliance with the applicable state regulations, state agencies may suspend, restrict, or revoke our license to operate our clinical laboratories, assess substantial civil money penalties, or impose specific corrective action plans. Any such actions could materially affect our business. Currently, we maintain good standing with all state authorities.</w:t>
      </w:r>
    </w:p>
    <w:p>
      <w:pPr>
        <w:spacing w:after="0" w:line="1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Additionally, certain states may require licensure for out-of-state laboratories that accept specimens originated from those states. Our Texas laboratory currently holds the out-of-state licenses from New York, California, Maryland, Pennsylvania, and Rhode Island to perform testing on specimens from these states, and our California laboratory holds the required out-of-state laboratory licenses from New York, Maryland, Pennsylvania, and Rhode Island in order to perform testing on specimens from these states. Our Australian laboratory is also subject to Australian regulatory requirements.</w:t>
      </w:r>
    </w:p>
    <w:p>
      <w:pPr>
        <w:spacing w:after="0" w:line="16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regulation in foreign jurisdictions, which we expect will increase as we continue to expand international utilization of our tests, or if jurisdictions in which we pursue operations adopt new or modified licensure requirements for U.S.-based clinical laboratories offering and providing diagnostic testing services to professionals located in those jurisdictions. Foreign licensure requirements could require review and modification of our tests in order to offer them in certain jurisdictions or could impose other limitations, such as restrictions on international data transfer or on the transport of human blood or other tissue necessary for us to perform our tests, that may limit our ability to make our tests available outside of the United States on a broader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FDA Oversight of Our Tests and Testing Services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tests and testing services that we offer may be considered medical devices. Pursuant to its authority under the Federal Food, Drug, and Cosmetic Act, or FDC Act, the FDA has jurisdiction over medical devices, which are defined to include, among other things, in vitro diagnostic products, or IVDs, used for clinical purposes. The laws and regulations governing the marketing of IVDs are evolving, are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 Many of the instruments, reagents, kits, or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tests fall within the definition of laboratory developed tests, or LDTs. LDTs, which are a subset of IVDs that are intended for clinical use and are designed, manufactured, and used within a single laboratory. Although the FDA has statutory authority to assure that medical devices, including IVDs, are safe and effective for their intended uses, the FDA had historically exercised enforcement discretion and not enforced applicable provisions of the FDC Act and regulations with respect to LDTs. However, in May 2024, the FDA issued a final rule aimed at regulating LDTs under the current medical device framework and phasing out its existing enforcement discretion policy for this category of diagnostic tests; the final rule became effective on July 5, 2024. The LDT enforcement policy phase-out process will occur in gradual stages over a total period of four years, with pre-market approval applications for high-risk tests to be submitted by the 3.5-year mark. Moderate-risk and low-risks tests are expected to be in compliance at the four-year mark, although FDA has stated that, if premarket submissions are pending review, it will continue to exercise enforcement discretion with respect to those tests.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Importantly, under the agency’s transition plan, LDTs that were marketed prior to the official publication date of the final rule (May 6,</w:t>
      </w:r>
    </w:p>
    <w:p>
      <w:pPr>
        <w:spacing w:after="0" w:line="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2024) are considered to be “currently marketed” tests. “Currently marketed” tests will become subject to many of the device regulatory controls but are exempted from the premarket review and FDA authorization requirements, unless or until significant modifications are made to such “currently marketed” tests. Similarly, the FDA has created a partial enforcement discretion policy for tests approved by the New York Department of Health’s Clinical Laboratory Evaluation Program, whereby such tests also do not need to undergo FDA premarket review but must come into compliance with all other device general controls in a staggered fashion between 2025 and 2027. We have begun the process of evaluating the final rule’s potential impact on our tests, our operations, and our business more generally.</w:t>
      </w:r>
    </w:p>
    <w:p>
      <w:pPr>
        <w:spacing w:after="0" w:line="19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Publication of the LDT final rule prompted the American Clinical Laboratory Association, or ACLA, and one of its members, on May 29, 2024, as well as the Association for Molecular Pathology, or AMP, and one of its members, on August 19, 2024, to file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40"/>
        <w:spacing w:after="0" w:line="253" w:lineRule="auto"/>
        <w:rPr>
          <w:sz w:val="20"/>
          <w:szCs w:val="20"/>
          <w:color w:val="auto"/>
        </w:rPr>
      </w:pPr>
      <w:r>
        <w:rPr>
          <w:rFonts w:ascii="Times New Roman" w:cs="Times New Roman" w:eastAsia="Times New Roman" w:hAnsi="Times New Roman"/>
          <w:sz w:val="18"/>
          <w:szCs w:val="18"/>
          <w:color w:val="auto"/>
        </w:rPr>
        <w:t>complaints against the FDA in the Eastern District of Texas and the Southern District of Texas, respectively. Both complaints allege that the agency does not have authority to promulgate the LDT final rule and seek to vacate the FDA’s action; the two cases were subsequently consolidated into a single action pending in the Eastern District of Texas. Briefing is ongoing in the consolidated case and the outcome is uncertain. The ongoing litigation could potentially affect the FDA’s plans to implement these new LDT requirements, making the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 Following the November 2024 federal elections, it is unclear whether the incoming Trump Administration will continue to defend the FDA’s rulemaking action in the consolidated litigation in Texas or if it will take steps to rescind or modify the LDT final rule. 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 The outcome of the November 2024 elections on the composition of the 2025-2026 Congress, with transition of both the Senate and House to Republican control, also creates uncertainties for the diagnostic industry.</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though we presently commercialize our tests as LDTs, the FDA may disagree that our currently marketed tests are within the scope of its LDT criteria, or tests we develop may in the future become subject to more onerous regulation by the FDA. Depending upon the characteristics and regulatory status of each individual test, we could in the future be required to obtain premarket clearance for our tests under Section 510(k) of the FDC Act or approval of a pre-market approval application, or PMA. The process for submitting a 510(k) premarket notification and receiving FDA clearance usually takes from three to twelve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whether currently marketed or developed in the future, the FDA could require that we stop selling our tests and testing services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could trigger a range of enforcement actions by the FDA, including warning letters, civil monetary penalties, fines, injunctions, criminal prosecution, consent decrees, repairs, replacements, refunds, recalls or seizures of products, operating restrictions, partial suspension or total shutdown of operations and denial of or challenges to applications for clearance or approval, as well as significant adverse publicity.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 of Diagnostic Medical Devices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Medical devices, including IVD products, are subject to extensive regulation, such as premarket review, marketing authorization, or certification, by regulatory agencies or notified bodies in other countries. Regulatory requirements and approval or certification processes are not harmonized and vary from one country to another, and international regulators and notified bodies are not bound by the findings of the FDA. The IVDR (as defined and described below) has introduced an enhanced level of EU regulatory oversight for diagnostic tests developed as LDTs, and Fulgent’s commercial laboratory in California may be considered a health institution in the context of the IVDR because it provides testing for EU citizens.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in particular, IVD products had historically been regulated under EU-Directive 98/79/EC (IVD Directive) and corresponding national provisions. The IVD Directive required that medical devices meet the essential requirements, including those relating to device safety and efficacy, set out in an annex of the Directive. According to the IVD Directive, EU Member States have presumed compliance with these essential requirements for devices that are in conformity with the relevant national standards transposing the harmonized standards, such as ISO 13485:2016, the quality system standard for medical device manufacturers.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IVD medical devices, other than devices for performance evaluation, must bear the CE mark of conformity when they are placed on the European market. The CE mark is a declaration by the manufacturer that the product meets all the appropriate provisions of the applicable legislation implementing the relevant European Directive. As a general rule, the manufacturer must follow the EU declaration of conformity procedure to obtain or apply a CE mark. The advertising and promotion of medical devices is also subject to general principles set forth by EU directives, which establish that devices that are CE marked may only be marketed and advertised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the EU in accordance with their intended purpose. Specific requirements defined at the EU Member State level may vary between jurisdictions and may limit or restrict a manufacturer’s promotional communications with healthcare professionals.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2022, the Directive was replaced by the In Vitro Diagnostic Device Regulation, or IVDR, (EU) 2017/746. Unlike the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or EC, IVDs are subject to additional legal requirements. Among other things, the IVDR introduced a new risk-based classification system and requirements for conformity assessments. It also imposes additional requirements relating to post-market surveillance and submission of post-market performance follow-up reports. Under the IVDR and subsequent amendments, IVDs already certified under the IVD Directive by a Notified Body may remain on the market until December 31, 2027, and IVDs certified under the IVD Directive without the involvement of a Notified Body may be placed on, or remain in, the market for up to two additional years (until December 31, 2029) depending on the classification of the IVD. Nonetheless, the manufacturers of such devices must comply with specific requirements in the IVDR according to the timelines established, but ultimately, such products, as with all new IVDs, will have to undergo the IVDR’s conformity assessment procedures. Notified Bodies are entities accredited by an EU Member State to independently assess whether a product to be placed on the market meets certain preordained standards and that manufacturing facilities and records comply with applicable requirements such as International Organization for Standardization, or ISO, standards such as ISO 13485 and ISO 27001. Such international standards establish extensive requirements for quality assurance and control as well as manufacturing and change control procedures.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EC has designated 13 Notified Bodies to perform conformity assessments under the IVDR. MedTech Europe has issued guidance relating to the IVDR in several areas, e.g., clinical benefit, technical documentation, state of art, accessories, and EUDAMED. On December 5, 2023, the European Commission adopted Implementing Regulation (EU) 2023/2713 designating five EU Reference Laboratories covering the following types of high-risk, class D IVDs: hepatitis and retroviruses; herpesviruses; bacterial agents; and respiratory viruses that cause life-threatening diseases. The designated EU Reference Laboratories are responsible for verifying performance of IVDs in accordance with common specifications, batch testing of class D IVDs, collaborating with Notified Bodies to develop best practices for IVD conformity assessments, and providing scientific and technical assistance on the implementation of the IVDR.</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that LDTs produced outside of the EU and involving samples obtained from EU citizens must fully comply with the IVDR and accordingly, we are working towards ISO 13485 compliance and preparing certain of our tests for conformity assessments by a designated Notified Body. We have made initial submissions to our Notified Body and expect to receive CE marking under the IVDR for certain of our tests in the future, subject to ongoing review and auditing by the regulatory agency. If we are not able to obtain and maintain regulatory compliance, we may not be permitted to market our laboratory services in the EU and/or may become subject to enforcement by EU Competent Authorities, bodies with authority to act on behalf of the government of the applicable EU Member State to ensure that the requirements of the regulation are met.</w:t>
      </w:r>
    </w:p>
    <w:p>
      <w:pPr>
        <w:spacing w:after="0" w:line="18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tests also may become subject to other foreign premarket review, compliance, and regulatory approval regimes applicable to IVDs as we continue to expand and offer our services internationally.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Regulations Regarding Advertising of Laboratory Services, LDTs, or IVDs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our advertising for laboratory services and tests is subject to federal truth-in-advertising laws enforced by the Federal Trade Commission, or FTC, as well as comparable state consumer protection agencies under similarly broad state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Further, as medical devices under the FDA’s LDT Final Rule, certain of our tests will become subject to the device labeling requirements that presently apply to other FDA-regulated IVD products, which prohibit the distribution of false or misleading labels or promotional labeling for such products. Enforcement actions by the FDA may include, among other things, the issuance of untitled or warning letters, injunctions, and civil or criminal penalties.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when marketing our diagnostic tests to clinical laboratories and medical institutions outside of the United States (including our operations in Australia), we are subject to foreign regulatory requirements governing promotional statements and IVD labeling. The legal landscape governing promotional and other marketing activities for diagnostic tests can vary widely from jurisdiction to jurisdiction, and is often more complex, less clear, or less developed than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and Regulations Relating to U.S. Payor Reimbursement for our Tests and Testing Services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CPT Codes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bill insurance payors, both commercial and government, for our tests and testing services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one or more of the genes in a panel, in which case our test may be billed under a miscellaneous code for an unlisted molecular pathology procedure. Many insurance payors do not have a set reimbursement rate for this miscellaneous code. Prior to performing a test, we may negotiate the reimbursement rate with the payor if the benefits investigation has determined the test to be medically necessary, and the payor has issued prior authorization. After we file the claim, we may also need to resubmit documentation or appeal a denial. All of these issues can cause delay in the reimbursement of the claim or our inability to get reimbursed.</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PAMA</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or PAMA, which included substantial changes to the way in which clinical laboratory services are priced and paid under Medicare’s Clinical Laboratory Fee Schedule, or CLFS. On June 23, 2016, CMS published the final rule implementing the reporting and rate-setting requirements. Under PAMA, laboratories that receive the majority of their Medicare revenue from payments made under the CLFS or the Physician Fee Schedule are required to report private payor payment rates and volumes for clinical diagnostic laboratory tests, or CDLTs, to CMS every three years (or annually for advanced diagnostic laboratory tests, or ADLT). We do not believe that any of our tests meet the current definition of ADLT. We, therefore, must report private payor rates for our tests every three years. Laboratories that fail to report the required payment information may be subject to substantial civil monetary penalties.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required under PAMA, CMS uses the data reported by laboratories to develop Medicare payment rates for laboratory tests equal to the volume-weighted median of the private payor payment rates. For tests furnished on or after January 1, 2018, Medicare payments for CDLTs are based upon reported private payor rates. For a CDLT that is assigned a new or substantially revised CPT code, the initial payment rate is assigned using the gap-fill methodology, as under prior law.</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Since December 2019, Congress has passed a series of laws to modify PAMA’s statutory requirements related to the data reporting period and phase-in of payment reductions under the CLFS for CDLTs that are not ADLTs. Most recently, on September 26, 2024, Section 221 of the Continuing Appropriations and Extensions Act, 2025, was passed, and it delayed data reporting requirements for CDLTs that are not ADLTs as well as the phase-in of payment reductions. The next data reporting period for CDLTs that are not ADLTs will be January 1, 2026 through March 31, 2026, and will be based on the original data collection period of January 1, 2019 through June 30, 2019. After this data reporting period, the three-year data reporting cycle for these tests will resume (e.g., 2028, 2031, etc.).</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same series of laws modified the phase-in of payment reductions resulting from private payor rate implementation so that a zero percent reduction limit was applied for calendar years, or CYs, 2021 through 2024, as compared to the payment amounts for a test the preceding year. The Further Continuing Appropriations and Other Extensions Act of 2025 further applied a zero percent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ind w:right="100"/>
        <w:spacing w:after="0" w:line="282" w:lineRule="auto"/>
        <w:rPr>
          <w:sz w:val="20"/>
          <w:szCs w:val="20"/>
          <w:color w:val="auto"/>
        </w:rPr>
      </w:pPr>
      <w:r>
        <w:rPr>
          <w:rFonts w:ascii="Times New Roman" w:cs="Times New Roman" w:eastAsia="Times New Roman" w:hAnsi="Times New Roman"/>
          <w:sz w:val="18"/>
          <w:szCs w:val="18"/>
          <w:color w:val="auto"/>
        </w:rPr>
        <w:t>reduction limit for CY 2025. Consequently, payment may not be reduced by more than 15 percent per year for CYs 2026 through 2028 as compared to the payment amount established for a test the prior year.</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HRSA Audits and Investigations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or CARES Act, was enacted, providing for reimbursement to healthcare providers for COVID-19 tests provided to uninsured individuals through a program administered by HRSA. This program administered by HRSA was the HRSA COVID-19 Claims Reimbursement to Health Care Providers and Facilities for Testing, Treatment, and Vaccine Administration for the Uninsured Program, or the Uninsured Program. The Uninsured Program was valid for the period between May 2020 and April 2022, and HRSA announced that the Uninsured Program ceased accepting COVID-19 testing claims as of March 22, 2022, due to a lack of sufficient funds. The Company recorded approximately $548.9 million of reimbursements from HRSA under the Uninsured Program during the years ended December 31, 2022, 2021, and 2020.</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Similar to other laboratories in the industry, the Company is currently being audited by HRSA with respect to its reimbursement for COVID-19 tests furnished to patients believed to be uninsured.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The Company has also received a Civil Investigative Demand, or CID, issued by the U.S. Department of Justice, or DOJ, related to the DOJ’s investigation as to whether we submitted or caused to be submitted false claims to the Uninsured Program. We are fully cooperating with the DOJ in connection with this CID.</w:t>
      </w:r>
    </w:p>
    <w:p>
      <w:pPr>
        <w:spacing w:after="0" w:line="18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to the Consolidated Financial Statements, and the paragraphs under the heading entitled </w:t>
      </w:r>
      <w:r>
        <w:rPr>
          <w:rFonts w:ascii="Times New Roman" w:cs="Times New Roman" w:eastAsia="Times New Roman" w:hAnsi="Times New Roman"/>
          <w:sz w:val="18"/>
          <w:szCs w:val="18"/>
          <w:i w:val="1"/>
          <w:iCs w:val="1"/>
          <w:color w:val="auto"/>
        </w:rPr>
        <w:t>“Failure to comply with government laws and regulations related to submission of claims for our services could result in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monetary damages and penalties and exclusion from the Medicare and Medicaid programs and corresponding foreign reimbursement programs. We are also subject to governmental audits and investigations that could result in material refunds or settlement. Our business, prospects and financial condition may be adversely affected as the result of the current HRSA Audit and CIDs.” </w:t>
      </w:r>
      <w:r>
        <w:rPr>
          <w:rFonts w:ascii="Times New Roman" w:cs="Times New Roman" w:eastAsia="Times New Roman" w:hAnsi="Times New Roman"/>
          <w:sz w:val="18"/>
          <w:szCs w:val="18"/>
          <w:color w:val="auto"/>
        </w:rPr>
        <w:t>included in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this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and Regulations Applicable to Our Pharmaceutical Research and Development Activities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engage in research and development activities, including pharmaceutical research and development activities through our wholly owned subsidiary, Fulgent Pharma. Development of therapeutic products is subject to extensive regulation by the FDA and other regulatory agencies. In particular, government authorities in the United States at the federal, state, and local levels and in other countries regulate, among other things, the research, development, testing, manufacture, quality control, approval, labeling, packaging, storage, record-keeping, promotion, advertising, distribution, post-approval monitoring and reporting, marketing and export and import of therapeutic products. Generally, therapeutic products require government authorization before they may be clinically tested and commercially marketed for human therapeutic use in the United States and other countries. The precise regulatory requirements with which we will have to comply are undergoing periodic revisions and refinement.</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FDC Act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w:t>
      </w:r>
    </w:p>
    <w:p>
      <w:pPr>
        <w:spacing w:after="0" w:line="18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steps required before a therapeutic product may be marketed in the United States are numerous and include, but are not limited to, the following:</w:t>
      </w:r>
    </w:p>
    <w:p>
      <w:pPr>
        <w:spacing w:after="0" w:line="54" w:lineRule="exact"/>
        <w:rPr>
          <w:sz w:val="20"/>
          <w:szCs w:val="20"/>
          <w:color w:val="auto"/>
        </w:rPr>
      </w:pPr>
    </w:p>
    <w:p>
      <w:pPr>
        <w:ind w:left="1020" w:right="3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chemical process development, and formulation studies according to GLP and other applicable regulations and guidance;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investigational new drug application, or IND, which must become effective before clinical trials may commence;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GCPs, to establish the safety and efficacy of the drug candidate for its intended use(s);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a New Drug Application, or NDA, to the FDA;</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candidate is produced to assess readiness for commercial manufacturing and conformance to the manufacturing-related elements of the application, to conduct a data integrity audit, and to assess compliance with current Good Manufacturing Practices, or cGMPs, to assure that the facilities, methods, and controls are adequate;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the NDA.</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testing and formulation processes required to market a therapeutic product involves substantial time, effort, and financial resources. The data required to support an NDA are generated in two distinct developmental stages: non-clinical and clinical. The non-clinical developmental stage generally involves laboratory evaluations of drug chemistry, formulation, and stability, as well as potential studies to evaluate the molecule’s toxicity in animals, which support subsequent clinical testing. The sponsor must submit the results of the non-clinical studies, together with manufacturing information, analytical data, any available clinical data or literature and a proposed clinical protocol, to the FDA as part of the IND. An IND is a request for authorization from the FDA to administer an investigational new drug to humans and must become effective before human clinical trials may begin.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institutional review board, or IRB, for each institution participating in the clinical trial must review and approve a new clinical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typically conducted in three sequential phases that may overlap or be combined:</w:t>
      </w:r>
    </w:p>
    <w:p>
      <w:pPr>
        <w:spacing w:after="0" w:line="117" w:lineRule="exact"/>
        <w:rPr>
          <w:sz w:val="20"/>
          <w:szCs w:val="20"/>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Initial safety study in appropriate human subjects or patients where the candidate therapy is tested for safety, dosage tolerance, absorption, distribution, metabolism, and excretion.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Studies in a limited patient population designed to identify possible adverse effects and safety risks, to determine the efficacy of the product for specific targeted diseases, and to determine tolerance and optimal dosage.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Studies in an expanded patient population to further evaluate clinical efficacy and to further test for safety.</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drug, findings from animal or in vitro testing that suggest a significant risk for human subjects, and any clinically important increase in the rate of a serious suspected adverse reaction over that listed in the protocol or investigator brochure. Congress also recently amended the FDC Act, in order to require sponsors of a Phase 3 clinical trial, or other “pivotal study” of a new drug to support marketing authorization (or pivotal trials of medical devices),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 In addition, an IRB on behalf of each institution that is participating in the clinical trial must conduct a continuing review and reapprove the trial at least annually. Information about certain clinical trials, including details of the protocol and eventually study results, also must be submitted within specific timeframes to the National Institutes of Health, or NIH, for public dissemination on the ClinicalTrials.gov data registry. Information related to the investigational product, patient population, phase of investigation, study sites and investigators, and other aspects of the clinical trial is made public as part of the registration of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right="180"/>
        <w:spacing w:after="0" w:line="261" w:lineRule="auto"/>
        <w:rPr>
          <w:sz w:val="20"/>
          <w:szCs w:val="20"/>
          <w:color w:val="auto"/>
        </w:rPr>
      </w:pPr>
      <w:r>
        <w:rPr>
          <w:rFonts w:ascii="Times New Roman" w:cs="Times New Roman" w:eastAsia="Times New Roman" w:hAnsi="Times New Roman"/>
          <w:sz w:val="18"/>
          <w:szCs w:val="18"/>
          <w:color w:val="auto"/>
        </w:rPr>
        <w:t>the clinical trial. Sponsors are also obligated to disclose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 The NIH’s Final Rule on ClinicalTrials.gov registration and reporting requirements became effective in 2017, and the government has begun enforcing those requirements against non-compliant clinical trial sponsors.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may not be completed successfully within any specified period, if at all. The FDA or the sponsor may suspend clinical trials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candidate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NDA Submission and FDA Review Process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Following completion of the required clinical testing, all of the data are analyzed to assess whether the investigational therapeutic product is safe and effective for its proposed indicated use or uses. The results of the non-clinical studies and clinical trials, along with detailed descriptions of the product’s chemistry, manufacturing and controls, or CMC, proposed labeling and other relevant information are submitted to the FDA as part of an NDA requesting approval to market the product. To support marketing approval, the data submitted must be sufficient in quality and quantity to establish the safety and efficacy of the investigational product to the satisfaction of FDA. FDA approval of the NDA must be obtained before a drug may be marketed in the United States.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significant user fee, and the sponsor of an approved NDA is also subject to an annual program fee. The FDA typically adjusts these PDUFA user fees on an annual basis. Fee waivers or reductions are available in certain circumstances, including a waiver of the application fee for the first application filed by a small business (fewer than 500 employees). Additionally, no user fees are assessed on NDAs for products designated as orphan drugs, unless the product also includes a non-orphan indication. Congress is required to re-authorize the agency’s user fee programs every five years, and current legislative provisions supporting the PDUFA program are set to expire on September 30, 2027.</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that they are sufficiently complete for substantive review before it accepts them for filing. It may refuse to file the application and request additional information rather than accept an NDA for filing. In this event, the application must be resubmitted with the additional information. The resubmitted application is also subject to review before the FDA accepts it for filing. The FDA must make a decision on accepting an NDA for filing within 60 days of receipt and inform the sponsor by the 74th day after the FDA’s receipt of the submission whether an application is sufficiently complete to permit substantive review. Once the submission is accepted for filing, the FDA begins an in-depth review of the NDA. Under the goals and policies agreed to by the FDA under PDUFA, the FDA has 10 months from the filing date, to complete its review of a new molecular-entity, or NME, NDA and respond to the applicant, and six months from the filing date of an NME NDA designated for priority review. For non-NME NDAs, such as our current and, potentially, future product candidates, the review goals are 10 months from the date of receipt for a standard application and six months from the date of receipt for a priority submission. The FDA does not always meet its PDUFA goal dates for standard and priority NDAs, and the review process is often extended by FDA requests for additional information or clarification.</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Most innovative drug products obtain FDA marketing approval pursuant to an NDA submitted under Section 505(b)(1) of the FDC Act,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 Act, which provides a hybrid pathway combining features of a traditional NDA and a generic drug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(e.g., FDA’s prior findings of safety and efficacy for an existing product or published literature). A Section 505(b)(2) applicant may eliminate or reduce the need to conduct certain non-clinical or clinical studies, if it can establish that reliance on studies conducted for a previously approved product is scientifically appropriate.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typically conduct a pre-approval inspection of the manufacturing facilities for the new product to determine whether the manufacturing processes and facilities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by each of the entities involved in the clinical trials, including clinical investigators and any third-party clinical research organizations, or CROs.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refer applications for novel drug products or drug products that present difficult questions of safety or efficacy to an advisory committee, typically a panel that includes clinicians and other independent scientific experts, for review, evaluation and a recommendation as to whether the application should be approved and under what conditions, if any. The FDA is not bound by recommendations of an advisory committee, but it considers such recommendations when making final agency decisions on marketing approval. The FDA likely will reanalyze the clinical trial data, which could result in extensive discussions between the FDA and the applicant during the review process. The FDA also may require development of a risk evaluation and mitigation strategy, or REMS, plan if it determines that a REMS is necessary to ensure that the benefits of the drug outweigh its risks and to assure the safe use of the drug.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an NDA without a REMS, if one is required.</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an NDA if the applicable regulatory criteria are not satisfied or may require additional clinical or other data and information. The FDA reviews an NDA to determine, among other things, whether a product is safe and effective for its intended use and whether its manufacturing is cGMP-compliant and capable of assuring and preserving the product’s identity, strength, quality and purity. Based on the FDA’s evaluation of the NDA and accompanying information, including the results of the inspection of the manufacturing facilities, the FDA may issue either an approval letter or a Complete Response Letter. An approval letter authorizes commercial marketing of the drug with specific prescribing information for specific indications. A Complete Response Letter indicates that the review cycle of the application is complete, and that it will not be approved in its present form. A Complete Response Letter usually describes all of the specific deficiencies in the NDA and may require substantial additional testing or information for the FDA to reconsider the application. The Complete Response Letter may require additional pivotal Phase 3 clinical trial(s) and/or other significant and time-consuming requirements related to clinical data, non-clinical data or manufacturing processes, among others. If a Complete Response Letter is issued, the applicant may choose either to resubmit the NDA, addressing all of the deficiencies identified in the letter, or to withdraw the application. If and when all deficiencies have been addressed to the FDA’s satisfaction in a resubmitted NDA, the FDA will issue an approval letter. The FDA has committed to reviewing such resubmissions in response to an issued Complete Response Letter in either two or six months, depending on the type of information included. Even if such data and information are submitted, however, the FDA may ultimately decide that the NDA does not satisfy the regulatory criteria for approval. Data obtained from clinical trials are not always conclusive and the FDA may interpret data differently than the applicant interprets the same data.</w:t>
      </w:r>
    </w:p>
    <w:p>
      <w:pPr>
        <w:spacing w:after="0" w:line="19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Even if a product receives marketing approval, the approval may be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post-marketing or Phase 4 clinical trials, designed to further assess a product’s safety and effectiveness, and/or testing and surveillance programs to monitor the safety of approved products that have been commercialized.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Pharmaceutical Products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Following approval of a new therapeutic product, the manufacturer and the approved product are subject to pervasive and continuing regulation by the FDA, including, among other things, monitoring and record-keeping activities; reporting of adverse experiences with the product; product samplings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non-clinical studies and clinical trials. In particular, securing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right="260"/>
        <w:spacing w:after="0" w:line="266" w:lineRule="auto"/>
        <w:rPr>
          <w:sz w:val="20"/>
          <w:szCs w:val="20"/>
          <w:color w:val="auto"/>
        </w:rPr>
      </w:pPr>
      <w:r>
        <w:rPr>
          <w:rFonts w:ascii="Times New Roman" w:cs="Times New Roman" w:eastAsia="Times New Roman" w:hAnsi="Times New Roman"/>
          <w:sz w:val="18"/>
          <w:szCs w:val="18"/>
          <w:color w:val="auto"/>
        </w:rPr>
        <w:t>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therapeutics are required to register their establishments with the FDA and certain state agencies and are subject to periodic unannounced inspections by the FDA to assess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therapeutic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 Act.</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7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Expedited Development and Review Programs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drug products for expedited development or review if they are intended to address an unmet medical need in the treatment of a serious or life-threatening disease or condition. These programs include fast-track designation, breakthrough therapy designation, and priority review designation.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an existing therapy based on efficacy or safety factors. Fast-track designation provides opportunities for more frequent interactions with the FDA review team to expedite development and review of the product. The FDA may also review sections of the NDA for a fast-track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fast-track designation may be withdrawn by the sponsor or rescinded by the FDA if the designation is no longer supported by data emerging in the clinical trial process. The sponsor can request the FDA to designate the product for fast-track status any time before receiving NDA approval, but ideally no later than the pre-NDA meeting.</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FDA also may designate a product for priority review if it is a drug that treats a serious condition and, if approved, would provide a significant improvement in safety or effectiveness. When a marketing application is submitted with a request for priority review, the FDA determines on a case-by-case basis whether the proposed drug represents a significant improvement in treatment, prevention or diagnosis of disease when compared with other available therapies. Significant improvement may be illustrated by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from the date of filing for an NME NDA, or from 10 months to six months from the date of receipt for a non-NME NDA.</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18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Fast-track designation, priority review, and breakthrough therapy designation do not change the standards for approval but may expedite the development or approval process.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when the product has an effect on an intermediate clinical endpoint that can be measured earlier than an effect on irreversible morbidity or mortality, or IMM, which is reasonably likely to predict an effect on IMM or other clinical benefit, taking into account the severity, rarity, or prevalence of the condition and the availability or lack of alternative treatments or on the basis of an effect on a clinical endpoint other than survival or irreversible morbidity. As a condition of approval, the FDA may require that a sponsor of a drug receiving accelerated approval perform adequate and well-controlled post-marketing clinical trials to verify and describe the predicted effect on IMM or other clinical endpoint, and the product may be subject to expedited withdrawal procedures. If the FDA concludes that a drug shown to be effective can be safely used only if distribution or use is restricted, it will require such post-marketing restrictions, as it deems necessary to assure safe use of the product. Drugs granted accelerated approval must meet the same statutory standards for safety and effectiveness as those granted traditional approval.</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diligently,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In addition, as part of the Consolidated Appropriations Act for 2023, Congress provided the FDA additional statutory authority to mitigate potential risks to patients from continued marketing of ineffective drugs previously granted accelerated approval. Under these recent amendments to the FDC Act, the agency may require a sponsor of a product granted accelerated approval to have a confirmatory trial underway prior to approval. The sponsor must also submit progress reports on a confirmatory trial every six months until the trial is completed, and such reports will be published on the FDA’s website. Failure to conduct required post-approval studies, or to confirm the predicted clinical benefit of the product during post-marketing studies, allows the FDA to withdraw approval of the drug. Congress also recently amended the law to give the FDA the option of using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580"/>
        <w:spacing w:after="0" w:line="282" w:lineRule="auto"/>
        <w:rPr>
          <w:sz w:val="20"/>
          <w:szCs w:val="20"/>
          <w:color w:val="auto"/>
        </w:rPr>
      </w:pPr>
      <w:r>
        <w:rPr>
          <w:rFonts w:ascii="Times New Roman" w:cs="Times New Roman" w:eastAsia="Times New Roman" w:hAnsi="Times New Roman"/>
          <w:sz w:val="18"/>
          <w:szCs w:val="18"/>
          <w:color w:val="auto"/>
        </w:rPr>
        <w:t>expedited procedures to withdraw product approval if the sponsor’s confirmatory trial fails to verify the claimed clinical benefits of the product. All promotional materials for products approved for marketing under the accelerated approval program are subject to prior review by the FDA.</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Listing and Regulatory Exclusivity under the Hatch-Waxman Act</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noted above, Congress created the 505(b)(2) NDA pathway in 1984 as part of the Hatch-Waxman Act amendments to the FDC Act.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non-clinical and clinical data to demonstrate safety and effectiveness. Instead, in support of such applications, a generic manufacturer must rely on the non-clinical and clinical testing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publication, Approved Drug Products with Therapeutic Equivalence Evaluations, or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9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An ANDA or 505(b)(2) NDA also will not be approved until any applicable non-patent exclusivities listed in the Orange Book for the referenced product have expired. The Hatch-Waxman Act amendments to the FDC Act provide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FDC Act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8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Five-year and three-year exclusivity also will not delay the submission or approval of a traditional NDA filed under Section 505(b)(1) of the FDC Act; however, an applicant submitting a traditional NDA would be required to conduct or obtain a right of reference to all of the non-clinical studies and adequate and well-controlled clinical trials necessary to demonstrate safety and effectiveness.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patent claiming a prescription drug or medical device for which FDA approval is granted may be eligible for a limited patent term extension under the FDC Act, which permits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eligible FDA-approved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or USPTO, reviews and approves the application for any patent term extension or restoration in consultation with the FDA.</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Rules and Regulations Relating to Companion or Complementary Diagnostics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success of one or more of our drug candidates may depend, in part, on the development and commercialization of either a companion diagnostic or a complementary diagnostic. Companion diagnostics and complementary diagnostics can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and complementary diagnostics are regulated as medical devices by the FDA. The level of risk associated with a new diagnostic test combined with available controls to mitigate risk determines whether a companion diagnostic device requires PMA approval from the FDA or if it can be cleared by the agency through the 510(k) premarket notification process based on a showing of substantial equivalence to a commercially available device. For a novel drug for which a companion diagnostic device is essential for the safe and effective use of the product, the companion diagnostic device should be developed and PMA-approved or 510(k)-cleared contemporaneously with the FDA’s approval of the drug. The use of the companion diagnostic device will be stipulated in the labeling of the drug, and vice versa.</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Rules and Regulations Relating to Coverage, Pricing, and Reimbursement for Prescription Pharmaceutical Products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Sales of pharmaceutical products approved for marketing by the FDA and foreign regulatory authorities will depend, in part, on the extent to which such products will be covered by insurance payors, such as government health programs, commercial insurance and managed care organizations. In the United States no uniform policy of coverage and reimbursement for human drug products exists. Accordingly, decisions regarding the extent of coverage and the amount of reimbursement to be provided for any of our future drugs will be made on a payor-by-payor basis. As a result, the coverage determination process is often a time-consuming and costly process that will require us to provide scientific and clinical support for the use of our drugs to each payor separately, with no assurance that coverage and adequate reimbursement will be obtained.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firstLine="509"/>
        <w:spacing w:after="0" w:line="251"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federal law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 The Medicaid Drug Rebate Program requires pharmaceutical manufacturers to enter into and have in effect a national rebate agreement with the Secretary of the Department of Health and Human Services, or HHS, as a condition for states to receive federal matching funds for the manufacturer’s outpatient drugs furnished to Medicaid patients. The Patient Protection and Affordable Care Act, or ACA, enacted in 2010, made several changes to the Medicaid Drug Rebate Program and expanded the universe of Medicaid utilization subject to drug rebates by requiring pharmaceutical manufacturers to pay rebates on Medicaid managed care utilization and by enlarging the population potentially eligible for Medicaid drug benefits. In addition,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that receive marketing approval in the future. However, any negotiated prices for future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0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maximum amount that a manufacturer may charge a 340B covered entity for a given product is the average manufacturer price, or AMP reduced by the rebate amount paid by the manufacturer to Medicaid for each unit of that product.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Pharmaceutical manufacturers, their vendors, and the federal agency responsible for administering the 340B program, HRSA, have been actively challenging various aspects of the program and litigation is pending in multiple jurisdictions. The outcome of such lawsuits, as well as potential legislative changes enacted by Congress or programmatic changes implemented at HRSA by the incoming Trump Administration, may impact the 340B program in the future.</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HHS has solicited feedback on various measures intended to lower drug prices and reduce the out-of-pocket costs of drugs and has implemented others under its existing authority. For example, in August 2022 President Biden signed into law the Inflation Reduction Act, or the IRA. Among other things, the IRA has multiple provisions that may impact the prices of drug products that are both sold into the Medicare program and throughout the United States starting in 2023, a manufacturer of drugs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is negotiating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entering into the first set of agreements with pharmaceutical manufacturers to conduct price negotiations in October 2023 and ultimately announcing the first round of negotiated prices for the first 10 drugs in August 2024; those negotiated “maximum fair prices” will be effective as of January 1, 2026 (payment year 2026). CMS is currently engaged in its second selection process and is expected to publish the next 15 drugs selected for negotiation in February 2025. However, the IRA’s impact on the pharmaceutical industry in the United States remains uncertain, in part because multiple large pharmaceutical companies and other stakeholders (e.g., the U.S.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720"/>
        <w:spacing w:after="0" w:line="282" w:lineRule="auto"/>
        <w:rPr>
          <w:sz w:val="20"/>
          <w:szCs w:val="20"/>
          <w:color w:val="auto"/>
        </w:rPr>
      </w:pPr>
      <w:r>
        <w:rPr>
          <w:rFonts w:ascii="Times New Roman" w:cs="Times New Roman" w:eastAsia="Times New Roman" w:hAnsi="Times New Roman"/>
          <w:sz w:val="18"/>
          <w:szCs w:val="18"/>
          <w:color w:val="auto"/>
        </w:rPr>
        <w:t>Chamber of Commerce) have initiated federal lawsuits against CMS arguing the program is unconstitutional for a variety of reasons, among other complaints. Those lawsuits are currently ongoing.</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In December 2020, the U.S. Supreme Court held unanimously that federal law does not preempt the states’ ability to regulate pharmacy benefit managers, or PBMs, and other members of the health care and pharmaceutical supply chain, an important decision that has led to further and more aggressive efforts by states in this area. In mid-2022, the FTC also launched sweeping investigations into the practices of the PBM industry and published an interim report with its findings in mid-2024 that could lead to additional federal and state legislative or regulatory proposals targeting such entities’ operations, pharmacy networks, or financial arrangements, including in the 2025-2026 congressional session. Significant efforts to change the PBM industry as it currently exists in the United States may affect the entire pharmaceutical supply chain and the business of other stakeholders, including pharmaceutical product developers like us.</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insurance payors fail to provide adequate coverage and reimbursement. We expect that the increasing emphasis on cost containment measures in the United States will continue to increase the pressure on pharmaceutical pricing. Coverage policies and insurance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medicinal product must be approved before it may be lawfully marketed. The requirements governing drug pricing and reimbursement vary widely from country to country. Some countries provide that drug products may be marketed only after a reimbursement price has been agreed.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Security Laws and Regulations and Patient Information Access Laws and Regulations Applicable to our Business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HIPAA and HITECH</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the Administrative Simplification provisions of the federal Health Insurance Portability and Accountability Act of 1996, or HIPAA, as amended by the federal Health Information Technology for Economic and Clinical Health Act, or HITECH, the U.S. Department of HHS has issued regulations, or HIPAA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As a clinical laboratory, we are acting as a covered entity and are subject to HIPAA and HITECH.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also known as “business associates.” As a general rule, a covered entity or business associate may not use or disclose PHI, except as permitted under the privacy regulations of HIPAA and HITECH.</w:t>
      </w:r>
    </w:p>
    <w:p>
      <w:pPr>
        <w:spacing w:after="0" w:line="18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Covered entities must also comply with the security regulations of HIPAA and HITECH, which establish requirements for safeguarding the confidentiality, integrity, and availability of electronic PHI. The HIPAA security regulations, or HIPAA Security Rule, require the implementation of administrative, physical, and technical safeguards and the adoption of written security policies and procedures. The HIPAA Security Rule is currently undergoing a proposed update, which, if implemented, will impose more stringent security measures on covered entities.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HITECH established, among other things, certain breach notification requirements with which covered entities must comply. In particular, a covered entity must report breaches of PHI that have not been encrypted or otherwise secured in accordance with guidance from the Secretary of HHS, or the Secretary. Required breach notices must be made as soon as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privacy or data security.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approximately $2.1 million per violation of the same requirement per calendar year (as of August 8, 2024, subject to annual inflation adjustments). A single breach incident may violate multiple requirements, resulting in potential penalties in excess of $2.1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 under HITECH. Further, to the extent that we submit electronic healthcare claims and payment transactions that do not comply with the electronic data transmission standards established under HIPAA and HITECH, payments to us may be delayed or denied.</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clinical laboratory services, we provide management and technology services to certain companies, institutions, and agencies that are covered entities and have entered into business associate agreements with these entities as business associates. In addition to being directly responsible for compliance with applicable HITECH Act requirements and HIPAA regulations as a business associate, we have contractually agreed to comply with HITECH and HIPAA Regulations; and in some instances, we have agreed to indemnify our covered entity clients if we breach our obligations with respect to these laws and regulations and/or in the event of a reportable breach of PHI.</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CMIA</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but do not supersede state laws that are more stringent or that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have implemented comprehensive privacy laws and regulations. The California Confidentiality of Medical Information Act, or CMIA, imposes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CCPA/CPRA</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or CCPA, and the California Privacy Rights Act, or CPRA, set forth a privacy framework for covered businesses by creating an expanded definition of personal information, establishing data privacy rights for California consumers and employees, imposing special rules on the collection of consumer data from minors, and creating a new and potentially severe statutory damages framework for businesses that violate the CCPA and/or fail to implement reasonable security procedures and practices to prevent data breaches. Although the CCPA does not directly apply to medical information covered by HIPAA or CMIA, certain other personal information that our business may collect and use, including through our direct-to-consumer Picture Genetics platform, is within the scope of the CCPA and does not fall under the CCPA exception. Additionally, the CPRA protects the rights of our employees who are California residents and provides the California Privacy Protection Agency, or CPPA, with the power to administer and enforce the CRPA and privacy rights in California. The CPPA has the power to levy fines and bring other enforcement actions and is in the process of implementing further regulations that could have operational impacts. In addition to California, 18 other states have passed similar privacy laws, including Colorado, Connecticut, Delaware, Florida, Indiana, Iowa, Kentucky, Maryland, Montana, Nebraska, New Hampshire, New Jersey, Oregon, Rhode Island, Tennessee, Texas, Utah, and Virginia. There are also several federal privacy proposals under consideration in Congress, and other states may introduce privacy legislation for consideration in 2025. These various privacy laws could impact our operations or that of our collaborators and business partners and impose new regulatory requirements and increase costs of compliance.</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Rules</w:t>
      </w:r>
    </w:p>
    <w:p>
      <w:pPr>
        <w:spacing w:after="0" w:line="121"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8"/>
          <w:szCs w:val="18"/>
          <w:color w:val="auto"/>
        </w:rPr>
        <w:t>The National Coordinator for Health Information Technology, or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need to continually engage in ongoing reviews of all potential practices that could be considered likely to interfere with access, exchange, or use of electronic health information, as those practices are prohibited by the Information Blocking Rule unless one of the exceptions outlined in the Information Blocking Rule applies. Among other things, the Information Blocking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40"/>
        <w:spacing w:after="0" w:line="269" w:lineRule="auto"/>
        <w:rPr>
          <w:sz w:val="20"/>
          <w:szCs w:val="20"/>
          <w:color w:val="auto"/>
        </w:rPr>
      </w:pPr>
      <w:r>
        <w:rPr>
          <w:rFonts w:ascii="Times New Roman" w:cs="Times New Roman" w:eastAsia="Times New Roman" w:hAnsi="Times New Roman"/>
          <w:sz w:val="18"/>
          <w:szCs w:val="18"/>
          <w:color w:val="auto"/>
        </w:rPr>
        <w:t xml:space="preserve">Rule requires us to provide patients with on-demand access to laboratory test results. These requirements can be inconsistent with our obligations under state law and/or medical or ethical standards. It is currently unclear how the ONC will approach delays in providing patient access in these situations. Health care providers, including laboratories, are subject to </w:t>
      </w:r>
      <w:r>
        <w:rPr>
          <w:rFonts w:ascii="Times New Roman" w:cs="Times New Roman" w:eastAsia="Times New Roman" w:hAnsi="Times New Roman"/>
          <w:sz w:val="18"/>
          <w:szCs w:val="18"/>
          <w:color w:val="2A2A2A"/>
        </w:rPr>
        <w:t>“disincentives” for violations of the Information Blocking Rule. HHS and ONC released a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rule establishing disincentives for health care providers that have committed information blocking on June 24, 2024, potentially affecting certain providers’ eligibility in the Medicare Promoting Interoperability Program and Medicare Shared Savings Program. HHS indicated it may establish additional health care provider disincentives in future rulemaking.</w:t>
      </w:r>
    </w:p>
    <w:p>
      <w:pPr>
        <w:spacing w:after="0" w:line="2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Laws and Other Laws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foreign privacy laws in the jurisdictions in which we sell our tests, and collect patient samples. The interpretation, application, and interplay of consumer and health-related data protection laws in the United States, Australia, Europe, and elsewhere are often uncertain, contradictory, and in flux. For example, the Privacy Act 1988 applies to personal data in Australia. Additionally, the General Data Protection Regulation, or GDPR, and Cybersecurity Directive applies to personal data in the European Union. These regulations introduced many changes to privacy and security in the European Union, including stricter rules on consent and security duties for critical industries, including for the health sector generally and for genetic data specifically. The interpretation of some rules continues to evolve in guidance from the main regulatory authority, the European Data Protection Board, and some requirements may be completed by national legislation. This makes it difficult to assess the impact of these foreign data protection laws on our business at this time.</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provides for fines of up to approximately $22 million or 4% of a group’s worldwide annual turnover for certain infringements. In addition, privacy regulations differ widely from country to country and are enforced by individual country data protection authorities, which have power to enforce privacy regulations. Various data protection authorities have issued fines in the millions of euros for violations of privacy laws.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states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legal and regulatory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 state or federal laws regarding privacy or security, could result in civil and/or criminal penalties and damages and could have a material adverse effect on our business.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many activities, including operational use of Artificial Intelligence, or AI, tools, we are subject to emerging regulations and guidelines. In December 2023, the European Commission, the Council, and the Parliament agreed on the provisional rules that will comprise the European Union’s Artificial Intelligence Act, the AI Act. This comprehensive EU AI Regulation is broad in scope, defines high-risk AI activities, and seeks to prohibit certain AI uses. The AI Act will potentially regulate entities that intend to utilize AI applications in the EU. Anticipated range of fines for entities that are found to violate the AI Act may reach up to EUR 35 million or up to 7% of the Company’s total worldwide annual turnover for the preceding financial year, whichever is higher. In the United States, more than thirty states regulate AI, or are considering proposed legislation that would regulate AI, including California, Georgia, Massachusetts, and Texas, where we conduct operations. Generally, such regulations aim to protect individuals such as consumers, employees, and/or job applicants from bias, discrimination, and invasion of privacy and to promote transparency with respect to use of AI by companies.</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the FTC recently published guidance for companies selling genetic testing products on securing DNA data and outlined enforcement priorities, anticipating close monitoring of genetic testing companies’ use of AI, including DNA algorithms. The FTC guidance instructs companies to safeguard consumers from potential detrimental effects of AI usage such as bias, invasion of privacy, and accuracy; notes that protection of genetic data is FTC’s top priority; and reminds companies to prepare notices regarding their collection, use, and disclosure of genetic information and to consider affirmative express consent requirements.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Numerous other federal, state, and foreign laws, including consumer protection laws and regulations, govern the collection, dissemination, use, access to, confidentiality and security of patient health information. In addition, Congress and some states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8"/>
          <w:szCs w:val="18"/>
          <w:color w:val="auto"/>
        </w:rPr>
        <w:t>considering new laws and regulations that further and more broadly protect the privacy and security of medical records or health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in certain instances,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applicable laws regarding the protection of such information.</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our vendors fail to comply with applicable data privacy or AI laws and directives,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is often updated or otherwise revised, which adds to the complexity of processing personal data in the European Union. In addition to the GDPR, other countries have enacted data protection legislation, which increase the complexity of doing international business and transferring sensitive personal information from those countries to the United States.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privacy and security of PHI and personally identifiable information stored, maintained, received, or transmitted, including electronically, including genetic data,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financial condition, prospects, reputation, and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Fraud and Abuse Laws Applicable to our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we must comply with various fraud and abuse laws, and we are subject to regulation by various federal, state, and local authorities, including CMS, other divisions of HHS (such as the Office of Inspector General of the Department of Health and Human Services, or OIG), the DOJ, individual U.S. Attorney’s Offices within the DOJ, and state and local governments. We also may be subject to foreign fraud and abuse laws in the European Union, Australia, Canada, Japan, Taiwan, and other foreign countries as a result of the sale of our diagnostic testing services to health care providers, medical institutions, and clinical laboratories located in such jurisdictions.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Fraud Statutes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in order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regardless of payor type.</w:t>
      </w:r>
    </w:p>
    <w:p>
      <w:pPr>
        <w:spacing w:after="0" w:line="19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in October 2018, the Eliminating Kickbacks in Recovery Act of 2018, or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federal Anti-Kickback Statute, EKRA is not limited to services covered by federal or state healthcare programs but applies more broadly to services covered by “healthcare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are inconsistent with the federal Anti-Kickback Statute and regulations. Significantly, EKRA permits the DOJ to issue regulations clarifying EKRA’s exceptions or adding additional exceptions, but such regulations have not yet been issued.</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are also U.S. federal laws related to healthcare fraud and false statements relating to healthcare matters. The healthcare fraud statute prohibits, among other things, knowingly and willfully executing a scheme to defraud any healthcare benefit program, including private payors. A violation of this statute is a felony and may result in fines, imprisonment or exclusion from government payor programs such as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also a felony and may result in fines, imprisonment or exclusion from government payor programs.</w:t>
      </w:r>
    </w:p>
    <w:p>
      <w:pPr>
        <w:spacing w:after="0" w:line="189"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in the ordinary course of our business, we conduct internal reviews of our compliance with these laws. However, the rapid growth and international expansion of our diagnostic testing business may increase the potential of violating these and applicable foreign fraud and abuse laws and regulations. Efforts to ensure that our internal operations and business arrangements with foreign clinical laboratories and other third parties comply with applicable laws and regulations will involve substantial costs. Any action brought against us or against our international employees, customers, or commercial partners for alleged violations of foreign laws or regulations, even if we successfully defend against such an action, could cause us to incur significant legal expenses and divert our management’s attention from the operation of our business.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False Claims Act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Another development affecting the U.S.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to the federal government. The qui tam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right="360"/>
        <w:spacing w:after="0" w:line="266" w:lineRule="auto"/>
        <w:rPr>
          <w:sz w:val="20"/>
          <w:szCs w:val="20"/>
          <w:color w:val="auto"/>
        </w:rPr>
      </w:pPr>
      <w:r>
        <w:rPr>
          <w:rFonts w:ascii="Times New Roman" w:cs="Times New Roman" w:eastAsia="Times New Roman" w:hAnsi="Times New Roman"/>
          <w:sz w:val="18"/>
          <w:szCs w:val="18"/>
          <w:color w:val="auto"/>
        </w:rPr>
        <w:t>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substantial per-claim civil penalties.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various states have enacted false claim laws analogous to the federal False Claims Act, although many of these state laws apply where a claim is submitted to any insurance payor and not merely a government payor program. We have also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We are cooperating with the DOJ in connection with this CID. See Note 8, </w:t>
      </w:r>
      <w:r>
        <w:rPr>
          <w:rFonts w:ascii="Times New Roman" w:cs="Times New Roman" w:eastAsia="Times New Roman" w:hAnsi="Times New Roman"/>
          <w:sz w:val="18"/>
          <w:szCs w:val="18"/>
          <w:i w:val="1"/>
          <w:iCs w:val="1"/>
          <w:color w:val="auto"/>
        </w:rPr>
        <w:t xml:space="preserve">Debt, Commitments and Contingencies </w:t>
      </w:r>
      <w:r>
        <w:rPr>
          <w:rFonts w:ascii="Times New Roman" w:cs="Times New Roman" w:eastAsia="Times New Roman" w:hAnsi="Times New Roman"/>
          <w:sz w:val="18"/>
          <w:szCs w:val="18"/>
          <w:color w:val="auto"/>
        </w:rPr>
        <w:t>to the Consolidated Financial Statements,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Law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federal Civil Monetary Penalties Law, or the CMP Law, prohibits, among other things, (1)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Referral Prohibitions Laws and Regulations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also subject to the U.S. federal law directed at “self-referrals,” commonly known as the “Stark Law,” which prohibits a physician from making referrals for certain designated health services, including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subject to substantial fines for each such arrangement or scheme. In addition, any person who presents or causes to be presented a claim to the Medicare program in violation of the Stark Law is subject to substantial civil monetary penalties of an assessment of up to three times the amount claimed and possible exclusion from participation in federal health care programs. The Stark Law is a strict liability statute, meaning that a physician’s financial relationship with a laboratory must meet an exception under the Stark Law, or the 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 Many states, including California, have comparable laws that are not limited to Medicare referrals. The Stark Law also prohibits state receipt of federal Medicaid matching funds for services furnished pursuant to a prohibited referral, but this provision of the Stark Law has not been implemented by regulations.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Sunshine Laws Applicable to our Business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U.S.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A number of states also have laws similar to the Sunshine Act.</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manufacture our own LDTs solely for use by or within our own laboratory, we believe we are exempt from these reporting requirements. We may become subject to such reporting requirements under the terms of current CMS regulations, however, if the FDA requires us to obtain premarket authorization for our tests as medical devices (whether because the agency determines that one or more of the tests do not fall within the scope of the agency’s existing LDT definition or because of its recently issued final rule to exercise authority over LDTs as medical devices) or Congress enacts legislative reforms to the federal oversight of LDTs to subject them to FDA regulation and/or the reporting requirements of the Sunshine Act. It is presently unknown how CMS will respond to the recently finalized FDA policy change to effectively render all LDTs medical device products under federal law, and whether or when it will assert that the Sunshine Act’s reporting requirements will begin to apply to the manufacturers of such LDTs. Given that litigation is ongoing between members of the clinical laboratory industry and FDA/HHS in relation to the May 2024 LDT final rule, it may be many months or even years before we have clarity on the applicability of state and federal Sunshine Act laws to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280"/>
        <w:spacing w:after="0" w:line="261" w:lineRule="auto"/>
        <w:rPr>
          <w:sz w:val="20"/>
          <w:szCs w:val="20"/>
          <w:color w:val="auto"/>
        </w:rPr>
      </w:pPr>
      <w:r>
        <w:rPr>
          <w:rFonts w:ascii="Times New Roman" w:cs="Times New Roman" w:eastAsia="Times New Roman" w:hAnsi="Times New Roman"/>
          <w:sz w:val="18"/>
          <w:szCs w:val="18"/>
          <w:color w:val="auto"/>
        </w:rPr>
        <w:t>Certain states also require medical device manufacturers to maintain compliance programs and/or be licensed as manufacturers or distributors by a state professional board or health department. Because the FDA’s now-in-effect final rule renders a clinical laboratory like ours a “medical device manufacturer,” we have begun the process of evaluating whether and to what extent those kinds of medical device-specific state requirements may be applicable to our operations.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including IVD medical devices, in particular vis-à-vis health care professionals and organizations. Additionally, there has been a recent trend of increased regulation of payments and transfers of value provided to health 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8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also may become subject to these requirements, as well as applicable state Sunshine Acts, if any therapeutic products currently in development are successfully approved by FDA, commercialized in the United States, and become eligible for reimbursement under a federal healthcare program such as Medicare or Medicaid.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Anti-Bribery Laws Applicable to our Business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FCPA</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Laws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 which became effective in July 2011,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 violation of the Bribery Act of 2010 faces imprisonment of up to 10 years and could be subject to an unlimited fine, as could commercial organizations for failure to prevent bribery.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Prohibitions on the Corporate Practice of Medicine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ours,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Although we have structured our management services arrangements with our affiliated professional corporations to comply with applicable state corporate practice of medicine laws, violation of these corporate practice of medicine laws may result in civil or criminal fines, as well as sanctions imposed against the business corporation and/or the professional through licensure proceedings.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Regulatory Requirements Applicable to our U.S. Laboratory Operations</w:t>
      </w:r>
    </w:p>
    <w:p>
      <w:pPr>
        <w:spacing w:after="0" w:line="12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Our facilities are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w:t>
      </w:r>
    </w:p>
    <w:p>
      <w:pPr>
        <w:spacing w:after="0" w:line="17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needlestick or similar penetrating injuries.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operating sustainably and have dedicated the last couple of years to establishing the proper foundation and internal functions that would enable us to monitor and grow our sustainability strategy. We placed our sustainability efforts and initiatives under the purview and oversight of the Nominating and Governance Committee. We have also implemented various policies that outline commitments and establish internal processes with respect to our sustainability efforts. Additionally, we established a sustainability working group, made up of members of our executive team and senior management.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At Fulgent, we prioritize a holistic view of protecting and preserving our precious natural resources, as outlined in our Climate Policy. We strive to incorporate climate-related risk assessments as part of our leadership team’s regular agenda. Our Board provides general oversight of energy management, climate risk and opportunities, strategy, and performance. The Board, through our sustainability working group, provides additional oversight on climate-related projects, goals, and related opportunities.</w:t>
      </w:r>
    </w:p>
    <w:p>
      <w:pPr>
        <w:spacing w:after="0" w:line="28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growing and retaining a strong team is crucial to our success. As of December 31, 2024, we had 1,313 (U.S. and international) full-time employees for our laboratory services business, engaged in precision diagnostic and anatomic pathology testing, BioPharma services, software engineering, laboratory management, sales and marketing, and corporate and administrative activities, and we have 19 (U.S.-based) full-time employees engaged in research and development for our therapeutic development business. We offer a comprehensive compensation program that is designed to attract and reward talented individuals who possess the skills necessary to support our business objectives, assist in the achievement of our strategic goals and create long-term value for our stockholders. We provide competitive salaries, equity-based compensation, and bonus programs. We also provide an expansive benefit offering including medical, dental, and vision healthcare coverage; life and accidental death and dismemberment coverage; optional legal, pet insurance, hospitalization, critical illness and accident coverage; insurance and disability coverage; 401(k) investment plans with Company matching; tax-advantaged savings accounts; paid time off and leaves of absence; and wellness programs. We provide added work-life balance to our employees through hybrid work arrangements. None of our employees are represented by a labor union or covered by collective bargaining agreements, and we believe our overall relationship with our employees is good.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persons currently serve as the directors and executive officers of Fulgent: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30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Ming Hsieh</w:t>
            </w:r>
          </w:p>
        </w:tc>
        <w:tc>
          <w:tcPr>
            <w:tcW w:w="63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Kim</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Hanlin (Harry) Gao, M.D., Ph.D., D.A.B.M.G., F.A.C.M.G.</w:t>
            </w:r>
          </w:p>
        </w:tc>
        <w:tc>
          <w:tcPr>
            <w:tcW w:w="63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 (James) Xie</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Regina (Reggie) Groves</w:t>
            </w:r>
          </w:p>
        </w:tc>
        <w:tc>
          <w:tcPr>
            <w:tcW w:w="63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Marsh</w:t>
            </w:r>
          </w:p>
        </w:tc>
        <w:tc>
          <w:tcPr>
            <w:tcW w:w="6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Nohaile, Ph.D.</w:t>
            </w:r>
          </w:p>
        </w:tc>
        <w:tc>
          <w:tcPr>
            <w:tcW w:w="63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648"/>
        </w:trPr>
        <w:tc>
          <w:tcPr>
            <w:tcW w:w="4940" w:type="dxa"/>
            <w:vAlign w:val="bottom"/>
          </w:tcPr>
          <w:p>
            <w:pPr>
              <w:spacing w:after="0"/>
              <w:rPr>
                <w:sz w:val="24"/>
                <w:szCs w:val="24"/>
                <w:color w:val="auto"/>
              </w:rPr>
            </w:pPr>
          </w:p>
        </w:tc>
        <w:tc>
          <w:tcPr>
            <w:tcW w:w="6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27</w:t>
            </w:r>
          </w:p>
        </w:tc>
      </w:tr>
      <w:tr>
        <w:trPr>
          <w:trHeight w:val="763"/>
        </w:trPr>
        <w:tc>
          <w:tcPr>
            <w:tcW w:w="49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Employee Training and Engagement</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dedicated and growing team of over 1,000 employees is a source of pride. They continuously work to expand our testing solutions and consistently provide the highest quality of care and accuracy. In an effort to recruit the best talent pool and to encourage the professional and personal development of every employee, we offer reimbursement for qualified educational expenses and successful completion of undergraduate, graduate, post-graduate, professional training, and licensure courses from accredited colleges, universities and professional organizations. In the past several years, employees have applied for a variety of courses, including Stanford Center for Professional Development, Google Project Management Courses, Clinical Genetic Molecular Biologist Scientist (CGMBS) Training Program, and Bachelor’s Degrees. We also provide mandatory training courses that we believe are important to our culture, corporate goals, our business and the continued development of our employees, on a variety of topics, including discrimination, harassment, HIPAA, insider trading, privacy, anti-corruption and anti-bribery, internally and/or through third-party providers. In 2024, we conducted a recurrent employee feedback survey and utilized the survey results to enhance employee engagement, implement various improvements to extend continuous learning opportunities and refine our benefit plans for 2025. In 2024, the Training &amp; Development team hosted a series of training sessions for team members, covering key topics such as “The Art of Giving and Receiving Feedback: 3 Part Series” and “Time Management Training: 3 Part Series”.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Workplace Safety and Health</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promoting a safe and healthy work environment, to establishing policies and procedures that support the safety program, and to fostering a workplace that is free from hazards, substance abuse, and violence. We currently operate five CLIA-certified and CAP-accredited labs across the United States. We seek to surpass the highest standards of diagnostic testing and to follow applicable safety laws and regulations. We encourage reporting of concerns across all of our physical locations. Because the health and safety of our employees is our priority, we have established policies and procedures aimed at reducing the risk of workplace injuries, and we provide regular training to all personnel on workplace safety. In 2024 and 2023, we had 16 and 15 recordable injuries,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and Affordability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top priority is the health of patients. We believe no one should have to sacrifice their health due to financial considerations or other reasons. We work hard to provide patients with access to quality diagnostic testing, regardless of their economic status. We provide numerous flexible and affordable pay options which include: acceptance of commercial insurance plans; availability of cash pricing at a discounted rate to make our tests more accessible; financial assistance resources based on various criteria for patients who are insured with commercial insurance but need additional financial help; a self-pay option for patients who do not meet insurance coverage policies for testing, have high-deductible plans, or have no insurance coverage; and our Compassionate Care Program, which offers financial assistance and non-interest payment plans for patients in the United States with no medical insurance and limited financial resources.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all of our stockholders immediately following the Reorganization.</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headquarters are located at 4399 Santa Anita Avenue, El Monte, California 91731. Our website address is </w:t>
      </w:r>
      <w:r>
        <w:rPr>
          <w:rFonts w:ascii="Times New Roman" w:cs="Times New Roman" w:eastAsia="Times New Roman" w:hAnsi="Times New Roman"/>
          <w:sz w:val="18"/>
          <w:szCs w:val="18"/>
          <w:i w:val="1"/>
          <w:iCs w:val="1"/>
          <w:color w:val="auto"/>
        </w:rPr>
        <w:t>www.fulgentgenetics.com</w:t>
      </w:r>
      <w:r>
        <w:rPr>
          <w:rFonts w:ascii="Times New Roman" w:cs="Times New Roman" w:eastAsia="Times New Roman" w:hAnsi="Times New Roman"/>
          <w:sz w:val="18"/>
          <w:szCs w:val="18"/>
          <w:color w:val="auto"/>
        </w:rPr>
        <w:t>. The information contained on or that can be accessed through our website is not part of and is not incorporated into this report by this reference.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any investment decision with respect to our common stock, you should carefully consider the risks described below, together with the other risk factors set forth in this Item 1A, all other information included in this report, and the other reports and documents filed by us with the SEC. The risk factors described below are a summary of the principal risk factors associated with an investment in us.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21" w:lineRule="exact"/>
        <w:rPr>
          <w:sz w:val="20"/>
          <w:szCs w:val="20"/>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attempted security incidents or breaches, loss of data, or other disruptions could expose us to material liability and materially and adversely affect our business, financial condition, and our reputation.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2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from period to period and can be difficult to predict.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sustain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relating to our goodwill and intangible assets could negatively affect our financial performance.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21" w:lineRule="exact"/>
        <w:rPr>
          <w:sz w:val="20"/>
          <w:szCs w:val="20"/>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also depends on our collection of payment for the tests we deliver, which we may not be able to do successfully.</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 We are also subject to governmental audits and investigations, such as the current HRSA Audit and CIDs, that could result in material refunds or settlements. Our business, prospects and financial condition may be adversely affected as the result of the current HRSA Audit and CIDs.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federal, state, local and foreign laboratory licensing requirements, we could lose the ability to perform our tests and experience material disruptions to our business.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our business practices, pay fines, incur significant expenses, or experience losses due to litigation or governmental investigations as a result of voluntary disclosure processes.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left="3063"/>
        <w:spacing w:after="0"/>
        <w:rPr>
          <w:sz w:val="20"/>
          <w:szCs w:val="20"/>
          <w:color w:val="auto"/>
        </w:rPr>
      </w:pPr>
      <w:r>
        <w:rPr>
          <w:rFonts w:ascii="Times New Roman" w:cs="Times New Roman" w:eastAsia="Times New Roman" w:hAnsi="Times New Roman"/>
          <w:sz w:val="18"/>
          <w:szCs w:val="18"/>
          <w:b w:val="1"/>
          <w:bCs w:val="1"/>
          <w:color w:val="auto"/>
        </w:rPr>
        <w:t>Risk Related to the Development of Drug Candidates</w:t>
      </w:r>
    </w:p>
    <w:p>
      <w:pPr>
        <w:spacing w:after="0" w:line="121" w:lineRule="exact"/>
        <w:rPr>
          <w:sz w:val="20"/>
          <w:szCs w:val="20"/>
          <w:color w:val="auto"/>
        </w:rPr>
      </w:pPr>
    </w:p>
    <w:p>
      <w:pPr>
        <w:ind w:left="503" w:right="68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are in early stages of development and may fail or suffer delays that materially and adversely affect their future commercial viability.</w:t>
      </w:r>
    </w:p>
    <w:p>
      <w:pPr>
        <w:spacing w:after="0" w:line="53" w:lineRule="exact"/>
        <w:rPr>
          <w:rFonts w:ascii="Times New Roman" w:cs="Times New Roman" w:eastAsia="Times New Roman" w:hAnsi="Times New Roman"/>
          <w:sz w:val="18"/>
          <w:szCs w:val="18"/>
          <w:color w:val="auto"/>
        </w:rPr>
      </w:pPr>
    </w:p>
    <w:p>
      <w:pPr>
        <w:ind w:left="503" w:right="140" w:hanging="503"/>
        <w:spacing w:after="0" w:line="25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drug candidate that we may attempt to develop, manufacture, or market in the United States will be subject to extensive regulation by the FDA, including regulations relating to development, preclinical testing, performance of clinical trials, manufacturing, and post-approval commercialization and will be subject to extensive regulations outside of the United States. Satisfaction of these and other regulatory requirements is costly, time-consuming,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w:t>
      </w:r>
    </w:p>
    <w:p>
      <w:pPr>
        <w:spacing w:after="0" w:line="75" w:lineRule="exact"/>
        <w:rPr>
          <w:sz w:val="20"/>
          <w:szCs w:val="20"/>
          <w:color w:val="auto"/>
        </w:rPr>
      </w:pPr>
    </w:p>
    <w:p>
      <w:pPr>
        <w:ind w:left="4063"/>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21" w:lineRule="exact"/>
        <w:rPr>
          <w:sz w:val="20"/>
          <w:szCs w:val="20"/>
          <w:color w:val="auto"/>
        </w:rPr>
      </w:pPr>
    </w:p>
    <w:p>
      <w:pPr>
        <w:ind w:left="503"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drug candidate we develop, our competitors could develop and commercialize products or technology similar to ours, and our ability to successfully commercialize any drug candidate we may develop, and our technology, may be adversely affected.</w:t>
      </w:r>
    </w:p>
    <w:p>
      <w:pPr>
        <w:spacing w:after="0" w:line="6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non-disclosure agreements, and invention assignment agreements to protect our proprietary information, which may not be effective.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or third-party claims of intellectual property infringement or misappropriation could require us to spend significant time and money and prevent us from selling our tests or developing drug candidates.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law could have a negative impact on our business.</w:t>
      </w:r>
    </w:p>
    <w:p>
      <w:pPr>
        <w:spacing w:after="0" w:line="117" w:lineRule="exact"/>
        <w:rPr>
          <w:rFonts w:ascii="Times New Roman" w:cs="Times New Roman" w:eastAsia="Times New Roman" w:hAnsi="Times New Roman"/>
          <w:sz w:val="18"/>
          <w:szCs w:val="18"/>
          <w:color w:val="auto"/>
        </w:rPr>
      </w:pPr>
    </w:p>
    <w:p>
      <w:pPr>
        <w:jc w:val="both"/>
        <w:ind w:left="503" w:right="26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issued patents covering drug candidates we develop could be found invalid or unenforceable if challenged in court or before administrative bodies in the United States or abroad.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products and services for an adequate amount of time.</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patent term extension and/or data exclusivity for any drug candidate that we may develop, our business may be materially harmed.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enforce our intellectual property rights outside the United States.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our employees or consultants have wrongfully used or disclosed confidential information or misappropriated trade secrets.</w:t>
      </w:r>
    </w:p>
    <w:p>
      <w:pPr>
        <w:spacing w:after="0" w:line="53"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 our rights, which may not be successful.</w:t>
      </w:r>
    </w:p>
    <w:p>
      <w:pPr>
        <w:spacing w:after="0" w:line="64" w:lineRule="exact"/>
        <w:rPr>
          <w:sz w:val="20"/>
          <w:szCs w:val="20"/>
          <w:color w:val="auto"/>
        </w:rPr>
      </w:pPr>
    </w:p>
    <w:p>
      <w:pPr>
        <w:ind w:left="4283"/>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121" w:lineRule="exact"/>
        <w:rPr>
          <w:sz w:val="20"/>
          <w:szCs w:val="20"/>
          <w:color w:val="auto"/>
        </w:rPr>
      </w:pPr>
    </w:p>
    <w:p>
      <w:pPr>
        <w:ind w:left="503" w:right="460"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trading market for our common stock may not be sustained, which could make it difficult for stockholders to sell their shares of our common stock.</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so any returns will be limited to the value of our common stock.</w:t>
      </w:r>
    </w:p>
    <w:p>
      <w:pPr>
        <w:spacing w:after="0" w:line="22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89"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Actual or attempted security incidents or breaches, loss of data, or other disruptions could expose us to material liability and materially and adversely affect our business, financial condition, and our reputation.</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sensitive data, including personal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and collect and store data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The secure processing, storage, maintenance, and transmission of this information is vital to our operations and business strategy, and we devote significant resources to protecting the confidentiality and integrity of this information. While we perform regular audits of our information systems security, we cannot audit our vendors, suppliers, and customers’ systems in the same way and cannot monitor containment or the spread of malware on those systems, with a potential resulting impact on our systems.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occasion, we do encounter attempted security incidents. To date, these incidents have not materially affected our business. While we are not currently aware of any cyber breaches, attacks, malicious software, or hardware that would materially and adversely affect our business, such security incident could be present in any of our or our subsidiaries’ systems or in the systems of our suppliers, customers, vendors, or contractors. When discovered, these incidents could cause us to suffer a material data breach. A breach or interruption could result in material legal claims or proceedings and could result in material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materially significant penalties, materially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have experienced fluctuations from period to period, which we expect may continue in the future. These fluctuations can occur because of a variety of factors, including, among others, the amount and timing of sales of our tests and testing services, the prices we charge for our tests and testing services, customer or payor mix, general price degradation for our tests and testing services or other competitive factors, the rate and timing of our billings and collections, our ability to obtain reimbursement for our tests from insurance payors, our ability to maintain a broad and flexible testing menu, the timing and amount of our commitments and other payments, and exchange rate fluctuations, as well as the other risk factors discussed in this report. Our results have been, and may in the future be, impacted by events that may not recur regularly, in the same amounts or at all in the future. For instance, in 2020, we developed and began offering a series of COVID-19 tests. We experienced substantial revenue growth in 2020 and 2021 due primarily to the sales of, and growing demand, for these COVID-19 tests, but we have seen a decrease in our COVID-19 revenue in recent years due to the decline in prevalence of COVID-19. The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we may not be able to sustain profitability.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a history of losses. Although we achieved profitability for the year ended December 31, 2022, we were not profitable for the years ended December 31, 2023 and 2024, and we may not again be profitable in any future periods. Further, our revenue levels may not grow at historical rates or at all. We may incur additional losses in the future. While we experienced significant profitability in connection with the sale of our COVID-19 tests in previous years, the demand for these tests has declined and, currently, we do not expect future material revenue from the sale of our COVID-19 tests and testing services. Even if there is a reoccurrence of demand for our COVID-19 tests or other substantial revenue growth, we may be unable to again manage our resources to effectively respond to this demand such that our revenues would again materially increase. Any losses would have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5" w:name="page36"/>
    <w:bookmarkEnd w:id="35"/>
    <w:p>
      <w:pPr>
        <w:ind w:right="140"/>
        <w:spacing w:after="0" w:line="266" w:lineRule="auto"/>
        <w:rPr>
          <w:sz w:val="20"/>
          <w:szCs w:val="20"/>
          <w:color w:val="auto"/>
        </w:rPr>
      </w:pPr>
      <w:r>
        <w:rPr>
          <w:rFonts w:ascii="Times New Roman" w:cs="Times New Roman" w:eastAsia="Times New Roman" w:hAnsi="Times New Roman"/>
          <w:sz w:val="18"/>
          <w:szCs w:val="18"/>
          <w:color w:val="auto"/>
        </w:rPr>
        <w:t>adverse effect on our stockholders’ equity and working capital, which could negatively impact our operations and your investment in the Company. A failure to sustain or grow our revenue levels and to maintain profitability may negatively affect our business, financial condition, results of operations and cash flows, and the market price of our common stock may decline or continue to decline.</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integrate any organizations or technology that we may acquire is subject to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successfully the personnel, information systems, technology, and operations of the acquired business;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maximize the potential financial and strategic benefits of the acquisition;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synergies of the acquired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of relationships with employees and clients as a result of any integration of new businesses and management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such as the impairment charge we incurred in the fourth quarter of 2023;</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on human resources and operating systems, procedures and controls;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future operating results as a result of the amortization of intangible assets.</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a business, which may be material, and any estimates we might make regarding any acquired contingent liabilities and the likelihood that these liabilities will materialize could differ materially from the liabilities actually incurred. These circumstances could materially harm our business, results of operations, and prospects.</w:t>
      </w:r>
    </w:p>
    <w:p>
      <w:pPr>
        <w:spacing w:after="0" w:line="29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We have previously and may again in the future acquire businesses or assets, form joint ventures, make investments in other companies or technologies, or establish other strategic relationships, any of which could harm our operating results or dilute our stockholders’ ownership. These transactions may be subject to federal and state anti-trust laws and regulations, and any failure to comply, or alleged failure to comply, with these laws and regulations, may adversely affect our business, operating results and prospects.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previously and may again in the future pursue acquisitions of complementary businesses or assets (such as our acquisitions of Cytometry Specialist, Inc. or CSI; Fulgent Pharma; and Symphony Buyer, Inc., or Inform Diagnostics), investments in other companies (such as our investment in Helio Health), technology licensing arrangements, joint ventures, or other strategic relationships. As an organization, we have relatively limited experience with respect to acquisitions, investments, or the formation of strategic relationships or joint ventures. If we pursue relationships with strategic partners or other strategic relationships, our ability to establish and maintain these relationships could be challenging due to several factors. Factors include competition with other testing companies and internal and external constraints placed on pharmaceutical and other organizations that limit the number and type of relationships they can establish with companies like ours. Moreover, we may not be able to identify or complete any future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finance any acquisitions, investments, joint ventures, or other strategic relationships, we may seek to raise additional funds through securities offerings, credit facilities, asset sales or collaborations, or licensing arrangements. To the extent these financing transactions call for the issuance of shares of our capital stock, our existing stockholder would experience dilution in their relative ownership of shares of our capital stock. Each of these methods of fundraising is subject to a variety of risks, including those discussed below under “Any inability to obtain additional capital when needed and on acceptable terms may limit our ability to execute our business plans, and our liquidity needs could be materially affected by market fluctuations and general economic conditions.”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 If we raise funds by issuing equity securities, our stockholders may experience substantial dilution.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consummation of future acquisitions may encounter scrutiny under federal and state antitrust laws. For example, our future acquisitions may be subject to notification under the Hart-Scott Rodino Antitrust Improvements Act of 1976 and to a waiting period and possible review by the DOJ and the FTC. Any delays, injunctions, conditions or modifications by any of these federal agencies could have a negative effect on us and result in the abandonment of all or part of otherwise attractive acquisition opportunities. There can be no assurance as to the cost, scope or impact on our business, results of operations, financial condition or prospects of the actions that may be required to obtain regulatory approvals. Further, even following completion of an acquisition, applicable government agencies may disagree with our interpretation of these complicated statutes and regulations. These disagreements, violations or alleged violations could result in significant civil or criminal penalties and/or equitable actions not in our favor. Any such circumstances, violations or alleged violations could have a material adverse effect on our business and substantially diminish the synergies and other advantages which we expect from such acquisition.</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mix of customers fluctuates from period to period, and our revenue is often concentrated among only a small number of customers, and the loss of or a reduction in sales to any of our customers could materially harm our business.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composition and concentration of our customer base often fluctuates from period to period, and in certain prior periods, a small number of customers accounted for a significant portion of our revenue. When customers who, to our knowledge, are under common control or otherwise affiliated with each other are aggregated, one of our customers contributed $62.6 million or 22% of our total revenue during the year ended December 31, 2024. We continue to see significant concentration in a single large customer. For this customer and for customers generally, tests are purchased on a test-by-test basis and not pursuant to any long-term purchasing arrangements. As a result, any or all of our customers, including affiliated customers or customers under common control who purchase large quantities of tests, could decide at any time to decrease, delay, or discontinue their orders from us, which could adversely affect our revenue. We believe some of these fluctuations in customer demand may be attributable, in part, to the nature of our business. Our traditional laboratory and testing services customers can experience significant volatility in their testing demand from period to period in the ordinary course of their operations and certain of these customers are experiencing significant financial distress. Demand fluctuations, particularly for any large customers, often have a significant impact on our period-to-period performance regardless of their cause.</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For instance, during 2023 and 2024, several projects for our BioPharma services clients were scaled back or terminated. This was primarily due to those clients experiencing significant financial distress, undergoing restructuring, shifting their focus, reacting to changing market dynamics, or concluding large clinical trials. We have also experienced recent growth in demand from fertility clinics and other laboratory customers as a result of our Beacon Expanded Carrier, or Beacon screen. However, if demand for IVF or other assisted reproductive technologies declines, demand for our Beacon tests and services may also decline. In light of the overturning of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the recent political climate and state court decisions, there is uncertainty regarding the potential regulatory treatment of embryos, which may cause demand for IVF, or other assisted reproductive technologies, to decline or to decline in certain jurisdictions. Further, if our laboratory customers decided to perform certain testing services internally, our business and results of operations could be materially and adversely harmed.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29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which could intensify further in the future, and we may fail to maintain or again increase our revenue levels or sustain profitability if we cannot compete successfully.</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operate our businesses in very competitive and evolving fields. While we believe that we compare favorably to these competitors, some of our competitors may have technical, competitive, or other advantages over us for the development of technologies and processes or greater experience in particular diagnostics or therapeutic development areas, and consolidation among pharmaceutical, diagnostic, and biotechnology companies can enhance these advantages.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 specifically, many of our competitors have longer operating histories, larger customer bases, larger research and development staffs, more expansive brand recognition, established manufacturing capabilities and facilities, deeper market penetration, substantially greater financial, technological and research and development resources and selling and marketing capabilities with established sales forces; and considerably more experience dealing with insurance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insurance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40"/>
        <w:spacing w:after="0" w:line="266" w:lineRule="auto"/>
        <w:rPr>
          <w:sz w:val="20"/>
          <w:szCs w:val="20"/>
          <w:color w:val="auto"/>
        </w:rPr>
      </w:pPr>
      <w:r>
        <w:rPr>
          <w:rFonts w:ascii="Times New Roman" w:cs="Times New Roman" w:eastAsia="Times New Roman" w:hAnsi="Times New Roman"/>
          <w:sz w:val="18"/>
          <w:szCs w:val="18"/>
          <w:color w:val="auto"/>
        </w:rPr>
        <w:t>commercial relationships with larger, well-established and well-financed companies, which may result in even more resources being concentrated among our competitors. Smaller or early-stage companies may also prove to be significant competitors, particularly through collaborative arrangements with large and established companies.</w:t>
      </w:r>
    </w:p>
    <w:p>
      <w:pPr>
        <w:spacing w:after="0" w:line="17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laboratory services competitors include dozens of companies focused on pathology, genetic, and diagnostic testing services, including specialty and reference laboratories that offer traditional single-gene and multi-gene tests. As such, we face intense competition from other life science, biotechnology, pharmaceutical, research and development, and diagnostic companies. This competition is subject to rapid change, could be significantly affected by new product or testing introductions, and may intensify further in the future. With respect to our research and development business,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 Our commercial opportunities could be reduced or eliminated if our competitors develop and commercialize products that are safer, more effective, less expensive, more convenient or easier to administer, or have fewer or less severe effects than any products that we may develop. Our competitors also may obtain FDA, European Medicines Agency, or EMA, or other regulatory approval for their products more rapidly than we may obtain approval for our products, which could result in our competitors establishing a strong market position before we are able to enter the market. Even if our drug candidates achieve marketing approval, they may be priced at a significant premium over competitive products if any have been approved by then. The key competitive factors affecting the success of our drug candidates are likely to be their efficacy, safety, and availability of reimbursement, and drugs or drug candidates may compare more favorably than our drug candidates. We may not be able to compete effectively against competitive organizations. If we are unable to compete effectively, this could have a material adverse effect on our business and results of operations.</w:t>
      </w:r>
    </w:p>
    <w:p>
      <w:pPr>
        <w:spacing w:after="0" w:line="3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perform our tests at our CLIA-certified laboratories in El Monte, California; Coppell, Texas; Needham, Massachusetts; Phoenix, Arizona; and Alpharetta, Georgia. Our laboratories and the equipment we use to perform our tests would be costly to replace and could require substantial lead time to replace and qualify for use. Additionally, any other laboratory facilities or equipment we may use could be damaged or rendered inoperable by severe weather events, natural disasters (which may be exacerbated by the effects of climate change), or man-made disasters which could render it difficult or impossible for us to perform our tests for some period of time. The inability to perform our tests or the backlog that could develop if a laboratory becomes inoperable for even a short time could result in adversely affected turnaround times,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9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Further, if we need to relocate from one laboratory facility to another laboratory facility or obtain additional laboratory space, we may have difficulty locating suitable space in a timely manner, on reasonable terms or at all. Even if acceptable space was available, it would be challenging, time-consuming, and expensive to obtain or transfer the licensure and accreditation required for a commercial laboratory like ours and the equipment used to perform our tests. These challenges are amplified as we maintain laboratory space outside the United States. If we are unable to obtain or are delayed in obtaining new laboratory space as needed, we may not be able to provide our existing tests, provide test results within acceptable turnaround times, or develop and launch new tests, which could result in harm to our business, reputation,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commercial courier delivery services to transport specimens to our laboratory facilities in a timely and cost-efficient manner, and if these delivery services are disrupted, our business could be materially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quickly and reliably deliver test results to our customers. We typically receive specimens from customers within days of shipment from the United States and outside the United States, or in some cases overnight, for analysis at our laboratory facilities. Disruptions in delivery service, whether due to labor disruptions, bad weather or natural disasters (including severe weather, fires or other natural events which may be exacerbated by climate change), labor strikes, work stoppages, or boycotts, pandemics or epidemics, terrorist acts or threats, force majeure events, or for other reasons, could adversely affect specimen integrity and our ability to process specimens in a timely manner, provide test results within acceptable turnaround times and otherwise service our customers. These circumstances could ultimately materially and adversely affect our reputation and our business. In addition, if we are unable to continue to obtain expedited delivery services on commercially reasonable terms, our operating results may be materially and adversely affected.</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firstLine="509"/>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portal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vulnerable to cybersecurity breaches, such as physical or electronic break-ins, computer viruses, ransomware attacks, phishing schemes, and similar disruptive events. Such incidents could cause significant downtime or failures of our systems or those used by our third-party service providers. Cyber-attacks come in many forms, including the deployment of harmful malware or ransomware, exploitation of vulnerabilities, phishing, social engineering, and other means to compromise the confidentiality, integrity, and availability of our information technology systems and confidential information. The techniques used by criminal elements to attack computer systems are sophisticated, change frequently and may originate from less regulated or remote areas of the world. Although we carry property, business interruption, and cyber liability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9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our computer systems are compromised, we could be subject to significant fines, damages, reputational harm, litigation, and enforcement actions, and we could lose trade secrets, the occurrence of any of which could materially harm our business, in addition to possibly requiring substantial and material expenditures of resources to remedy.</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suppliers and, in some cases, a sole supplier, for certain laboratory substances, equipment and other materials, and any delays or difficulties securing these materials could disrupt our laboratory operations and materially harm our business.</w:t>
      </w:r>
    </w:p>
    <w:p>
      <w:pPr>
        <w:spacing w:after="0" w:line="5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into our tests and testing services, which we refer to as reagents, as well as for the sequencers and various other equipment and materials we use in our laboratory operations. In particular, we rely on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on Leica Biosystems for an automated digital scanning solution to scale up the digital pathology operations; and on Abbott Laboratories for certain laboratory equipment, supplies and services for our FISH tests and testing services. Additionally, our therapeutic development business relies on ANP Technologies, Inc. for certain laboratory services, equipment, tools, and drug intermediates in connection with our research and development efforts. We do not have long-term agreements with most of our suppliers and, as a result, they could cease supplying these materials and equipment generally to us at any time due to an inability to reach agreement with us on supply terms, disruptions in their operations, a determination to pursue other activities or lines of business, or they could fail to provide us with sufficient quantities of materials that meet our specifications, among other reasons. These suppliers may also be affected by natural disasters such as extreme weather events, fires or flooding (which may be exacerbated as a result of climate change), pandemics and health events, and disruptions of the global supply chain. While there are several sequencer suppliers that we believe could replace Illumina, and while we believe that we have sufficient alternative suppliers for our other needs,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certain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our tests our operations could be materially disrupted; our anticipated turnaround times or ability to deliver our testing services in a timely manner could be adversely impacted; our development efforts may be delayed or interrupted; and our business, financial condition, results of operations and reputation could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the skill, experience, and performance of our executive management team and others in key leadership positions, especially Ming Hsieh, our founder, Chief Executive Officer and Chairman of our board of directors; Paul Kim, our Chief Financial Officer; Dr. Hanlin Gao, our Chief Scientific Officer and Laboratory Director; and Jian Xie, our President and Chief Operating Officer. Additionally, the success of our Fulgent Pharma business depends in large part on the skill, experience, and performance of Dr. Ray Yin, its President and Chief Scientific Officer. The continued efforts of these persons will be critical to us as we continue to develop our technologies and focus on growing our business. If we lose one or more of these key executives, we could experience difficulties maintaining our operations, including our ability to compete effectively, advance our technologies, develop new tests, and implement our business strategies. All of our executives and employees, including Messrs. Hsieh, Kim, and Xie; Dr. Yin; and Dr. Gao, are at-will, meaning either we or the executive may terminate his employment at any time. We do not carry key person insurance for any of our executives or other employees. In addition, we do not have long-term retention agreements in place with any of our executives or key employees.</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including our research and development programs, laboratory operations, and administrative functions, largely depend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reputation and business could be damaged by negative publicity.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been and may again be subject to negative publicity. Reputational risk, including as a result of negative publicity, is inherent in our business. Negative publicity can result from actual or alleged conduct in a number of areas, including legal and regulatory compliance, corporate governance, litigation, inadequate protection of health information, illegal or unauthorized acts taken by third parties that supply products or services to us, and the conduct of our employees or agents. In particular, COVID-19 and access to fertility services have been politically controversial topics, and our provision of COVID-19 testing and related services has subjected us to negative publicity and we may again be subject to negative publicity in connection with our testing services provided to fertility clinics or provided in support of assisted reproductive technology. Negative publicity can damage our reputation and business even if these statements about us are untrue. Damage to our reputation could adversely impact our ability to attract new and to maintain existing customers, employees, and business relationships. This damage and these circumstances may have a material adverse effect on our financial condition, prospects, and results of operations.</w:t>
      </w:r>
    </w:p>
    <w:p>
      <w:pPr>
        <w:spacing w:after="0" w:line="29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developing and marketing new tests or testing services, which could negatively impact our performance and prospects.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continue to expand our test and testing service offerings and develop and sell new tests and testing services and on our ability to expand our presence in new and existing markets, including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20"/>
        <w:spacing w:after="0" w:line="253" w:lineRule="auto"/>
        <w:rPr>
          <w:sz w:val="20"/>
          <w:szCs w:val="20"/>
          <w:color w:val="auto"/>
        </w:rPr>
      </w:pPr>
      <w:r>
        <w:rPr>
          <w:rFonts w:ascii="Times New Roman" w:cs="Times New Roman" w:eastAsia="Times New Roman" w:hAnsi="Times New Roman"/>
          <w:sz w:val="18"/>
          <w:szCs w:val="18"/>
          <w:color w:val="auto"/>
        </w:rPr>
        <w:t>presence in the molecular diagnostic and cancer testing markets. We may not be successful in launching or marketing any new tests we may develop; in expanding into any new or existing markets; and, even if we are successful, the demand for our tests or testing services could decrease or may not continue to increase at historical rates. Development of new tests and testing services is time-consuming and costly, as development and marketing of new tests and testing services often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or testing services for a variety of reasons, including failure of any proposed test to perform as expected, lack of validation or reference data for the test, or failure to demonstrate the utility of the test.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insurance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or testing services could negatively impact our ability to attract and retain customers, our revenue, and prospects.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development and use of AI presents risks and challenges that can impact our business, including by posing security risks to our confidential information, proprietary information, and personal data and could give rise to legal and/or regulatory actions, damage our reputation, or otherwise materially harm our business.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AI is increasingly being used in the biopharmaceutical, pharmaceutical, technology, and consumer health industries. We evaluate different AI technologies and identify areas where we can apply AI to improve our operations. We have developed and incorporated AI technology in certain of our products and services, including for digital pathology. Issues relating to the use of new and evolving technologies such as AI, machine learning, generative AI, and large language models, may cause us to experience perceived or actual brand or reputational harm, technical harm, competitive harm, legal liability, cybersecurity risks, privacy risks, compliance risks, security risks, ethical issues, and new or enhanced governmental or regulatory scrutiny, and we may incur additional costs to resolve such issues. Litigation or government regulation related to the use of AI may also adversely impact our ability to develop and offer products that use AI, as well as increase the cost and complexity of doing so. In addition, uncertainties regarding developing legal and regulatory requirements and standards may require significant resources to modify and maintain business practices to comply with U.S. and non-U.S. laws concerning the use of AI, the nature of which cannot be determined at this time. In addition, the European Union recently passed the Artificial Intelligence Act, whose regulations will be developed over the coming year and, in the United States, the recent Executive Order concerning AI may result in extensive new federal rule-making. Further, market demand and acceptance of AI technologies are uncertain, and we may be unsuccessful in our product development efforts.</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necessary, we plan to develop policies governing the use of AI to encourage appropriate use of AI by our employees, contractors, and authorized agents and that our assets, including intellectual property, competitive information, personal information we may collect or process, and customer information, are protected. Any failure by our personnel, contractors, or other agents to adhere to any policies that we may establish could violate confidentiality obligations or applicable laws and regulations, jeopardize our intellectual property rights, cause or contribute to unlawful discrimination, or result in the misuse of personally identifiable information or the injection of malware into our systems, any of which could have a material adverse effect on our business,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additional business, regulatory, political, operational, financial, and economic risks related to our international operations.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existing customer base includes international customers from a variety of geographic markets. As we expand our direct test sales in other countries, we are increasingly subject to varied and complex foreign and international laws and regulations, and as part of our expansion strategy, we aim to conduct targeted marketing outreach activities and, if opportunities arise, engage distributors or establish other types of arrangements, such as additional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internationally involves a number of risks, including, among others:</w:t>
      </w:r>
    </w:p>
    <w:p>
      <w:pPr>
        <w:spacing w:after="0" w:line="117" w:lineRule="exact"/>
        <w:rPr>
          <w:sz w:val="20"/>
          <w:szCs w:val="20"/>
          <w:color w:val="auto"/>
        </w:rPr>
      </w:pPr>
    </w:p>
    <w:p>
      <w:pPr>
        <w:ind w:left="1020" w:right="4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and regulations of multiple jurisdictions, which may be conflicting or subject to increasing stringency or other changes, including privacy and data protection regulations, tax laws, tariffs, employment laws, healthcare regulatory requirements, and other related approvals, including permitting and licensing requirements;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associated with the shipment of blood or other tissue specimens, including infrastructure conditions, transportation delays, and the impact of United States and local laws and regulations, such as export and import permit requirements or restrictions, tariffs, or other charges and other trade barriers, all of which involve increased risk related to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ind w:left="1020" w:right="80"/>
        <w:spacing w:after="0" w:line="261" w:lineRule="auto"/>
        <w:rPr>
          <w:sz w:val="20"/>
          <w:szCs w:val="20"/>
          <w:color w:val="auto"/>
        </w:rPr>
      </w:pPr>
      <w:r>
        <w:rPr>
          <w:rFonts w:ascii="Times New Roman" w:cs="Times New Roman" w:eastAsia="Times New Roman" w:hAnsi="Times New Roman"/>
          <w:sz w:val="18"/>
          <w:szCs w:val="18"/>
          <w:color w:val="auto"/>
        </w:rPr>
        <w:t>the trade policies of the current administration, which may threaten existing and proposed trade agreements and impose more restrictive U.S. export-import regulations that impact our business;</w:t>
      </w:r>
    </w:p>
    <w:p>
      <w:pPr>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joint venturers, or other arrangements we have or may establish, or by any distributors or other commercial partners we have engaged or may engage to obtain any regulatory approvals required to market, sell, and use our tests in various countries;</w:t>
      </w:r>
    </w:p>
    <w:p>
      <w:pPr>
        <w:ind w:left="1020" w:right="34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predicting the market for our tests and services generally and tailoring our test menu to meet varying customer expectations in different countries and territories;</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gaining market share in territories in which we do not have a strong physical presence or brand awareness;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obtaining protection for and enforcing our intellectual property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coverage and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trade accounts receivable and the impact of local and regional financial conditions on demand and payment for our tests;</w:t>
      </w:r>
    </w:p>
    <w:p>
      <w:pPr>
        <w:ind w:left="1020" w:right="18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such as those the global market is currently experiencing, which have and may increase costs for materials, supplies, and services;</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 conversions of currencies, and the risk of repatriation of certain foreign currencies;</w:t>
      </w:r>
    </w:p>
    <w:p>
      <w:pPr>
        <w:spacing w:after="0" w:line="9"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conflicts in the Ukraine and the Middle East and tensions between China and Taiwan; outbreak of disease; boycotts; and other business restrictions; and</w:t>
      </w:r>
    </w:p>
    <w:p>
      <w:pPr>
        <w:ind w:left="1020" w:right="12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could significantly harm our existing relationships with international customers or derail our international expansion plans, which would cause our revenue and results of operations to suffer. Our international business activities are subject to U.S. economic and trade sanctions, which restrict or otherwise limit our ability to do business in certain designated countries.</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exposed to a number of additional risks and challenges related to our joint venture in China. These risks include, among others, difficulties predicting the market for genetic testing in Asia; competitive factors in this market, including challenges securing market share; trade wars and tariffs; local differences in customer demands and preferences and the regulatory environment and regulatory requirements; the interpretation or enforcement of laws, regulations, and rules in China and many of the other risks of doing business internationally that are discussed above. Although we believe this joint venture could result in expanded long-term opportunities to address the genetic testing market in Asia, this belief could turn out to be wrong, and we may never realize these or any other benefits we anticipate from our joint venture. Moreover, any joint venture we may seek to establish may never produce sufficient revenue for us to recover our capital and other investments in the joint venture, and we could become subject to liabilities based on our involvement in the joint venture’s operations. The materialization of any of these risks could materially harm our performance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sued for product or professional liability, we could face substantial liabilities that exceed our resources.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depends on our ability to provide reliable and accurate test results, including tests that incorporate rapidly evolving information about the role of genes and gene variants in disease and clinically relevant outcomes associated with these variants or pathology services and testing that often rely on human interpretation. Substantial judgment is often required in order to interpret the results of each test we perform and to produce a report summarizing these results. This is particularly true for our pathology testing services. Errors, such as failures to detect genomic variants with high accuracy, or mistakes, such as failures to completely and correctly identify the significance of gene variants, abnormal cells or to detect disease,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Fulgent Pharma’s business involves the testing of new drugs on patients in clinical trials and will continue to involve the additional testing of drugs on patients in the future. Our involvement in the clinical trials and development process creates a risk of liability for personal injury to or death of patients, particularly those with life-threatening illnesses, resulting from adverse reactions to the drugs administered during testing or after product launch, respectively. Although we maintain the types and amounts of insurance we view as customary and appropriate in the industries and countries in which we operate, if we are required to pay significant damages or incur significant defense costs in connection with any personal injury claim that is outside the scope of indemnification agreements we have with our clients, if any indemnification agreement is not performed in accordance with its terms or if our liability exceeds the amount of any applicable indemnification limits or available insurance coverage, our financial condition, results of operations and reputation could be materially and adversely affected.</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insurance coverage is increasingly expensive and difficult to obtain. Inability to obtain or maintain sufficient insurance coverage at an acceptable cost or to otherwise protect against potential product or other legal or administrative liability claims could prevent or inhibit customer relationships, the clinical development, commercial production, and sale of any of our products and drug candidates, which could adversely affect our business.</w:t>
      </w:r>
    </w:p>
    <w:p>
      <w:pPr>
        <w:spacing w:after="0" w:line="2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expect our capital expenditures and operating expenses to increase over the next several years as we seek to expand our infrastructure, other commercial operations, and research and development activities. As of December 31, 2024, we had cash, cash equivalents, and marketable securities of approximately $828.6 million. We may seek to fund future cash needs through securities offerings, credit facilities, or other debt financings, asset sales, collaborations or licensing arrangements. Additional funding may not be available to us when needed, on acceptable terms or at all. For example, the COVID-19 pandemic initially caused extreme disruption and volatility in the global capital markets followed by a period of high market demand for life science and diagnostic company equities and then a period of less demand for these equities in 2022, 2023, and 2024. These circumstances and high volatility in capital markets generally may reduce our ability to access capital and/or adversely affect the stability of the depository institutions maintaining our assets.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unable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has and may again materially and adversely affect us by materially increasing our costs.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recent years, inflation has increased throughout the United States economy. Inflation has adversely affected us and may again adversely affect us by materially increasing the costs of clinical trials and research, the development of our tests and drug candidates, administration, and other costs of doing business. We have and may again experience material increases in the prices of labor and other costs of doing business. In an inflationary environment, cost increases may materially outpace our expectations, causing us to use our cash and other liquid assets faster than forecasted.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1"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We have incurred and expect to continue to incur significant expenses and devote substantial management effort toward compliance with the auditor attestation requirements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34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Although we have implemented systems, processes and controls and performed this evaluation as of the end of 2024, we will need to maintain and enhance these controls if and as we grow. Moreover, we may need to hire additional personnel and devote more resources to our financial reporting function in order to do so, which will increase our operating expenses.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one or more material weaknesses is identified during the process of evaluating our internal controls or if we do not detect errors on a timely basis, our financial statements may be materially misstated. In addition, in that event, our management would be unable to conclude that our internal control over financial reporting is effective. In addition, we are required to include an attestation report on internal control over financial reporting issued by our independent registered public accounting firm. Any failure to develop or maintain effective controls, or any difficulties encountered in their implementation or improvement, could materially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are required to include in our periodic reports that will be filed with the SEC. 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investments in marketable securities are subject to certain risks which could affect our overall financial condition, results of operations, or cash flows.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invest a portion of our available cash and cash equivalents by purchasing marketable securities in a managed portfolio and direct investments in a variety of debt securities, including corporate debt securities, municipal bonds, U.S. government and agency debt securities, and debt instruments issued by foreign governments. The primary objective of our investment activity is to maintain the safety of principal, preserve capital and provide for future liquidity requirements while maximizing yields without significantly increasing risk. Should any of our investments or marketable securities lose value or have their liquidity impaired, it could materially affect our overall financial condition. Additionally, should we choose or are required to sell these securities in the future at a loss, our consolidated operating results or cash flows may be materially and adversely affected.</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maintain our cash, cash equivalents, and marketable securities with high quality, accredited financial institutions. However, some of these accounts exceed the Federal Deposit Insurance Corporation, or FDIC, insurance limit of $250,000 and, while we believe the Company is not exposed to significant credit risk due to the financial strength of these depository institutions or investments, if any such depositary institution fails to return our deposits, or if a depository institution is subject to other adverse conditions in the financial or credit markets, this could further impact access to our invested cash or cash equivalents and could adversely impact our operating liquidity and financial performance. Further, the failure or collapse of one or more of these depository institutions or default on these investments could materially adversely affect our ability to recover these assets and/or materially harm our financial condition.</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been the subject of a shareholder class action, which was dismissed without prejudice; and we may be subject to further shareholder litigation in the future; our costs of defending such litigation, arbitration, and other proceedings and any adverse outcome of such litigation, arbitration, or other proceeding may have a material adverse effect on our business and the results of our operations.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been, and may from time to time in the future be, involved in and subject to material litigation and other legal proceedings, including shareholder litigation. These proceedings may not always resolve in our favor and may materially and adversely affect our business. While the recent shareholder class action was dismissed, it was dismissed without prejudice, so there is no assurance that another complaint may not be filed in the future. Regardless of outcome, litigation can have an adverse impact on us due to defense and settlement costs, diversion of management resources, negative publicity, and reputational harm, among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uncertainty may have an adverse impact on our operating performance and results of operations.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United States continues to experience significant political events that cast uncertainty on global financial and economic markets, especially in light of the new administration. It is presently unclear exactly what actions the new administration in the United States will implement, and if implemented, how these actions may impact the pharmaceutical and diagnostics industries in the United States. Any actions taken by the new administration may have a negative impact on the United States economies and on our business, financial conditions,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 relating to our goodwill and intangible assets could negatively affect our financial performance.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previously and may again in the future pursue acquisitions of complementary businesses or assets, and we may not realize all the economic benefit from those acquisitions, which could cause an impairment of goodwill or intangibles. We assess goodwill and indefinite-lived intangibles for impairment at least annually or whenever events or changes in circumstances indicate the carrying value may not be recoverable. Events and conditions that could result in an impairment of our goodwill and intangible assets include a decline in our stock price and market capitalization, reduced future cash flow estimates, slower growth rates in industry segments in which we participate, or other factors leading to reduction in expected long-term growth or profitability. We may be required to record a significant charge in our consolidated financial statements during the period in which any impairment of our goodwill or amortizable intangible assets is determined, which may negatively affect our financial condition and results of operations. For example, during our fiscal 2023 annual goodwill impairment analysis, we fully impaired goodwill of $71.8 million associated with the acquisition of Inform Diagnostics, $27.5 million associated with the acquisition of CSI, and $21.0 million associated with the restructuring of Fujian Fujun Gene Biotech Co., Ltd., or FF Gene Biotech, which was principally driven by a sustained decline in our market price and capitalization.</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Changes in financial accounting standards or practices may cause adverse, unexpected financial reporting fluctuations and affect our reported operating results.</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or U.S. GAAP, is subject to interpretation by the Financial Accounting Standards Board, or FASB,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incur costs and demands upon management as a result of complying with the laws and regulations affecting public companies in the United States, which may adversely affect our operating results.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LLC,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these laws, regulations and standards, we fail to comply, regulatory authorities may initiate legal proceedings against us, and our business may be harmed. As previously disclosed and as set forth in Note 8 “</w:t>
      </w:r>
      <w:r>
        <w:rPr>
          <w:rFonts w:ascii="Times New Roman" w:cs="Times New Roman" w:eastAsia="Times New Roman" w:hAnsi="Times New Roman"/>
          <w:sz w:val="18"/>
          <w:szCs w:val="18"/>
          <w:i w:val="1"/>
          <w:iCs w:val="1"/>
          <w:color w:val="auto"/>
        </w:rPr>
        <w:t>Debt, Commitments and Contingencies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we are under investigation by the SEC for certain alleged violations of securities laws. While we do not believe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recommendation is warranted and deny all liability, we have recorded a $1.0 million potential liability with respect to this matter. The actual amount of liability, if any, may be materially higher than this estimate, as discussions are ongoing and there is no formal settlement or final resolution of this matter at this time.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these laws, regulations and standards, it might also be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U.S. federal government contracts are generally subject to terms more favorable to the customer than commercial contracts. If the U.S. federal government significantly decreased or ceased doing business with us, our business, financial condition and results of operations would be materially and adversely affected.</w:t>
      </w:r>
    </w:p>
    <w:p>
      <w:pPr>
        <w:spacing w:after="0" w:line="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2024, we were awarded a contract by the U.S. Department of Veterans Affairs, or VA, to provide hereditary cancer, pharmacogenetic and other genetic testing to veterans and to their family members. We are also party to a number of other government contracts.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U.S. federal government contracts, including our contract with the VA, generally contain provisions and are subject to laws and regulations that give the federal government rights and remedies not typically found in commercial contracts, including provisions permitting the federal government to:</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potential future income from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federal government or with any specific government agency;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penalties;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multiple year contract.</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U.S. federal government may also terminate a contract either “for convenience” (for instance, due to a change in its perceived needs or its desire to consolidate work under another contract) or if a default occurs by failing to perform under the contract. If the federal government terminates a contract for convenience, we generally would be entitled to recover only our incurred or committed costs, settlement expenses and profit on the work completed prior to termination. If the federal government terminates a contract based upon a default, we generally would be denied any recovery for undelivered work, and instead may be liable for excess costs incurred by the federal government in procuring undelivered items from an alternative source and other damages as authorized by law. In addition, many government contracts are awarded through a rigorous competitive process, which may emphasize price over other qualitative factors. The U.S. federal government has increasingly relied upon multiple-year contracts with multiple contractors that generally require those contractors to engage in an additional competitive procurement process for each task order issued under a contract. This process may result in us facing significant additional pricing pressure and uncertainty and incurring additional costs. Further, to the extent our performance under a contract does not meet a government agency’s expectations, the customer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suspend or debar from contracting with the federal government or any significant agency, including the VA. These various uncertainties, restrictions, and regulations by government authorities as well as profit and cost controls, could have a material adverse impact on our business, financial condition and results of operations.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or sustain profitability also depends on our collection of payment for the tests we deliver, which we may not be able to do successfully.</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insurance payors do not provide coverage and adequate reimbursement for our tests and testing services, our potential for growth and our ability to collect revenue for these tests and testing services could be limited and our results of operations may be materially and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Coverage and reimbursement by insurance payors, including managed care organizations, other private health insurers and government healthcare programs, such as Medicare and Medicaid, for the types of tests we perform can be limited and uncertain. Our customers may not order our tests or testing services unless insurance payors cover and provide adequate reimbursement for a substantial portion of the price of the tests. If we are not able to obtain coverage and an acceptable level of reimbursement for our tests from insurance payors, the patient for whom the test is ordered typically will owe a greater co-insurance, deductible or co-payment amount or may be expected to pay the entire cost of the test out-of-pocket, which could dissuade practitioners from ordering our tests and, if ordered, could result in a delay in or decreased likelihood of collecting payment, whether from patients or from insurance payors. We believe our ability to increase the amount of tests and testing services we sell to our healthcare provider customers and any corresponding revenue depends in part on our ability to achieve and maintain broad coverage and reimbursement for our tests from insurance payors.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Coverage and reimbursement by an insurance payor depend on a number of factors, including a payor’s determination that a test or testing service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insurance payors with respect to establishing payment rates for various procedures, including our tests, is complex, does not currently adapt well to the tests we perform and may not enable coverage and adequate reimbursement rates for our tests. If physicians fail to provide appropriate diagnosis codes for tests that they order, we may not be reimbursed for our tests. Additionally, if we are not able to obtain sufficient clinical information in support of our tests, insurance payors could designate our tests as experimental or investigational and decline to cover and reimburse our tests because of this designation. As a result of these factors, obtaining approvals from insurance payors to cover our tests and testing services and establishing adequate reimbursement levels is an unpredictable, challenging, time-consuming and costly process, and we may never be successful.</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date, we have contracted directly with national health insurance companies to become an in-network provider and enrolled as a supplier in the Medicare program and a provider in some state Medicaid programs, and we have also received payment for our tests from other insurance payors as an out-of-network provider. Although becoming an in-network provider or enrolling as a supplier or provider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increases in our customer base or the number of tests we sell.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insurance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 We are also subject to governmental audits and investigations that could result in material refunds or settlement. Our business, prospects and financial condition may be adversely affected as the result of the current HRSA Audit and CIDs.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governing the submission of claims for payment for our services, such as those relating to: coverage of our tests and testing services under Medicare, Medicaid, HRSA, and other state, federal and foreign healthcare programs; the amounts that we may bill for our services; and the party to which we must submit claims. Our failure to comply with applicable laws and regulations could result in our inability to receive payment for our services or in attempts by state and federal healthcare programs, such as HRSA, Medicare and Medicaid, to recover payments already made. Submission of claims in violation of these laws and regulations, identified through an audit or through the Company’s control processes, can result, as noted above, in recoupment of payments already received, substantial civil monetary penalties, and exclusion from state and federal healthcare programs, and can subject us to liability under the federal False Claims Act and similar laws. The failure to report and return 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t>overpayment to the Medicare or Medicaid programs within 60 days of identifying its existence can give rise to liability under the False Claims Act. Further, a government agency could attempt to hold us liable for causing the improper submission of claims by another entity for services that we performed. Similar to other laboratories in the industry, the Company is currently being audited by HRSA with respect to its reimbursement for COVID-19 tests furnished to patients believed to be uninsured.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We have also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In addition, we have also received a CID issued by the DOJ related to the DOJ’s investigation as to whether we submitted or caused to be submitted false claims to the Uninsured Program. We are fully cooperating with the DOJ in connection with the CIDs that we have received and in connection with the HRSA audit. We cannot currently predict when these CIDs and HRSA audit matters will be resolved, the reasonable or likely outcome of these matters, or their potential impact, which may materially and adversely affect our business, prospects, and financial condition. These matters are not formal claims and discussions and investigations remain ongoing. As such, we cannot reasonably estimate the loss or range of loss, if any, that may result from any material government investigations, audits, and reviews in which we are currently involved, given the inherent difficulty in predicting regulatory action, fines and penalties, if any, and the various remedies and levels of judicial review available to us in the event of an adverse finding.</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for additional information.</w:t>
      </w:r>
    </w:p>
    <w:p>
      <w:pPr>
        <w:spacing w:after="0" w:line="3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Billing and collection processing for our tests is complex and time-consuming, and any delay in transmitting and collecting claims could have an adverse effect on our revenue.</w:t>
      </w:r>
    </w:p>
    <w:p>
      <w:pPr>
        <w:spacing w:after="0" w:line="5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may bill various different parties for our tests. This includes billing customers directly, as in the case of our hospital and other medical institution customers, as well as billing through Medicare, Medicaid, insurance companies and patients, all of which may have different billing requirements. We face increasing risks in our collection efforts due to the complexities of these billing requirements, including long collection cycles and lower collection rates, which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make this billing process complex,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restrictions in our customer contracts that may limit our ability to utilize certain third-party billing service providers;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payors as to which party is responsible for payment;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payors and the effect of patient co-payments or co-insurance;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07"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We have developed internal systems and procedures to handle these billing and collection functions, and have contracted with third-party providers as needed to assist in our collection efforts, but these systems and internal and external collection functions may fail or may fail to operate as we intend, particularly as billing for many of our tests from insurance payors is a very complex process. As a result, these billing complexities, along with the related uncertainty in obtaining payment for our tests, could negatively affect our revenue and cash flows,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spacing w:after="0" w:line="5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have no significant regulatory or judicial interpretations of these laws and regulations. Pursuant to its authority under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8"/>
          <w:szCs w:val="18"/>
          <w:color w:val="auto"/>
        </w:rPr>
        <w:t>federal FDC Act, the FDA has jurisdiction over medical devices, including IVDs,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Although the FDA has statutory authority to assure that medical devices and IVDs, including potentially our tests, are safe and effective for their intended uses, the FDA had historically exercised enforcement discretion and not enforced applicable provisions of the FDC Act and regulations with respect to LDTs, which are a particular type of medical device. We market our tests as LDTs and may, in the future, market other tests as LDTs. However, in May 2024, the FDA issued a final rule aimed at regulating LDTs under the current medical device framework and phasing out its existing enforcement discretion policy for this category of diagnostic tests over several years. The effective date of the agency’s final rule was July 5, 2024.</w:t>
      </w:r>
    </w:p>
    <w:p>
      <w:pPr>
        <w:spacing w:after="0" w:line="18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agency’s final rule provides that the LDT enforcement policy phase-out process would occur in gradual stages over a total period of four years, with pre-market approval applications for high-risk tests to be submitted by the three-and-a-half-year mark. Moderate-risk and low-risk tests are expected to be in compliance at the four-year mark, although FDA has stated that if premarket submissions are pending review it will continue to exercise enforcement discretion with respect to those tests.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Of potential relevance is the agency’s position on LDTs that were marketed prior to the official publication date of the final rule. Such “currently marketed” tests are subject to many of the device regulatory controls but are exempt from the premarket review and FDA authorization requirements (unless or until significant modifications are made to such “currently marketed” tests). Similarly, FDA has created a partial enforcement discretion policy for tests approved by the New York’s Department of Health, Clinical Laboratory Evaluation Program, or CLEP, whereby such tests also do not need to undergo FDA premarket review but must come into compliance with all other device general controls in a stagged fashion between 2025 and 2027. We have begun the process of evaluating the final rule’s potential impact on our tests, our operations, and our business more generally.</w:t>
      </w:r>
    </w:p>
    <w:p>
      <w:pPr>
        <w:spacing w:after="0" w:line="19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May 29, 2024, ACLA and one of its members filed a complaint against the FDA in the Eastern District of Texas, alleging that the agency does not have authority to promulgate the LDT final rule and seeking to vacate the FDA’s action. A second lawsuit was also filed against FDA by AMP on August 19, 2024 in the Southern District of Texas, and subsequently the two cases were consolidated into a single action pending in the Eastern District of Texas. Briefing is ongoing in the consolidated case, and the outcome of such litigation is uncertain. The litigation could potentially affect FDA’s plans to implement these new LDT requirements, making the potential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Affected stakeholders also continue to press for a comprehensive legislative solution to create a harmonized paradigm for oversight of LDTs by both the FDA and CMS, instead of implementation of the proposed FDA administrative action,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FDA prevails in the Texas litigation and is able to fully implement the multi-year phase-in plan for the LDT final rule or Congress enacts comprehensive legislation to regulate in vitro diagnostics that moots the need for the LDT final rule, or if the FDA disagrees with our assessment that our tests meet the criteria to be marketed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authorization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the test’s indications for use, and they may not be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while we qualify the materials used in our tests and testing services in accordance with the regulations and guidelines of CLIA, the FDA could promulgate regulations or make policy decisions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applicable federal, state, local and foreign laboratory licensing requirements, we could lose the ability to perform our tests and experience material disruptions to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CLIA, a federal law that establishes quality standards for all laboratory testing and is intended to ensure the accuracy, reliability, and timeliness of patient results. CLIA requires that we hold a certificate specific to the categories of laboratory testing that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healthcare programs, as well as many private insurance payors, for our tests. We have obtained CLIA certification to conduct our tests at our laboratories in El Monte, California; Coppell, Texas; Needham, Massachusetts; Phoenix, Arizona; and Alpharetta, Georgia.</w:t>
      </w:r>
    </w:p>
    <w:p>
      <w:pPr>
        <w:spacing w:after="0" w:line="187"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In addition, we elect to have our laboratories accredited by CAP. CMS has deemed CAP standards to be equally or more stringent than CLIA regulations and has approved CAP as a recognized accrediting organization. Inspection by CAP is performed in lieu of inspection by CMS for CAP-accredited laboratories. Because we are accredited by CAP,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83"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also required to maintain a license to conduct testing in California. California laws establish standards for day-to-day operation of our clinical reference laboratory in El Monte, including with respect to the training and skills required of personnel, quality control and proficiency testing requirements. In addition, because we receive test specimens originating from New York, we have obtained a state laboratory permit for our California laboratory from the New York State Department of Health, or DOH. The New York state laboratory laws and regulations are equal to or more stringent than CLIA. In addition, the laboratory director must maintain a Certificate of Qualification issued by New York’s DOH in permitted categories.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on-site routine and complaint-driven inspections under California state laboratory laws and regulations. If we are found to be out of compliance with California requirements, the CA Department of Public Health may suspend, restrict or revoke our license or laboratory permit, and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continue to expand international utilization of our tests or if jurisdictions in which we pursue operations adopt new or modified licensure requirements for U.S.-based clinical laboratories offering and providing diagnostic testing services to professionals located in those jurisdictions. Foreign licensure requirements could require review and modification of our tests in order to offer them in certain jurisdictions or could impose other limitations, such as restrictions on the domestic transport or importation of human blood or other tissue necessary for us to perform our tests that may limit our ability to make our tests more widely available outside the United States. Additionally, complying with licensure requirements in new jurisdictions may be expensive, time-consuming and subject us to significant and unanticipated delays.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91"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Failure to obtain necessary foreign regulatory approvals or certifications may adversely affect our ability to expand our operations internationally.</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important part of our business strategy is to expand and offer our tests internationally, with patient specimens collected by laboratory and health care professional customers in foreign countries for processing by our California laboratory. As we continue to expand our diagnostic offerings into new markets, including in Australia, we will become increasingly subject to or impacted by the regulatory requirements of foreign jurisdictions, which are varied and complex. Our tests, and certain components of our tests, may be subject to the regulatory approval requirements in each foreign country in which they are sold by us or a laboratory partner, and our future performance may depend in part on obtaining any necessary regulatory approvals in a timely manner. For example, we are in the process of obtaining a CE Mark from the European Commission for certain IVDs being offered to customers in Europe. We are also in the process of obtaining NATA accreditation in Australia.</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occasionally required to address inquiries from regulatory authorities in various countries, such as those in the European Union, regarding the regulatory status of our diagnostic test offerings. If we do not continue to satisfactorily address any such questions in the future, we may be required to cease offering our products in the relevant country. This may in turn result in similar concerns, and subsequent cessation of our sources of revenue, in other countries.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Regulatory approval can be a lengthy, expensive and uncertain process. In addition, regulatory processes are subject to change, and new or changed regulations can result in unanticipated delays and cost increases. For example, the European Commission’s modernized regulations for in vitro diagnostic products, the IVDR, became effective in May 2022. Among others, the new regulations introduce risk-based classification for IVDs and will require Notified Body involvement for various classes of devices, including certain of our tests, which will require us to submit clinical evidence and post-market performance data to regulators. We must also achieve and maintain International Standards Organization, or ISO, certification of our quality management system to come into compliance with the IVDR.</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may not be able to obtain foreign regulatory approvals or authorizations for our tests on a timely basis, if at all, which may cause us to incur additional costs or prevent us from marketing our tests in certain foreign countries.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and state laws that protect the privacy and security of personal information, including the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 Additionally, the HIPAA Security Rule is currently undergoing a proposed update, which, if implemented, will impose more stringent security measures on covered entities.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1" w:name="page52"/>
    <w:bookmarkEnd w:id="51"/>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European Union formally adopted the GDPR, which applies to all European Union member states.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Additionally, in 2021, the United Kingdom’s GDPR rules became effective. These variations in the law may raise our costs of compliance and result in greater legal risks. On July 16, 2020, the highest Court of Justice of the European Union, or the CJEU, issued a landmark opinion in the case </w:t>
      </w:r>
      <w:r>
        <w:rPr>
          <w:rFonts w:ascii="Times New Roman" w:cs="Times New Roman" w:eastAsia="Times New Roman" w:hAnsi="Times New Roman"/>
          <w:sz w:val="18"/>
          <w:szCs w:val="18"/>
          <w:i w:val="1"/>
          <w:iCs w:val="1"/>
          <w:color w:val="auto"/>
        </w:rPr>
        <w:t>Maximilian Schrems vs. Facebook</w:t>
      </w:r>
      <w:r>
        <w:rPr>
          <w:rFonts w:ascii="Times New Roman" w:cs="Times New Roman" w:eastAsia="Times New Roman" w:hAnsi="Times New Roman"/>
          <w:sz w:val="18"/>
          <w:szCs w:val="18"/>
          <w:color w:val="auto"/>
        </w:rPr>
        <w:t xml:space="preserve"> (Case C-311/18), or Schrems II. This decision calls into question certain data transfer mechanisms as between the European Union member states and the United States. The CJEU is the highest court in Europe, and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and may have an adverse impact on cross-border transfers of personal data or increase costs of compliance.</w:t>
      </w:r>
    </w:p>
    <w:p>
      <w:pPr>
        <w:spacing w:after="0" w:line="19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many states, such as California, have implemented similar privacy laws and regulations, such as the CMIA,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CMIA, California also enacted the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Additionally, the CPRA took full effect on January 1, 2023. The CPRA amends and expands the CCPA significantly, potentially resulting in further uncertainty, additional costs and expenses in an effort to comply, and additional harm and liability for failure to comply. Among other things, the CPRA established the CPPA, a new regulatory authority charged with administering and enforcing the CRPA and privacy rights in California. The CPPA has the power to levy fines and bring other enforcement actions. The CPRA could impact our operations or that of our collaborators and business partners and impose new regulatory requirements and increase costs of compliance. In addition to California, 18 other states have passed similar privacy laws, including Colorado, Connecticut, Delaware, Florida, Indiana, Iowa, Kentucky, Maryland, Montana, Nebraska, New Hampshire, New Jersey, Oregon, Rhode Island, Tennessee, Texas, Utah, and Virginia. Other states are considering similar legislation, adding to the complexity, costs, and risk of compliance. Like the GDPR and CCPA, many of these state laws categorize medical or health data, genetic data, and biometric data that can be used to identify a natural person as “sensitive data” and the processing or collection of such will require additional compliance obligations.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laws or any new laws or interpretations of their application could involve significant time and substantial costs or require us to change our business practices and compliance procedures in a manner potentially adverse to our business. We may not be able to obtain or maintain compliance with the diverse privacy and security requirements in all of the jurisdictions in which we currently or plan to do business, and failure to comply with any of these requirements could result in material civil or criminal penalties, materially harm our reputation and materially adversely affect our business.</w:t>
      </w:r>
    </w:p>
    <w:p>
      <w:pPr>
        <w:spacing w:after="0" w:line="1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Many states, including California, New York, and Massachusetts, have also implemented genetic testing, informed consent, or other privacy laws imposing specific patient consent requirements and requirements for protecting certain test results. As regulatory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80"/>
        <w:spacing w:after="0" w:line="282" w:lineRule="auto"/>
        <w:rPr>
          <w:sz w:val="20"/>
          <w:szCs w:val="20"/>
          <w:color w:val="auto"/>
        </w:rPr>
      </w:pPr>
      <w:r>
        <w:rPr>
          <w:rFonts w:ascii="Times New Roman" w:cs="Times New Roman" w:eastAsia="Times New Roman" w:hAnsi="Times New Roman"/>
          <w:sz w:val="18"/>
          <w:szCs w:val="18"/>
          <w:color w:val="auto"/>
        </w:rPr>
        <w:t>focus on genetic privacy issues continues to increase and laws and regulations concerning the protection of personal information expand and become more complex, these potential risks to our business could intensify.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legal, and social concerns related to the use of genetic information could reduce demand for our tests.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 In addition, California has enacted the Genetic Information Privacy Act that imposes privacy requirements on direct-to-consumer genetic testing companies that could change the discussion among patients and physicians related to genetic testing as a whole and potentially reduce consumer interest in such testing more broadly.</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CLIA’s and CAP’s regulation of our laboratory activities;</w:t>
      </w:r>
    </w:p>
    <w:p>
      <w:pPr>
        <w:spacing w:after="0" w:line="2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 including but not limited to requirements for offering LDTs following the July 2024 effective date of the agency’s LDT final rule;</w:t>
      </w:r>
    </w:p>
    <w:p>
      <w:pPr>
        <w:ind w:left="1020" w:right="16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standards affecting reimbursement by government healthcare programs, including certain coding requirements to obtain reimbursement and certain changes to the payment mechanism for clinical laboratory services resulting from PAMA;</w:t>
      </w:r>
    </w:p>
    <w:p>
      <w:pPr>
        <w:ind w:left="1020" w:right="4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Law, which generally prohibits a physician from making a referral for certain designated health services covered by the Medicare and Medicaid program, including laboratory and pathology services, if the physician or an immediate family member has a financial relationship with the entity providing the designated health services;</w:t>
      </w:r>
    </w:p>
    <w:p>
      <w:pPr>
        <w:spacing w:after="0" w:line="1" w:lineRule="exact"/>
        <w:rPr>
          <w:rFonts w:ascii="Times New Roman" w:cs="Times New Roman" w:eastAsia="Times New Roman" w:hAnsi="Times New Roman"/>
          <w:sz w:val="18"/>
          <w:szCs w:val="18"/>
          <w:color w:val="auto"/>
        </w:rPr>
      </w:pPr>
    </w:p>
    <w:p>
      <w:pPr>
        <w:jc w:val="both"/>
        <w:ind w:left="1020" w:right="26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Times New Roman" w:cs="Times New Roman" w:eastAsia="Times New Roman" w:hAnsi="Times New Roman"/>
          <w:sz w:val="18"/>
          <w:szCs w:val="18"/>
          <w:color w:val="auto"/>
        </w:rPr>
      </w:pPr>
    </w:p>
    <w:p>
      <w:pPr>
        <w:jc w:val="both"/>
        <w:ind w:left="1020" w:right="280" w:hanging="503"/>
        <w:spacing w:after="0" w:line="265"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healthcare benefit programs (including commercial insurers) unless a specific exception applies;</w:t>
      </w:r>
    </w:p>
    <w:p>
      <w:pPr>
        <w:ind w:left="1020" w:right="20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which, among other things, establishes a requirement for providers and suppliers to report and return any overpayments received from the Medicare and Medicaid programs;</w:t>
      </w:r>
    </w:p>
    <w:p>
      <w:pPr>
        <w:ind w:left="1020" w:right="6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insurance payor, including private payors;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left="1020" w:right="38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various state laws on reporting relationships with health care providers and customers, which could be determined to apply to our LDTs now that they are treated by FDA as medical devices pursuant to the 2024 final rule;</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and other Medicare and Medicaid billing and coverage requirements;</w:t>
      </w:r>
    </w:p>
    <w:p>
      <w:pPr>
        <w:spacing w:after="0" w:line="9"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and applicable foreign anti-bribery laws;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relating to the handling and disposal of regulated medical waste, hazardous waste and biohazardous waste and workplace safety for healthcare employees;</w:t>
      </w:r>
    </w:p>
    <w:p>
      <w:pPr>
        <w:ind w:left="1020" w:right="10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 or may operate in the future.</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Certain states also require medical device manufacturers to maintain compliance programs and/or be licensed as manufacturers or distributors by a state professional board or health department. Because the FDA’s now-in-effect final rule renders a clinical laboratory like ours a “medical device manufacturer,” we have begun the process of evaluating whether and to what extent those kinds of medical device-specific state requirements may be applicable to our operations.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genetic testing industry is currently under a high degree of government scrutiny. The OIG and a variety of states’ Attorneys General have issued fraud alerts regarding a variety of cancer genetic testing fraud schemes, and the DOJ has announced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insurance payors, and these activities allegedly violated the federal Anti-Kickback Statute and other criminal laws. This increased regulatory scrutiny could decrease demand for our testing services or increase our costs of regulatory compliance, either of which could have a material adverse effect on our business.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Any action brought against us for violation of these or other laws or regulations, even if we successfully defend against it, could cause us to incur significant legal expenses, divert our management’s attention from the operation of our business and materially harm our reputation. In relation to a recent advisory opinion issued by the OIG, the Company’s subsidiary, Inform Diagnostics, initiated a voluntary disclosure process with the appropriate government contact. The Company has settled and paid $3.0 million in connection with this voluntary disclosure. If our operations, including the conduct of our employees, consultants and commercial partners, are found to be in violation of any of these laws and regulations, (including in connection with the voluntary disclosure process described above),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which could materially harm our reputation, business, prospects or results of operations.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our business practices, pay fines, incur significant expenses, or experience losses due to litigation or governmental investigations.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and in the ordinary course of our business, we have been and again may be subject to litigation or governmental investigation on a variety of matters in the United States or foreign jurisdictions, including, without limitation,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140"/>
        <w:spacing w:after="0" w:line="255" w:lineRule="auto"/>
        <w:rPr>
          <w:sz w:val="20"/>
          <w:szCs w:val="20"/>
          <w:color w:val="auto"/>
        </w:rPr>
      </w:pPr>
      <w:r>
        <w:rPr>
          <w:rFonts w:ascii="Times New Roman" w:cs="Times New Roman" w:eastAsia="Times New Roman" w:hAnsi="Times New Roman"/>
          <w:sz w:val="18"/>
          <w:szCs w:val="18"/>
          <w:color w:val="auto"/>
        </w:rPr>
        <w:t>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Healthcare providers and other participants in the healthcare industry have become subject to an increasing number of lawsuits alleging medical malpractice and related legal theories such as negligent hiring, supervision and credentialing. As previously disclosed in our periodic reports, we have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our customers named in this CID.</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Similar to other laboratories in the industry, we are currently being audited by HRSA with respect to our reimbursement for COVID-19 tests furnished to patients believed to be uninsured. We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We are working with HRSA’s auditors to resolve any issues related to its audit, including any reimbursed amounts that may need to be returned to HRSA. We have also received a CID issued by the DOJ pursuant to the False Claims Act related to the DOJ’s investigation as to whether we submitted or caused to be submitted false claims to the Uninsured Program.</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fully cooperating with the DOJ in connection with the CIDs that we have received and in connection with the HRSA audit. We cannot currently predict when these CID and HRSA audit matters will be resolved, the reasonable or likely outcome of these matters, or their potential impact, which may materially and adversely affect our business, prospects, and financial condition. These matters are not formal claims, and discussions and investigations remain ongoing. As such, we cannot reasonably estimate the loss or range of loss, if any, that may result from any material government investigations, audits, and reviews in which we are currently involved, given the inherent difficulty in predicting regulatory action, fines and penalties, if any, and the various remedies and levels of judicial review available to us in the event of an adverse finding. As a result, we have not recorded any liability related to these CID or audit matters.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and as previously disclosed, the SEC is conducting a non-public formal investigation, which relates to (i) the matters raised in the requests for the CID regarding allegations of medically unnecessary laboratory testing, improper billing for laboratory testing, and remuneration received or provided in violation of the Anti-Kickback Statute and the Stark Law and (ii) our Exchange Act reports filed for 2018 through 2020. On May 6, 2024, the SEC staff advised us that the SEC staff made a preliminary determination to recommend that the SEC file an enforcement action against us based on a corporate negligence theory, which, if authorized, would allege violations of Sections 17(a)(2) and 17(a)(3) of the Securities Act of 1933, as amended, Sections 13(a), 13(b)(2)(A) and 13(b)(2)(B) of the Exchange Act, and Rules 13a-1, 13a-13, and 12b-20 thereunder. The Company has fully cooperated with the SEC and its requests, and the Company and the SEC staff are continuing to communicate regarding this matter. While we do not believe that any enforcement recommendation is warranted and deny all liability, we have recorded a $1.0 million potential liability with respect to this matter. While we believe this amount is a reasonable and probable estimate, the actual amount of liability, if any, may be materially higher than this estimate, as discussions are ongoing and there is no formal settlement or final resolution of this matter at this time.</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cannot predict when these investigations and matters will be resolved, the outcome of the investigations and matters, or the potential impact on our business, which may ultimately be greater than we expect. Adverse developments in existing litigation claims or legal proceedings involving us or new claims could require us to establish or increase litigation reserves or enter into unfavorable settlements or satisfy judgments for monetary damages for amounts in excess of current reserves, which could adversely affect our financial results. In addition, government investigations and litigation generally may divert the attention of our management team and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Healthcare policy changes, including recently enacted and proposed new legislation targeting the U.S. healthcare system, could cause significant harm to our business, operations and financial condition.</w:t>
      </w:r>
    </w:p>
    <w:p>
      <w:pPr>
        <w:spacing w:after="0" w:line="5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2014, Congress passed PAMA, which included substantial changes to the way in which clinical laboratory services are paid under Medicare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state legislatures have increasingly passed legislation and implemented regulations designed to control the cost of health care services, including clinical laboratory and pathology services, as well as prescription drug prices. </w:t>
      </w:r>
      <w:r>
        <w:rPr>
          <w:rFonts w:ascii="Times New Roman" w:cs="Times New Roman" w:eastAsia="Times New Roman" w:hAnsi="Times New Roman"/>
          <w:sz w:val="18"/>
          <w:szCs w:val="18"/>
          <w:color w:val="1A1A1A"/>
        </w:rPr>
        <w:t>States may pursue a variety of strategies to control spending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growth in health care and pharmaceutical markets, including but not limited to promoting competition, reducing prices through regulation, imposing spending targets and promoting payment reform. These cost containment strategies may result in less favorable reimbursement rates and in some cases could negatively impact our ability to change or expand our clinical testing operations in certain states.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laws and regulations, or in their application, may adversely affect our business, financial condition and results of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the genetic testing industry as a whole is a growing industry and regulatory agencies such as HHS or the FDA may apply heightened scrutiny to new developments in the field, or the U.S. Congress may do so. For example, since 2017, Congress has been working on legislation to create an LDT and IVD regulatory framework that would be separate and distinct from the existing medical device regulatory framework, it remains possible that congressional action in this area could moot the need for the FDA’s recently issued LDT final rule (discussed further above).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payable by a “healthcare benefit program” (which includes private insurance companies), unless a specific exception applies.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hazardous materials we use in our operations cause contamination or injury, we could be liable for resulting damages.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2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Our joint venture in China is subject to risks and uncertainties relating to the laws and regulations of China and the changes in relations between the United States and China. If the Chinese government determines that our joint venture does not comply with applicable regulations, our business could be adversely affected. If the regulatory agencies of the People’s Republic of China, or the PRC, determine that the agreements that establish the structure and relationship for our operations in China do not comply with PRC regulatory restrictions on foreign investment, we could be subject to severe penalties.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United States government has called for substantial changes to foreign trade policy with China and has raised tariffs on several Chinese goods. China has retaliated with increased tariffs on certain U.S. goods. Moreover, China’s legislature has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are uncertainties regarding the interpretation and application of PRC laws, rules, and regulations, including, but not limited to, the laws, rules and regulations governing the validity and enforcement of our joint venture in China.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We cannot assure you that the PRC regulatory authorities will not determine that our joint venture in China does not violate PRC laws, rules or regulations. If the PRC regulatory authorities determine that our current joint venture or any joint ventures, we may enter into in the future are in violation of applicable PRC laws, rules or regulations, our joint venture in China may become invalid or unenforceable, which will substantially affect our operations adversely. The PRC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PRC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United States government will refrain from imposing additional restrictions or constraints on dealings or investments in China, including our joint venture.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violations of the FCPA and other anti-bribery laws.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right="120"/>
        <w:spacing w:after="0" w:line="282" w:lineRule="auto"/>
        <w:rPr>
          <w:sz w:val="20"/>
          <w:szCs w:val="20"/>
          <w:color w:val="auto"/>
        </w:rPr>
      </w:pPr>
      <w:r>
        <w:rPr>
          <w:rFonts w:ascii="Times New Roman" w:cs="Times New Roman" w:eastAsia="Times New Roman" w:hAnsi="Times New Roman"/>
          <w:sz w:val="18"/>
          <w:szCs w:val="18"/>
          <w:color w:val="auto"/>
        </w:rPr>
        <w:t>improper advantage. These laws are complex and far-reaching in nature, and we may be required in the future to alter one or more of our practices to be in compliance with these laws or any changes to these laws or their interpretation.</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we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30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services present the potential for embezzlement, identity theft, or other similar illegal behavior by our employees, consultants, service providers or commercial partners.</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alleged violations of the FTC Act or other truth-in-advertising and consumer protection laws.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our advertising for laboratory services is subject to federal truth-in-advertising laws enforced by the FTC, as well as comparable state consumer protection agencies under similarly broad state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recent years, some companies and individuals have become more aggressive in attempting to assert consumer protection-type causes of action against competitors based on their advertising claims or promotional activities. In conjunction with the launch of our Picture Genetics line of at-home genetic test offerings that are initiated by consumers, we increased our advertising activities that would be subject to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19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Outside of the United States, the legal landscape governing promotional and other marketing activities for professional laboratory services and diagnostic tests can vary widely from jurisdiction to jurisdiction, and is often more complex, less clear, or less developed than in the United States. If our marketing activities are found to be in violation of local laws, regulations or practices, we may be subject to fines and other penalties and may be required to cease marketing or commercialization activities in such jurisdiction.</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Even if we receive regulatory approval or certification of our IVD medical device products, we will continue to be subject to extensive regulatory oversight.</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Medical devices, including IVDs, are subject to extensive regulation by the FDA in the United States, the European authorities under the CE Mark process, and comparable regulatory agencies in other territories where we do business such as Japan and Taiwan. If any of our IVD products are approved by the FDA or other comparable foreign regulatory agencies or certified by Notified Bodies, we will be required to timely file various reports. If these reports are not filed timely, regulators may impose sanctions and sales of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200"/>
        <w:spacing w:after="0" w:line="256" w:lineRule="auto"/>
        <w:rPr>
          <w:sz w:val="20"/>
          <w:szCs w:val="20"/>
          <w:color w:val="auto"/>
        </w:rPr>
      </w:pPr>
      <w:r>
        <w:rPr>
          <w:rFonts w:ascii="Times New Roman" w:cs="Times New Roman" w:eastAsia="Times New Roman" w:hAnsi="Times New Roman"/>
          <w:sz w:val="18"/>
          <w:szCs w:val="18"/>
          <w:color w:val="auto"/>
        </w:rPr>
        <w:t>products may suffer, and we may be subject to product liability or regulatory enforcement actions, all of which could harm our business. In addition, the FDA and the FTC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for IVD products are false, misleading, not substantiated or not permissible, we may be subject to enforcement actions and we may be required to revise our promotional claims and make other corrections or restitutions. Similar requirements apply in foreign jurisdictions.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FDA, state and comparable foreign authorities have broad enforcement powers. Our failure to comply with applicable regulatory requirements could result in enforcement action by the FDA, state or comparable foreign regulatory agencies, which may include any of the following sanctions:</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approvals or certifications,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IVD products and have a material adverse effect on our reputation, business, results of operations and financial condition.</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IVD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EU’s regulatory landscape for IVD medical devices has also evolved in recent years with adoption of the IVDR to establish a modernized and more robust EU legislative framework, with the aim of ensuring better protection of public health and patient safety. We are working towards compliance with the IVDR for certain of our tests and have made initial submissions to our Notified Body for purposes of the conformity assessment process. We expect to receive CE marking under the IVDR for certain of our tests in the future, subject to ongoing review and auditing by the regulatory agency. If we are not able to obtain and maintain regulatory compliance, we may not be permitted to market our laboratory services in the EU or may become subject to enforcement by EU Competent Authorities.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Drug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drug candidates are in early stages of development and may fail or suffer delays that materially and adversely affect their future commercial viability.</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Generally, before obtaining marketing approval for the commercial distribution of drug candidates, we must conduct preclinical tests and clinical trials to demonstrate sufficient safety and efficacy of our drug candidates in patients. Failure can occur at any time during the development or clinical trial process and our future clinical trial results may not be successful. As a result, we may not have, or we may deem it imprudent to use, additional financial resources to continue development of a drug candidate if there are issues that could delay or prevent marketing approval of, or ability to commercialize, our drug candidates, including:</w:t>
      </w:r>
    </w:p>
    <w:p>
      <w:pPr>
        <w:spacing w:after="0" w:line="75" w:lineRule="exact"/>
        <w:rPr>
          <w:sz w:val="20"/>
          <w:szCs w:val="20"/>
          <w:color w:val="auto"/>
        </w:rPr>
      </w:pPr>
    </w:p>
    <w:p>
      <w:pPr>
        <w:ind w:left="1020" w:right="6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clinical trials, or the clinical trials of others for similar drug candidates, leading to a decision or requirement to conduct additional preclinical testing or clinical trials or abandon a program;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therapeutic-related side effects experienced by participants in its clinical trials or by individuals using drugs or other drugs similar to its drug candidates;</w:t>
      </w:r>
    </w:p>
    <w:p>
      <w:pPr>
        <w:ind w:left="1020" w:right="34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clinical trial applications or delays or failure in obtaining the necessary approvals from regulators to commence a clinical trial, or a suspension or termination of a clinical trial once commenced;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or high drop-out rates of research subjects enrolled in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its clinical trials due to quarantines or other restrictions resulting from pandemics or other public health emergencies;</w:t>
      </w:r>
    </w:p>
    <w:p>
      <w:pPr>
        <w:spacing w:after="0" w:line="9" w:lineRule="exact"/>
        <w:rPr>
          <w:rFonts w:ascii="Times New Roman" w:cs="Times New Roman" w:eastAsia="Times New Roman" w:hAnsi="Times New Roman"/>
          <w:sz w:val="18"/>
          <w:szCs w:val="18"/>
          <w:color w:val="auto"/>
        </w:rPr>
      </w:pPr>
    </w:p>
    <w:p>
      <w:pPr>
        <w:ind w:left="1020" w:right="70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 or the manufacturing location(s) for a drug candidate;</w:t>
      </w:r>
    </w:p>
    <w:p>
      <w:pPr>
        <w:ind w:left="1020" w:right="2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drug candidate clinical material or other raw materials or supplies necessary for the conduct of our clinical trials;</w:t>
      </w:r>
    </w:p>
    <w:p>
      <w:pPr>
        <w:ind w:left="1020" w:right="8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or investigators to comply with regulatory requirements or otherwise meet their contractual obligations in a timely manner, or at all;</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with respect to our technology in particular;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drug candidates we pursue may not demonstrate the necessary safety or efficacy requirements for marketing approval.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Clinical trials are costly, time consuming, and inherently risky; and we may fail to demonstrate safety and efficacy to the satisfaction of applicable regulatory authorities, and may never obtain regulatory approval for, or successfully commercialize certain or any of our drug candidates.</w:t>
      </w:r>
    </w:p>
    <w:p>
      <w:pPr>
        <w:spacing w:after="0" w:line="15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Clinical development is expensive, time consuming and involves significant risk. We cannot guarantee that any clinical trials will be conducted as planned or completed on schedule, if at all. A failure of one or more clinical trials can occur at any stage of development. Events that may prevent successful or timely completion of clinical development include but are not limited to:</w:t>
      </w:r>
    </w:p>
    <w:p>
      <w:pPr>
        <w:spacing w:after="0" w:line="68" w:lineRule="exact"/>
        <w:rPr>
          <w:sz w:val="20"/>
          <w:szCs w:val="20"/>
          <w:color w:val="auto"/>
        </w:rPr>
      </w:pPr>
    </w:p>
    <w:p>
      <w:pPr>
        <w:ind w:left="1020" w:right="30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patient enrollment for our clinical trials due to public health emergencies or pandemics, natural disasters, staffing shortages, or other events, which may affect our ability to initiate and/or complete preclinical studies, conduct ongoing clinical trials, and delay initiation of planned and future clinical trials;</w:t>
      </w:r>
    </w:p>
    <w:p>
      <w:pPr>
        <w:spacing w:after="0" w:line="1" w:lineRule="exact"/>
        <w:rPr>
          <w:rFonts w:ascii="Times New Roman" w:cs="Times New Roman" w:eastAsia="Times New Roman" w:hAnsi="Times New Roman"/>
          <w:sz w:val="18"/>
          <w:szCs w:val="18"/>
          <w:color w:val="auto"/>
        </w:rPr>
      </w:pPr>
    </w:p>
    <w:p>
      <w:pPr>
        <w:ind w:left="1020" w:right="2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satisfactory preclinical, toxicology or other in vivo or in vitro data or to develop diagnostics capable of supporting the initiation or continuation of clinical trials;</w:t>
      </w:r>
    </w:p>
    <w:p>
      <w:pPr>
        <w:ind w:left="1020" w:right="7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required an IRB approval for clinical trial site;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delays in obtaining a permit from regulatory authorities to conduct a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or failure to recruit sufficient eligible volunteers or subjects in our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trial sites or CROs or other third parties to adhere to clinical trial requirements;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clinical trial sites, CROs or other third parties to perform in accordance with the good clinical practices requirements of the FDA or applicable foreign regulatory guidelines;</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withdrawing from our clinical trials;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other issues of concern significant enough for the FDA, or comparable foreign regulatory authority, to put a clinical trial or an IND on clinical hold;</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our drug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w:t>
      </w:r>
    </w:p>
    <w:p>
      <w:pPr>
        <w:spacing w:after="0" w:line="9"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which may result in us deciding, or regulators requiring us, to conduct additional clinical trials or abandon development programs in other ongoing or planned indications for a drug candidate; and</w:t>
      </w:r>
    </w:p>
    <w:p>
      <w:pPr>
        <w:ind w:left="1020" w:right="220" w:hanging="503"/>
        <w:spacing w:after="0" w:line="26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third-party manufacturers or an inability to manufacture sufficient quantities of our drug candidates for use in clinical trials.</w:t>
      </w:r>
    </w:p>
    <w:p>
      <w:pPr>
        <w:spacing w:after="0" w:line="1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one or more of our drug candidates could result in additional costs to us or impair our ability to generate revenue. In addition, if we make manufacturing or formulation changes to our drug candidates, we may need to conduct additional nonclinical studies and/or clinical trials to show that the results obtained from such new formulation are consistent with previous results. Clinical trial delays could also shorten any periods during which our drug candidates have patent protection and may allow competitors to develop and bring products to market before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we do, which could impair our ability to successfully commercialize our drug candidates and may harm our business and results of operation.</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a clinical trial may be suspended or terminated by the company, the IRBs of the institutions in which such trials are being conducted, the Data Safety Monitoring Board, or DSMB,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an investigational drug, changes in governmental regulations, administrative actions or lack of adequate funding to continue the clinical trial. Clinical holds may be placed prior to a clinical trial even beginning, in order to address potential safety and risk concerns of regulatory authorities, and partial or complete clinical holds can be imposed at any time during a trial. Furthermore, while we perform certain similar functions internally, we expect to rely on CROs and clinical trial sites to ensure proper and timely conduct of our clinical trials and while we expect to enter into agreements governing those CROs’ committed activities we have limited influence over their actual performance.</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drug candidates, the commercial prospects of those drug candidates may be harmed. In addition, any delays in completing clinical trials will increase costs, slow down product development and approval processes, and jeopardize the ability to commence product sales and generate revenue.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marketing approval of drug candidates.</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nano-drug delivery platform is being researched and developed and, if approved, will be used as a delivery mechanism for other pharmaceuticals or therapeutics. To the extent these delivered substances cause undesirable side effects, encounter competition or experience regulatory limitations either prior or following market approval or are otherwise unavailable to us due to our lack of rights or ability to utilize supplies of these candidates, the prospects for our drug candidates or, as applicable, approved therapeutics could be materially and negatively affected. In such circumstances, our business, results of operations and the value of our common stock may decline.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Product development involves a lengthy and expensive process with an uncertain outcome, and results of earlier preclinical studies and clinical trials may not be predictive of future clinical trial results.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generally takes many years to complete, and the outcome is inherently uncertain. Failure can occur at any time during the clinical development process. Clinical trials may produce negative or inconclusive results, and we or any current or future collaboration partners may decide, or regulators may require us, to conduct additional clinical trials or non-clinical studies. We will be required to demonstrate with substantial evidence through well-controlled clinical trials that our drug candidates are safe and effective for use in a diverse population before we can seek marketing approvals for their commercial sale. The results of preclinical studies and early clinical trials of our drug candidates may not be predictive of the results of larger, later-stage controlled clinical trials. Drug candidates that have shown promising results in early-stage clinical trials may still suffer significant setbacks or failure in subsequent clinical trials. Our clinical trials to date have been conducted on a small number of subjects in limited numbers of clinical trial sites for a limited number of indications. We will have to conduct larger, well-controlled trials in our proposed indications to verify the results obtained to date and to support any regulatory submissions for further clinical development. A number of companies in the biopharmaceutical industry have suffered significant setbacks or failure in advanced clinical trials due to lack of efficacy or adverse safety profiles despite promising results in earlier, smaller clinical trials.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from time to time, we may publish or report interim or preliminary data from our clinical trials. For example, we have previously announced and included interim data for our drug candidate, FID-007, in this Annual Report. Interim or preliminary data from clinical trials that we may conduct, including any interim data we have reported for FID-007,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is available.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therefore do not know whether any clinical trials we may conduct will demonstrate consistent or adequate efficacy and safety sufficient to obtain marketing approval to market our drug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1" w:name="page62"/>
    <w:bookmarkEnd w:id="61"/>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Any drug candidate that we may attempt to develop, manufacture, or market in the United States will be subject to extensive regulation by the FDA, including regulations relating to development, non-clinical testing, performance of clinical trials, manufacturing and post-approval commercialization and will also be subject to extensive regulations outside of the United States in relevant jurisdictions. Satisfaction of these and other regulatory requirements is costly, time consuming, uncertain and subject to unanticipated delays. The time required to obtain FDA approval, and any other required approvals for pharmaceutical products, is unpredictable but typically requires years to several years and may never be obtained.</w:t>
      </w:r>
    </w:p>
    <w:p>
      <w:pPr>
        <w:spacing w:after="0" w:line="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Any product that we may wish to develop, manufacture or market in countries other than the United States will also be subject to numerous foreign regulatory requirements governing the conduct of clinical trials, manufacturing and marketing, pricing and insurance reimbursement among other things in such countries. The foreign marketing approval process includes all of the risks and uncertainties associated with FDA approval described above as well as risks attributable to the satisfaction of local regulations in such foreign jurisdictions.</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Obtaining marketing approval for pharmaceutical products requires the submission of extensive non-clinical and clinical data and supporting information to FDA and comparable regulatory authorities for each therapeutic indication to establish the drug candidate’s safety and efficacy. Securing marketing approval also typically requires the submission of information about the product manufacturing process, and in many cases the inspection of manufacturing, processing, and packaging facilities by the applicable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or there may be deficiencies in manufacturing compliance by us or by our contract manufacturing organizations and partners that could result in the candidate not being approved. Moreover, we have not obtained marketing approval for any drug candidate in any jurisdiction and it is possible that none of our existing drug candidates or any drug candidates we may seek to develop in the future will ever obtain marketing approval.</w:t>
      </w:r>
    </w:p>
    <w:p>
      <w:pPr>
        <w:spacing w:after="0" w:line="18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Drug candidates could fail to receive, or could be delayed in receiving, marketing approval for many reasons, including any one or more of the following: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or comparable foreign regulatory authorities that a drug candidate is safe and effective for its proposed indication(s) for use;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or comparable foreign regulatory authorities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drug candidates may not be sufficient to support the submission of an application to obtain marketing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clinical trial sites and data, the FDA or comparable foreign regulatory authorities may find record keeping or the record keeping of clinical trial sites to be inadequate or may identify other deficiencies related to the trials;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processes or facilities of third-party manufacturers with which we or Fulgent Pharma contract for clinical and commercial supplies may fail to meet the requirements of the FDA, EMA or comparable foreign regulatory authorities; or</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standard of care or the approval policies or regulations of the FDA, EMA or comparable foreign regulatory authorities may significantly change in a manner that renders our clinical data insufficient for approval.</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It is possible that none of the drug candidates we may develop will obtain the marketing approvals necessary for us or our collaborators to sell the products either in the United States or any other country. Furthermore, approval by the FDA of a therapeutic product does not assure approval by regulatory authorities outside the United States and vice versa. Even if approval for a therapeutic product is obtained, such approval may be subject to limitations on the indicated uses or appropriate patient population that could result in a significantly reduced potential market size for the product.</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intend to develop and seek approval for our drug candidates developed using our nano-drug delivery platform technology, including FID-007, FID-022, and other candidates it may develop, pursuant to the FDA’s 505(b)(2) pathway. If the FDA determines that we may not use this regulatory pathway, then we would need to seek regulatory approval via a “full” or “stand-alone” NDA under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2" w:name="page63"/>
    <w:bookmarkEnd w:id="62"/>
    <w:p>
      <w:pPr>
        <w:ind w:right="360"/>
        <w:spacing w:after="0" w:line="261" w:lineRule="auto"/>
        <w:rPr>
          <w:sz w:val="20"/>
          <w:szCs w:val="20"/>
          <w:color w:val="auto"/>
        </w:rPr>
      </w:pPr>
      <w:r>
        <w:rPr>
          <w:rFonts w:ascii="Times New Roman" w:cs="Times New Roman" w:eastAsia="Times New Roman" w:hAnsi="Times New Roman"/>
          <w:sz w:val="18"/>
          <w:szCs w:val="18"/>
          <w:color w:val="auto"/>
        </w:rPr>
        <w:t>Section 505(b)(1) of the FDC Act.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informally known as the Hatch-Waxman Act, added Section 505(b)(2) to the FDC Act. Section 505(b)(2) permits the filing of an NDA where at least some of the information required for approval comes from studies and information that were not conducted by or for the applicant and for which the applicant has not obtained a right of reference. Utilization of the Section 505(b)(2) NDA pathway could expedite the development program for our lead drug candidates, FID-007 and of FID-022.</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Moreover, any delay resulting from our inability to utilize the FDA’s 505(b)(2) pathway could result in new competitive products reaching the market more quickly than our drug candidates, which may have a material adverse impact on our competitive position and prospects. Even if we are allowed to use the FDA’s 505(b)(2) pathway for one or more of our drug candidates, we cannot assure you that such candidates will receive the requisite approvals for commercialization.</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Our commercial success will depend upon attaining significant market acceptance of our drug candidates, if approved, among physicians, patients, insurance payors and other members of the medical community.</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our drug candidates, the approved products may nonetheless fail to gain sufficient market acceptance among patients, physicians, insurance payors, and other members of the medical community, which is critical to commercial success. If an approved product does not achieve an adequate level of acceptance, we may not generate significant product revenues or any profits from operations. The degree of market acceptance of any drug candidate for which we receive approval depends on a number of factors,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or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for such drug candidate, based on the size of the patient subsets that we are targeting, in the territories for which we gain regulatory approval and have commercial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the drug candidate as demonstrated through broad commercial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drug candidates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for our products from governmental health programs and other insurance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 relative to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supply of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such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concomitant use of other medications;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efforts by us and our licensees and distributors, if 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3" w:name="page64"/>
    <w:bookmarkEnd w:id="63"/>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drug candidates may cause undesirable side effects that could delay or prevent their marketing approval, limit the commercial profile of an approved label, or result in significant negative consequences following marketing approval, if any.</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drug candidates could cause us, our collaborators or regulatory authorities, to interrupt, delay or halt clinical trials. These circumstances could result in a more restrictive label or the delay or denial of marketing approval by the FDA or other regulatory authorities. Results of our clinical trials or the clinical trials of our collaborators could reveal a high and unacceptable severity of adverse side effects and it is possible that patients enrolled in these clinical trials could respond in unexpected ways. Such side effects could also affect patient recruitment or the ability of enrolled patients to complete the trial or result in potential product liability claims. Further, clinical trials by their nature utilize a sample of the potential patient population. Rare and severe side effects of our drug candidates may only be uncovered with a significantly larger number of patients exposed to our drug candidates.</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drug candidates receives marketing approval and we, our collaborators or others identify undesirable side effects caused by a product or any other similar drugs, any of the following adverse events could occur:</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of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safety-related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implement other aspects of a REMS such as a restricted distribution program or educational programs for prescribers;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adverse side effects caused by any drugs that may be similar in nature to our drug candidates or in connection with the nanoencapsulated drugs or therapeutics used in connection with our drug candidates (similar to paclitaxel with FID-007) could delay or prevent marketing approval of our drug candidates, limit the commercial profile of an approved label for our drug candidates, or result in significant negative consequences for our drug candidates following marketing approval.</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Any of the above-described events could prevent us from achieving or maintaining market acceptance of our drug candidates, if approved, and could delay, impede and/or substantially increase the costs of commercializing our drug candidates thus significantly impacting our ability to successfully commercialize our drug candidates and generate revenue. Any of the above described occurrences may materially and adversely affect our business, financial condition, results of operations and prospects.</w:t>
      </w:r>
    </w:p>
    <w:p>
      <w:pPr>
        <w:spacing w:after="0" w:line="284"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color w:val="auto"/>
        </w:rPr>
        <w:t>If our drug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drug candidates.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for prescription pharmaceutical products. If any of our drug candidates is approved for marketing in the United States or elsewhere, we will need to expand our internal sales, marketing and distribution capabilities to commercialize such approved drug candidates in the United States and other territories, or we will need to enter into collaborations with third parties to perform these services. Any internal effort would be expensive and time-consuming, and we would need to commit significant financial and managerial resources to develop an internal marketing and sales force with technical expertise and the related supporting distribution, administration and compliance capabilities. If we were to rely on additional third parties with these capabilities to market our future therapeutics or were to decide to co-promote products with any of our current or future collaborators, we would need to establish and maintain or revise existing marketing and distribution arrangements with these partners, and there can be no assurance that we will be able to enter into such arrangements on acceptable terms or at all. Further, there can be no assurance that these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conduct portions of our clinical trials and certain of our non-clinical studies and intend to continue to do so. If these third parties do not perform as contractually required, fail to satisfy regulatory or legal requirements, or miss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expected deadlines, our development programs could be delayed with material and adverse effects on our business, financial condition, results of operations and prospects.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expect to continue our current clinical trials and expect to initiate clinical trials in the near term for other drug candidates, we do not independently conduct clinical trials. In particular, while we perform certain functions internally, we currently rely and intend to continue to rely on third-party CROs, clinical data management organizations and consultants to help us design, conduct, supervise and monitor clinical trials of our drug candidates. As a result, we will have less control over the timing, quality and other aspects of our clinical trials than we would have had we conducted them on our own. There is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non-clinical studies or clinical trials. These third parties may also be susceptible to disruption as a result of health crises, public health emergencies or periods of societal unrest or conflict. If we cannot contract with acceptable third parties on commercially reasonable terms, or at all, or if these third parties do not carry out their contractual duties, satisfy the legal and regulatory requirements for the conduct of non-clinical studies or clinical trials or meet expected deadlines for any reason, our clinical development programs could be delayed and otherwise adversely affected.</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all events, we will be responsible for ensuring that each of our non-clinical studies and clinical trials is conducted in accordance with the general investigational plan and protocols for the relevant study or trial. The FDA requires non-clinical studies to be conducted in accordance with GLP and clinical trials to be conducted in accordance with GCPs including practices and requirements for designing, conducting, recording and reporting the results of non-clinical studies and clinical trials to assure that data and reported results are credible and accurate and that the rights, integrity and confidentiality of clinical trial participants are protected. Our reliance on third parties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supply and manufacture our drug candidates, and we expect to continue to rely on third parties to manufacture and supply our therapeutics, if approved. The development of drug candidates and the commercialization of any drug candidates, if approved, could be stopped, delayed, or made less profitable if any of these third parties fail to provide us with sufficient quantities of drug candidates or therapeutics, fail to do so at acceptable quality levels or prices, or fail to maintain or achieve satisfactory regulatory compliance.</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develop and manufacture our drug candidates for use in the conduct of our trials or for commercial supply, if our therapeutics are approved. Instead, we rely on, and expect to continue to rely on third-party providers to manufacture the supplies for our non-clinical studies and clinical trials.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on a limited number of third-party contract manufacturers for our required raw materials and other components for our non-clinical research and clinical trials, as well as for the manufacture of supplies for our drug candidates. To the extent any of our manufacturing partners are unable to fulfill these obligations in a timely manner, our clinical trials may be delayed, and our business may be adversely affected. In general, reliance on third-party providers may expose us to more risk than if we were to manufacture our drug candidates ourselves. We do not control the operational processes of the contract manufacturing organizations with whom we contract, and are dependent on these third parties for the production of our drug candidates in accordance with relevant regulations (such as cGMP), which include, among other things, quality control and the maintenance of records and documentation.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and maintain patent protection for any drug candidate we develop, our competitors could develop and commercialize products or technology similar to ours, and our ability to successfully commercialize any drug candidate we may develop, and our technology, may be adversely affected.</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any drug candidate and other technologies we may develop. Given that the development of our drug and therapeutic technology is at an early stage, our intellectual property portfolio comprises applications and patents with respect to coverage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5" w:name="page66"/>
    <w:bookmarkEnd w:id="65"/>
    <w:p>
      <w:pPr>
        <w:ind w:right="100"/>
        <w:spacing w:after="0" w:line="282" w:lineRule="auto"/>
        <w:rPr>
          <w:sz w:val="20"/>
          <w:szCs w:val="20"/>
          <w:color w:val="auto"/>
        </w:rPr>
      </w:pPr>
      <w:r>
        <w:rPr>
          <w:rFonts w:ascii="Times New Roman" w:cs="Times New Roman" w:eastAsia="Times New Roman" w:hAnsi="Times New Roman"/>
          <w:sz w:val="18"/>
          <w:szCs w:val="18"/>
          <w:color w:val="auto"/>
        </w:rPr>
        <w:t>certain aspects of our technology and any drug and any drug candidates; however, there can be no assurance that any such patent applications will issue as granted patents.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the claims in our future patent applications covering the composition of matter of any drug candidates will be considered patentable by the United States Patent and Trademark Office (“USPTO”), or by patent offices in foreign countries, or that the claims in any of its issued patents will be considered valid and enforceable by courts in the United States or foreign countries.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in some cases, we may not be able to obtain issued claims covering compositions of matter relating to any drug candidates we develop and instead may need to rely on filing patent applications with claims covering a method of use and/or method of manufacture. Method of use patents protect the use of a product for the specified method. This type of patent does not prevent a competitor from making and marketing a product that is identical to any product we develop for an indication that is outside the scope of the patented method. Moreover, even if competitors do not actively promote their products for its targeted indications, physicians may prescribe these products “off-label” for those uses that are covered by its method of use patents. Although off-label prescriptions may infringe or contribute to the infringement of method of use patents, the practice is common, and such infringement is difficult to prevent or prosecute.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any drug candidate we develop could have a material adverse effect on our business, financial condition, results of operations, and prospects.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non-disclosure agreements. and invention assignment agreements to protect our proprietary information, which may not be effective.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on trade secret protection, non-disclosure agreements and invention assignment agreements with our employees, consultants and third 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our intellectual property and other confidential information provide us.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trade secret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Litigation or other proceedings or third-party claims of intellectual property infringement or misappropriation could require us to spend significant time and money and prevent us from selling our tests or developing drug candidates.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our testing, testing services and drug candidates.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commercialize drug candidates and enter new markets, competitors may claim that our tests or products infringe or misappropriate their intellectual property rights as part of strategies designed to impede our existing operations or our entry into new markets.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delay commercialization of any approved drug candidates, significantly increase our costs, or prevent us from conducting certain of our essential activities, which could materially adversely affect our ability to operate and grow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challenging the inventorship of our patents and other intellectual property.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patents, trade secrets, or other intellectual property as an inventor or co-inventor. For example, we may have inventorship disputes arise from conflicting obligations of consultants or others who are involved in developing our drugs or drug candidates and other proprietary technologies we may develop. Litigation may be necessary to defend against these and other claims challenging inventorship or our ownership of our owned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drug candidates and other proprietary technologies we may develop.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patent law could have a negative impact on our business.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Supreme Court, other federal courts, the United States Congress or the USPTO may change the standards of patentability, and any such changes could have a negative impact on our business.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Three cases involving diagnostic method claims and “gene patents” have been decided by the Supreme Court in recent years. In March 2012, the Supreme Court issued a decision in </w:t>
      </w:r>
      <w:r>
        <w:rPr>
          <w:rFonts w:ascii="Times New Roman" w:cs="Times New Roman" w:eastAsia="Times New Roman" w:hAnsi="Times New Roman"/>
          <w:sz w:val="18"/>
          <w:szCs w:val="18"/>
          <w:i w:val="1"/>
          <w:iCs w:val="1"/>
          <w:color w:val="auto"/>
        </w:rPr>
        <w:t>Mayo Collaborative v. Prometheus Laboratories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Association for </w:t>
      </w:r>
      <w:r>
        <w:rPr>
          <w:rFonts w:ascii="Times New Roman" w:cs="Times New Roman" w:eastAsia="Times New Roman" w:hAnsi="Times New Roman"/>
          <w:sz w:val="18"/>
          <w:szCs w:val="18"/>
          <w:i w:val="1"/>
          <w:iCs w:val="1"/>
          <w:color w:val="auto"/>
        </w:rPr>
        <w:t>Molecular Pathology v. Myriad Genetics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ribonucleic acid transcripts of genes, may be patent eligible. In June 2014, the Supreme Court decided </w:t>
      </w:r>
      <w:r>
        <w:rPr>
          <w:rFonts w:ascii="Times New Roman" w:cs="Times New Roman" w:eastAsia="Times New Roman" w:hAnsi="Times New Roman"/>
          <w:sz w:val="18"/>
          <w:szCs w:val="18"/>
          <w:i w:val="1"/>
          <w:iCs w:val="1"/>
          <w:color w:val="auto"/>
        </w:rPr>
        <w:t>Alice Corporation Pty. Ltd. v. CLS Bank International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which affirmed the </w:t>
      </w:r>
      <w:r>
        <w:rPr>
          <w:rFonts w:ascii="Times New Roman" w:cs="Times New Roman" w:eastAsia="Times New Roman" w:hAnsi="Times New Roman"/>
          <w:sz w:val="18"/>
          <w:szCs w:val="18"/>
          <w:i w:val="1"/>
          <w:iCs w:val="1"/>
          <w:color w:val="auto"/>
        </w:rPr>
        <w:t xml:space="preserve">Prometheus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Myriad </w:t>
      </w:r>
      <w:r>
        <w:rPr>
          <w:rFonts w:ascii="Times New Roman" w:cs="Times New Roman" w:eastAsia="Times New Roman" w:hAnsi="Times New Roman"/>
          <w:sz w:val="18"/>
          <w:szCs w:val="18"/>
          <w:color w:val="auto"/>
        </w:rPr>
        <w:t>decisions and provided additional interpretation.</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If we make efforts to seek patent protection for our drug candidates, products, technologies, and tests, these efforts may be negatively impacted by the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decisions, rulings in other cases or guidance or procedures issued by the USPTO. However, we cannot fully predict the impact of the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 or developing drug candidates.”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6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its owned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Worldwide, we own or exclusively in-license over 20 issued or allowed patents and over 10 active patent applications as of December 31, 2024. This includes eight issued or allowed U.S. patents. Patents in these patent families are expected to expire by 2034, and patent applications in these patent families, if granted, are expected to expire as far out as 2044 subject to any patent term disclaimers, adjustments, or extensions. Patents and/or patent applications in these families are active in multiple jurisdictions, including the United States, Australia, Canada, China, European Patent Organization, German, New Zealand, Japan, and Switzerland. In addition to these owned and exclusively licensed patents and active patent applications, we also license patents on a non-exclusive and/or territory-restricted basis. Our intellectual property portfolio includes important patents and patent applications directed to our technologies. This includes patent filings relating to our nano-drug delivery platform technology for delivery of water insoluble or poorly soluble drugs for treatments of disease conditions, including cancer. In particular, as of December 31, 2024, we own or exclusively in-license 18 issued patents and five patent applications relating to FID-007 and FID-022. Individual patent terms extend for varying periods of time, depending upon the date of filing of the patent application, the date of patent issuance, and the legal term of patents in the countries in which they are obtained.</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2017, Fulgent Pharma LLC entered into an exclusive license agreement with ANP, as amended December 28, 2017, and May 1, 2024. Under the agreement, ANP granted Fulgent Pharma LLC an exclusive, worldwide, perpetual, irrevocable, and sublicensable license to certain rights in patents and patent applications under which we may develop and commercialize FID-007 and related formulations for human therapeutic, prophylactic, and diagnostic uses. As of December 31, 2024, this IP suite includes 28 patents and five patent applications that relate to FID-007 and FID-022. Patents and/or patent applications in these families are active in multiple jurisdictions, including the United States, Australia, Canada, China, European Patent Organization, Germany, New Zealand, Japan, and Switzerland. Patents in these patent families, if granted, are expected to expire in 2034 subject to any patent term disclaimers, adjustments, or extensions.</w:t>
      </w:r>
    </w:p>
    <w:p>
      <w:pPr>
        <w:spacing w:after="0" w:line="293"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Our future issued patents covering drug candidates we develop could be found invalid or unenforceable if challenged in court or before administrative bodies in the United States or abroad.</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owned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40"/>
        <w:spacing w:after="0" w:line="256" w:lineRule="auto"/>
        <w:rPr>
          <w:sz w:val="20"/>
          <w:szCs w:val="20"/>
          <w:color w:val="auto"/>
        </w:rPr>
      </w:pPr>
      <w:r>
        <w:rPr>
          <w:rFonts w:ascii="Times New Roman" w:cs="Times New Roman" w:eastAsia="Times New Roman" w:hAnsi="Times New Roman"/>
          <w:sz w:val="18"/>
          <w:szCs w:val="18"/>
          <w:color w:val="auto"/>
        </w:rPr>
        <w:t>proceedings). Such proceedings could result in the revocation of, cancellation of, or amendment to our future patents in such a way that they no longer cover its drug candidate or other technologies.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third-party were to prevail on a legal assertion of invalidity or unenforceability, we would lose at least part, and perhaps all, of the patent protection on any drug candidates it develops or other technologies. Such a loss of patent protection would have a material adverse impact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terms may be inadequate to protect our competitive position on our products and services for an adequate amount of time.</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Patent terms may be shortened or lengthened by, for example, terminal disclaimers, patent term adjustments, supplemental protection certificates, and patent term extensions. Although extensions may be available, the life of a patent, and the protection it affords, is limited. Patent term extensions and supplemental protection certificates, and the like, may be impacted by the regulatory process and may not significantly lengthen patent term. Non-payment or delay in payment of patent fees or annuities, delay in patent filings or delay in extension filing, whether intentional or unintentional, may also result in the loss of patent rights important to our business. In such an event, competitors might be able to enter the market earlier than would otherwise have been the case.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abroad, if all maintenance fees/annuity fees are timely paid, the natural expiration of a patent is generally 20 years from its earliest non-provisional filing date. The protection a patent affords is limited. Even if patents covering our products or drug candidates are obtained, once the patent life has expired, we may be open to competition from competitive products. Given the amount of time required for the development, testing, and regulatory review of new products and drug candidates, patents protecting such products or drug candidates might expire before or shortly after such products or drug candidates are commercialized. As a result, our future owned and licensed patent portfolio may not provide us with sufficient rights to exclude others from commercializing products or drug candidates similar or identical to ours.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patent term extension and/or data exclusivity for any drug candidate that we may develop, our business may be materially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drug candidate we may develop, one or more of our future owned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future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prospects could be materially harmed.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Many countries have compulsory licensing laws under which a patent owner may be compelled to grant licenses to third parties. In addition, many countries limit the enforceability of patents against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spacing w:after="0" w:line="258" w:lineRule="auto"/>
        <w:rPr>
          <w:sz w:val="20"/>
          <w:szCs w:val="20"/>
          <w:color w:val="auto"/>
        </w:rPr>
      </w:pPr>
      <w:r>
        <w:rPr>
          <w:rFonts w:ascii="Times New Roman" w:cs="Times New Roman" w:eastAsia="Times New Roman" w:hAnsi="Times New Roman"/>
          <w:sz w:val="18"/>
          <w:szCs w:val="18"/>
          <w:color w:val="auto"/>
        </w:rPr>
        <w:t>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As a result, our efforts to protect and enforce our intellectual property rights outside the United States may prove inadequate, in which case our ability to remain competitive and grow our business and revenue could be materially harmed.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do not have intellectual property rights in every country throughout the world. Filing, prosecuting, and defending patents on drug candidates in all countries throughout the world would be prohibitively expensive, and our intellectual property rights in some countries outside the United States and Europe can be less extensive than those in the United States. In addition, the laws of foreign countries do not protect intellectual property rights to the same extent as federal and state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drug candidates, and our patents or other intellectual property rights may not be effective or sufficient to prevent them from competing.</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29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 our rights, which may not be successful.</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and patents, from third parties, that is important to our research and development efforts; and in the future we may enter into additional agreements that provide us with licenses to valuable intellectual property or technology. For example, our business is substantially dependent upon certain intellectual property rights that we license from ANP under the ANP License Agreement. Under the ANP License Agreement, ANP granted Fulgent Pharma LLC an exclusive, worldwide, perpetual, irrevocable, and sublicensable license to certain rights in patents and patent applications under which we may develop and commercialize FID-007 and FID-022 and related formulations for human therapeutic, prophylactic, and diagnostic uses. Therefore, our commercial success will depend to a large extent on our ability to maintain and comply with our obligations under the ANP License Agreement. The ANP License Agreement provides ANP the right to terminate for an uncured breach by us, or if we are insolvent, the subject of a bankruptcy proceeding, or potentially other reasons. If ANP were to terminate the ANP License Agreement, the development and commercialization of FID-007 and FID-022 would be adversely affected, our potential for generating revenue from this program would be adversely affected and attracting new partners would be made more difficult. As a result, we would likely be subject to increased competition within our market.</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that other technology in-licenses that we may enter into in the future will contain similar provisions and impose similar obligations on us. If we fail to comply with any of the obligations under our license agreements, we may be required to pay damages and the licensor may have the right to terminate the license. Termination by the licensor could cause us to lose valuable rights, prevent us from continuing related research and development activities, or otherwise materially and negatively impact our business. If our licensors fail to abide by the terms of a license agreement, if they fail to enforce licensed intellectual property against infringing third parties, if the licensed intellectual property is found to be invalid or unenforceable, or if we are unable to enter into necessary license agreements on acceptable terms or at all, we may be forced to engage in litigation to enforce our rights. This litigation may not be successful and may consume substantial amounts of time and resources. These circumstances could have a material adverse effect on our business, development efforts,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An active, liquid trading market for our common stock may not be sustained, which could make it difficult for stockholders to sell their shares of our common stock.</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Further, Mr. Hsieh, our founder, Chief Executive Officer and Chairman of our board of directors, beneficially owns approximately 28.3% of our outstanding voting equity as of December 31, 2024.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you could lose all or part of your investment.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tests or new tests that may emerge, particularly if competitive factors in our industry, including prices for testing and testing services, become more acute or the introduction of new products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or exceed financial estimates and projections of the investment community or guidance we have provided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our common stock;</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investments, strategic relationships,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investments in our business and the market’s perception of these investments and their impact on our prospects;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or regulations applicable to our business or our tests;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we are able to obtain marketing approval to market any of our drug candidates and the outcome of meetings with applicable regulatory agencies, including the FDA;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success, costs and timing of preclinical studies and clinical trials for our current or future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our drug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by current or potential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as and when needed on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affect, or have the potential to affect, general economic conditions, including but not limited to political unrest, global trade wars, natural disasters, act of war, terrorism, or disease outbreaks;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1" w:name="page72"/>
    <w:bookmarkEnd w:id="71"/>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this report.</w:t>
      </w:r>
    </w:p>
    <w:p>
      <w:pPr>
        <w:spacing w:after="0" w:line="117" w:lineRule="exact"/>
        <w:rPr>
          <w:sz w:val="20"/>
          <w:szCs w:val="20"/>
          <w:color w:val="auto"/>
        </w:rPr>
      </w:pPr>
    </w:p>
    <w:p>
      <w:pPr>
        <w:ind w:right="220" w:firstLine="56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beneficial owners of 5% or more of our outstanding voting equity and their respective affiliates collectively beneficially own approximately 49.8% of our outstanding voting equity as of December 31, 2024, and of this, Mr. Hsieh, our founder, Chief Executive Officer and Chairman of our board of directors, by himself beneficially owns approximately 28.3% of our outstanding voting equity as of December 31, 2024.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51"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The vast majority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raise capital or for other strategic purposes, we may sell common stock, convertible securities or other equity securities in one or more transactions at prices and in a manner we determine from time to time. We also may issue common stock or grant other equity awards for compensatory purposes under our equity incentive plan. If we issue common stock, convertible securities or other equity securities, including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68" w:lineRule="exact"/>
        <w:rPr>
          <w:sz w:val="20"/>
          <w:szCs w:val="20"/>
          <w:color w:val="auto"/>
        </w:rPr>
      </w:pPr>
    </w:p>
    <w:p>
      <w:pPr>
        <w:ind w:left="1020" w:right="4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our stockholders, up to 1.0 million shares of undesignated or “blank check” preferred stock;</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thus requiring all stockholder actions to be taken at a duly noticed and held meeting of our stockholders;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the board of directors, except as may be required by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amend our bylaws, subject to the power of our stockholders to repeal any such amendment;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by our stockholders on the election of directors;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stockholders to propose nominees for election as directors or matters to be acted upon at annual meetings of stockholders.</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91"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brought on our behalf;</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action brought by a stockholder against us or any of our directors, officers or other employees, alleging a breach of a fiduciary duty;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3" w:name="page74"/>
    <w:bookmarkEnd w:id="73"/>
    <w:p>
      <w:pPr>
        <w:ind w:left="1020" w:right="3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alleging a violation of the DGCL, our certificate of incorporation or our bylaws;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asserting a claim against us governed by the internal affairs doctrine.</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customers, clients,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procedures, and practices are based on recognized frameworks established by the National Institute of Standards and Technology, or NIST and other applicable industry standards. In general, we seek to address cybersecurity risks through a comprehensive, cross-functional approach that is focused on preserving the confidentiality, security, integrity, and availability of the information that we collect and store by identifying, preventing, and mitigating cybersecurity threats and effectively responding to cybersecurity incidents when they occur.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 Effect of Risk</w:t>
      </w:r>
    </w:p>
    <w:p>
      <w:pPr>
        <w:spacing w:after="0" w:line="22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employ a range of tools and services, including regular network and endpoint monitoring, vulnerability assessments, penetration testing, threat monitoring and tabletop exercises to inform our risk identification and assessment.</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NIST and Center for Internet Security,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also perform periodic risk assessments, which includes cybersecurity risks, monitor emerging data protection laws and implement changes to our processes that are designed to comply with such laws; through our policies, practices, and/or contracts (as applicable), require employees and certain third parties to treat confidential information and data with care; periodically update our relevant policies and procedures; 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provide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20"/>
        <w:spacing w:after="0" w:line="255" w:lineRule="auto"/>
        <w:rPr>
          <w:sz w:val="20"/>
          <w:szCs w:val="20"/>
          <w:color w:val="auto"/>
        </w:rPr>
      </w:pPr>
      <w:r>
        <w:rPr>
          <w:rFonts w:ascii="Times New Roman" w:cs="Times New Roman" w:eastAsia="Times New Roman" w:hAnsi="Times New Roman"/>
          <w:sz w:val="18"/>
          <w:szCs w:val="18"/>
          <w:color w:val="auto"/>
        </w:rPr>
        <w:t>regular, mandatory training for our employees regarding cybersecurity threats as a means to equip them with effective tools and knowledge necessary to identify or address cybersecurity threats and to communicate our evolving information security policies, standards, processes and practices; conduct regular phishing email simulations to enhance awareness and responsiveness to possible threats; conduct annual cybersecurity training for our board of directors and senior management; run tabletop exercises to simulate a response to a cybersecurity incident and use the findings to improve our processes and technologies; leverage the NIST incident handling framework to help us identify, protect, detect, respond, and recover when there is an actual or potential cybersecurity incident; engage consultants to help us oversee and manage cybersecurity risks, processes, and incident response measures; and carry information security risk insurance that provides protection against the potential losses arising from a cybersecurity incident.</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incident response plan outlines and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Our incident response plan further outlines the roles and responsibilities of various employees, managers, and senior leadership with respect to performing a materiality assessment and responding to cybersecurity events that are deemed material, as well as provides rapid escalation procedures after a cybersecurity incident. In the event of an incident, we intend to follow our incident response plan, which outlines the steps to be followed from incident detection to mitigation, recovery, and notification, including notifying functional areas (e.g. legal), as well as senior leadership and our board of directors, as appropriate.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cyber risk management program is integrated within the Company’s enterprise risk management system and addresses both the corporate information technology environment and customer-facing products and services. The risk management program is focused on safeguarding the organization’s digital assets, ensuring continuous business operations, and minimizing the potential impact of cyber threats. Regular assessments, including penetration tests, are performed. These inputs form the basis of a risk register that is integrated into the overall enterprise risk management program to further inform the Company’s strategy assessing the likelihood, impact, and velocity of these risks on a forward-looking basis.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and other third parties, review our cybersecurity program to help identify areas for continued focus, improvement, and compliance. We engage them, specifically, to assist us with cybersecurity risk assessments, external threat environment reviews, internal cybersecurity policy compliance and near-term incident response. Our processes also address cybersecurity threat risks associated with our use of third-party service providers, including our key suppliers, which have access to consumer, patient, and employee data or our systems. In addition, cybersecurity considerations affect the selection and oversight of our third-party service providers. We periodically perform diligence on certain third parties that have access to our systems, data, or facilities that house such systems or data; and we monitor cybersecurity threat risks identified through such diligence.</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“Actual or attempted security incidents or breaches, loss of data, or other disruptions could expose us to material liability and materially and adversely affect our business, financial condition, and our reputation,” which disclosures are incorporated by reference herein.</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As of the date of this report, we do not believe that risks from any cybersecurity threats, including as a result of any previous cybersecurity incidents, have materially affected or are reasonably likely to affect us, including our business strategy, results of operations or financial condition. However, we are aware that changes in our IT systems, including those provided by third parties, could expose us to risk in the future. These threats pose a risk to the security of our systems and networks and the confidentiality, availability, and integrity of our data. Cybersecurity attacks could also include attacks targeting patient, employee, or customer data or the security, integrity, and/or reliability of the hardware and software we utilize in our business operations. It is possible that our information technology systems and networks, or those managed or provided by third parties, could have vulnerabilities, which could go unnoticed for a period of time. While various procedures and controls have been and are being utilized to mitigate such risks, there can be no guarantee that the actions and controls we have implemented and are implementing will be sufficient to protect and mitigate associated risks to our systems, information, or other property. For more information, see the risk factors included in Item 1A of this Annual Report.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Management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certain of these risks to its committees, and our board of directors has authorized our audit committee to oversee risks from cybersecurity threats.</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 least quarterly, our board of directors receives an update from management of our cybersecurity threat risk management and strategy processes, covering topics such as data security posture, any results from third-party assessments, progress towards pre-determined risk-mitigation-related goals, our incident response plan, material cybersecurity threat risks or incidents and developments, as well as the steps management has taken to respond to such risks. In such sessions, our board of directors generally receives materials that include a cybersecurity dashboard and/or other materials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and discusses such matters with our Chief Information Security Officer and/or General Counsel and Chief Privacy Officer. Our board of directors also receive prompt and timely information regarding any cybersecurity incident that meets established reporting thresholds, as well as ongoing updates regarding any such incident until it has been addressed.</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Members of board of directors are also encouraged to regularly engage in conversations with management on cybersecurity-related news and events and discuss any updates to our cybersecurity risk management and strategy programs. Material cybersecurity threat risks are also considered during separate board meeting discussions of important matters like enterprise risk management, operational budgeting, business continuity planning, mergers and acquisitions, brand management, and other relevant matters. Our Chief Information Security Officer advises our Board on the specific vulnerabilities we identified and the controls we put in place to mitigate our risk.</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cybersecurity program is managed by a dedicated team, which is led by our Chief Information Security Officer, (CISO who reports to the Chief Operating Officer and has to the ability to communicate directly to our CEO if necessary). Our CISO has over 20 years of IT experience, including over 18 years of cybersecurity experience, holds an M.S. degree in Information Security, and is a Certified Information Systems Security Professional (CISSP). Our General Counsel and Chief Privacy Officer is an attorney with 18 years of experience, including experience in privacy matters. They are also a Certified Information Privacy Professional (CIPP/US/E), a Certified Privacy Manager (CIPM), and a Privacy Law Specialist (PLS) with the International Association of Privacy Professionals (IAPP). As discussed above, our CISO and/or General Counsel and Chief Privacy Officer report to our board of directors about cybersecurity threat risks, among other cybersecurity related matters, on a quarterly basis.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cybersecurity risk management and data strategy processes are further overseen by certain management team members. Together with CISO and our General Counsel and Chief Privacy Officer, these management team members are regularly informed about and routinely monitor the prevention, mitigation, detection, and remediation of cybersecurity incidents through their ongoing management of, and participation in, the cybersecurity risk management and strategy processes described above, including the operation of our incident response plan. Such individuals have extensive prior work experience in various roles involving managing information security, developing cybersecurity strategy, implementing effective information and cybersecurity programs, as well as several relevant degrees and certifications.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and laboratory operations are located in El Monte, California, where we own and occupy 61,612 square feet of building space situated on 2.6 acres of land. We have built a CLIA-certified laboratory at this location. We use these facilities for laboratory testing and management activities and certain research and development, administrative and other functions.</w:t>
      </w:r>
    </w:p>
    <w:p>
      <w:pPr>
        <w:spacing w:after="0" w:line="68"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We have CLIA-certified laboratories located in Coppell, Texas; Alpharetta, Georgia; Phoenix, Arizona; and Needham, Massachusetts. In Coppell, Texas, we own and occupy approximately 96,500 square feet of building and space situated on 6.8 acres of land. In Alpharetta, Georgia, we own and occupy approximately 65,000 square feet of building and space situated on 8.5 acres of land. In Phoenix, Arizona, we lease and occupy approximately 25,000 square feet under a lease that will expire in November 2025. In Needham, Massachusetts, we lease and occupy approximately 21,000 square feet under a lease that will expire in September 2027. We use these facilities for laboratory testing and certain administrative and other functions.</w:t>
      </w:r>
    </w:p>
    <w:p>
      <w:pPr>
        <w:spacing w:after="0" w:line="168" w:lineRule="exact"/>
        <w:rPr>
          <w:sz w:val="20"/>
          <w:szCs w:val="20"/>
          <w:color w:val="auto"/>
        </w:rPr>
      </w:pPr>
    </w:p>
    <w:p>
      <w:pPr>
        <w:ind w:right="980" w:firstLine="509"/>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adequate for our current and expected near-term needs and additional space would be available on commercially reasonable terms if required.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ind w:right="8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Consolidated Financial Statements, we are engaged in certain legal investigations,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audits and voluntary disclosure processes, and the disclosure set forth in Note 8 relating to these certain legal matters is incorporated herein by reference.</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are inherently uncertain, and there can be no assurances that a favorable outcome will be obtained.</w:t>
      </w:r>
    </w:p>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77" w:name="page78"/>
    <w:bookmarkEnd w:id="7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840" w:right="1800" w:hanging="4833"/>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September 29, 2016, our common stock was listed for trading on Nasdaq under the symbol “FLGT.” There was no public market for our common stock prior to September 29, 2016.</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February 1, 2025, there were 11 holders of record of our common stock, plus an indeterminate number of additional stockholders whose shares of our common stock are held on their behalf by brokerage firms or other agents.</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Times New Roman" w:cs="Times New Roman" w:eastAsia="Times New Roman" w:hAnsi="Times New Roman"/>
          <w:sz w:val="18"/>
          <w:szCs w:val="18"/>
          <w:b w:val="1"/>
          <w:bCs w:val="1"/>
          <w:color w:val="auto"/>
        </w:rPr>
        <w:t>.</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$190.8 million of the net proceeds from sales of our common stock, of which, $4.5 million was used for contributions to FF Gene Biotech prior to the FF Gene Biotech Acquisition, $170.5 million was used to fund the Company’s operation and a business combination, and $15.8 million was used to pay off the investment margin loan.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Performance Graph</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calculated on a dividend-reinvested basis, in Fulgent's Common Stock, the Nasdaq Composite Index, and the Nasdaq Biotechnology Index for the five years ended December 31, 2024. The comparison assumes that $100 was invested in the Company’s common stock, the NASDAQ Composite Index, and the Nasdaq Biotechnology Index as of the market close on December 31, 2019. Note that historic stock price performance is not necessarily indicative of future stock price performance.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1416685</wp:posOffset>
            </wp:positionH>
            <wp:positionV relativeFrom="page">
              <wp:posOffset>706120</wp:posOffset>
            </wp:positionV>
            <wp:extent cx="5031740" cy="3909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03174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during the year ended December 31, 2024 and the average price paid per share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68"/>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Per Share (1)</w:t>
            </w: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9"/>
                <w:szCs w:val="9"/>
                <w:color w:val="auto"/>
              </w:rPr>
            </w:pPr>
          </w:p>
        </w:tc>
        <w:tc>
          <w:tcPr>
            <w:tcW w:w="148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2024 (3/1/2024-3/31/2024)</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150,461,000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-170815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included in this report and contains forward-looking statements within the meaning of Section 27A of the Securities Act and Section 21E of the Exchange Act. We have omitted discussion of 2022 results where it would be redundant to the discussion previously included in Item 7 of our 2023 Annual Report on Form 10-K.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PK profile of new and existing cancer drugs.</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recorded revenue and net (loss) from operations of $283.5 million and ($42.7) million, respectively, in 2024, compared to revenue and net (loss) from operations of $289.2 million and ($167.8) million, respectively, in 2023.</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Developments</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2024, we began enrollment of a Phase 2, randomized, multi-center, open-label trial of FID-007 in patients with recurrent or metastatic H&amp;N squamous cell carcinoma, established seven testing sites, and as of December 31, 2024, we had enrolled 17 patients. In December 2024, we filed an IND for the investigation of FID-022 in a Phase 1/1b clinical trial, and in January 2025, the IND for this trial was cleared by the FDA.</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Tests Delivered</w:t>
      </w:r>
    </w:p>
    <w:p>
      <w:pPr>
        <w:spacing w:after="0" w:line="121"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offer our tests and testing services at different price points, and we incur different amounts and types of costs, depending on the nature and level of complexity and customization of the test and the specific terms we have negotiated for the tests and testing services, which can vary from customer to customer. As a result, the mix of tests delivered in any period, and the customers that order these tests, impacts our financial results for the period.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Customers and Purchasing Terms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The composition and concentration of our customer base can fluctuate from period to period, and in certain prior periods, a small number of customers have accounted for a significant portion of our revenue.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right="20"/>
        <w:spacing w:after="0" w:line="258" w:lineRule="auto"/>
        <w:rPr>
          <w:sz w:val="20"/>
          <w:szCs w:val="20"/>
          <w:color w:val="auto"/>
        </w:rPr>
      </w:pPr>
      <w:r>
        <w:rPr>
          <w:rFonts w:ascii="Times New Roman" w:cs="Times New Roman" w:eastAsia="Times New Roman" w:hAnsi="Times New Roman"/>
          <w:sz w:val="18"/>
          <w:szCs w:val="18"/>
          <w:color w:val="auto"/>
        </w:rPr>
        <w:t>we do not have long-term purchase agreements with any of our customers, including these key customers, and, as result, any or all of them could decide at any time to increase, accelerate, decrease, delay or discontinue their orders from us. Although we believe some of these fluctuations in customer demand may be attributable in part to the nature of our business, in which our customers can experience significant volatility in their testing demand from period to period in the ordinary course of their operations, these demand fluctuations, particularly for our key customers, can have a significant impact on our period-to-period performance regardless of their cause.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currently classify our customers into three payor types: (i) Insurance,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insurance payors in connection with a patient’s diagnosis related group. A small percentage of our customers are patients, who elect to pay for tests themselves with out-of-pocket payments after their physicians have ordered our tests.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continue to make efforts to diversify our customer market, including building relationships with hospitals and affiliated specialties related to our service offerings.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or have developed with any government agencies are subject to unique risks associated with government contracts, including cancellation if adequate appropriations for subsequent performance periods are not made and modification or termination at the government’s convenience without prior notice. These efforts may not lead to meaningful or any increases in our customer base and may not improve our ability to achieve or sustain profitability.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Our Broad and Flexible Test Menu</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Times New Roman" w:cs="Times New Roman" w:eastAsia="Times New Roman" w:hAnsi="Times New Roman"/>
          <w:sz w:val="18"/>
          <w:szCs w:val="18"/>
          <w:i w:val="1"/>
          <w:iCs w:val="1"/>
          <w:color w:val="auto"/>
        </w:rPr>
        <w:t>Focus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Comprehensive</w:t>
      </w:r>
      <w:r>
        <w:rPr>
          <w:rFonts w:ascii="Times New Roman" w:cs="Times New Roman" w:eastAsia="Times New Roman" w:hAnsi="Times New Roman"/>
          <w:sz w:val="18"/>
          <w:szCs w:val="18"/>
          <w:color w:val="auto"/>
        </w:rPr>
        <w:t xml:space="preserve"> oncology panels and </w:t>
      </w:r>
      <w:r>
        <w:rPr>
          <w:rFonts w:ascii="Times New Roman" w:cs="Times New Roman" w:eastAsia="Times New Roman" w:hAnsi="Times New Roman"/>
          <w:sz w:val="18"/>
          <w:szCs w:val="18"/>
          <w:i w:val="1"/>
          <w:iCs w:val="1"/>
          <w:color w:val="auto"/>
        </w:rPr>
        <w:t>Beacon</w:t>
      </w:r>
      <w:r>
        <w:rPr>
          <w:rFonts w:ascii="Times New Roman" w:cs="Times New Roman" w:eastAsia="Times New Roman" w:hAnsi="Times New Roman"/>
          <w:sz w:val="18"/>
          <w:szCs w:val="18"/>
          <w:color w:val="auto"/>
        </w:rPr>
        <w:t xml:space="preserve"> carrier screening panels and somatic cancer panels. In addition, all of our genetic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Low Internal Costs and Inflation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developed various proprietary technologies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allows us to maintain affordable and competitive pricing for our customers, which we believe encourages repeat ordering from existing customers and attracts new customers. We believe this low internal cost is a key factor in our ability to grow our business and obtain margins on our sales that allow us to drive toward sustained profitability.</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our costs. Moreover, changes in our other operating expenses, due to investments in these aspects of our business or other factors, are not taken into account but impact our overall results, which can limit the utility of cost as an overall cost measurement tool.</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Similar to other companies in our industry, we have and may again experience the effects of inflation in the costs of labor, materials and services in connection with the marketing of our tests and testing services and in connection with our research and development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Obtain Reimbursement and Government Audits and Investigations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Much of our revenue depends on receiving reimbursement for our tests from insurance payors, including our Insurance and Institutional customers. These payors have complicated rules and procedures regarding submissions for reimbursement and their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80"/>
        <w:spacing w:after="0" w:line="253" w:lineRule="auto"/>
        <w:rPr>
          <w:sz w:val="20"/>
          <w:szCs w:val="20"/>
          <w:color w:val="auto"/>
        </w:rPr>
      </w:pPr>
      <w:r>
        <w:rPr>
          <w:rFonts w:ascii="Times New Roman" w:cs="Times New Roman" w:eastAsia="Times New Roman" w:hAnsi="Times New Roman"/>
          <w:sz w:val="18"/>
          <w:szCs w:val="18"/>
          <w:color w:val="auto"/>
        </w:rPr>
        <w:t>reimbursement practices and procedures may vary from period to period. Reimbursed amounts are often subject to audit, and our ability to collect and retain reimbursement from these payors may vary from period to period. If we are unable to obtain or retain reimbursement during any period, our rate of reimbursement is lower than expected or if reimbursement is delayed, our results of operations may be correspondingly affected and fluctuate significantly from period to period. As part of our business plan for future growth, we intend to pursue coverage and reimbursement from insurance payors at a level adequate for us to again achieve and maintain profitability. However, we cannot predict whether, under what circumstances, or at what payment levels payors will cover and reimburse for our tests, and even if we are successful, we believe it could take several years to achieve coverage and adequate contracted reimbursement with insurance payors. To date, we have contracted directly with national health insurance companies to become an in-network provider and enrolled as a supplier with the Medicare program and some state Medicaid programs, which means that we have agreed with these payors to provide certain of our tests at negotiated rates. Although this does not guarantee that we will receive reimbursement for our tests from these or any other payors at adequate levels, we believe our low cost could enhance our ability to compete effectively in the insurance payor market and our flexibility in establishing relationships with additional insurance payors in the future. Our level of success in obtaining and maintaining adequate coverage and reimbursement from insurance payors for our testing services will, we believe, be a key factor in the rate and level of growth of our business over the long term.</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These reimbursement activities also subject us to payor and government audits and investigations such as the HRSA audit and the CIDs discussed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to the Consolidated Financial Statements. The results of these matters and the expenses and use of resources needed in connection with these and similar matters could materially affect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Fluctuations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Testing Services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experienced significant volume growth in 2020, 2021 and 2022 after the launch of our COVID-19 testing services in 2020. Most of this growth in our testing volume resulted from COVID-19 tests that we conducted for certain counties, states and municipalities during the pandemic. However, due to decreased demand of COVID-19 testing following the pandemic and our decision to scale back our COVID-19 testing services, we do not expect material revenue from COVID-19 testing in future periods.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this report.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laboratory service segment generates revenue from molecular testing, including precision diagnostics and anatomic pathology, BioPharma services, and COVID-19 testing. We recognize revenue upon delivery of a report to the ordering physician or other customer based on the established billing rate, less contractual and other adjustments, to arrive at the amount we expect to collect. Our therapeutic development segment is still pre-revenue.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and consists of: costs of laboratory reagents and supplies; personnel costs, including salaries, employee benefit costs, bonuses and equity-based compensation expenses; depreciation of laboratory equipment; delivery and courier costs relating to the transportation of specimens to be tested; amortization of leasehold improvements; and allocated overhead expenses, including rent and utilities. Costs associated with performing tests are recorded as tests are processed.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are classified into five categories: research and development; selling and marketing; general and administrative; amortization of intangible assets; and goodwill impairment loss, if any. For each category except for amortization of intangible assets and goodwill impairment loss, the largest component is personnel costs, which include salaries, employee benefit costs, bonuses and equity-based compensation expenses.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tests and treatments and our drug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consist of:</w:t>
      </w:r>
    </w:p>
    <w:p>
      <w:pPr>
        <w:spacing w:after="0" w:line="9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benefits, and other employee-related costs, such as bonuses and equity-based compensation expenses;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including consulting fees and related travel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conducting clinical studies to develop and support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costs, including electronic medical record set up costs, costs associated with setting up and conduct clinical studies at domestic and international sites;</w:t>
      </w: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expenses, including rent, information technology, equipment depreciation and utilities.</w:t>
      </w:r>
    </w:p>
    <w:p>
      <w:pPr>
        <w:spacing w:after="0" w:line="31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will continue to increase in absolute dollars, as we expect to continue to invest in research and development activities and continue to innovate and expand the application of our platform. Furthermore, we expect our research and development expenses for our therapeutic development segment to increase as we incur incremental expenses associated with our drug candidates that are currently under development and in clinical trials. Drug candidates in later stages of clinical development generally have higher development costs, primarily due to the increased size and duration of later-stage clinical trials. Accordingly, we expect to incur significant research and development expenses in connection with our Phase 2 trials for FID-007 and the initiation of clinical trials for FID-022.</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increase in absolute dollars, primarily driven by our increased investment in sales and marketing, including developing and expanding our sales team, creating and implementing new sales and marketing strategies and increasing the overall scope of our marketing efforts.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general and administrative expenses as a result of operating as a public company, including expenses related to compliance with the rules and regulations of the SEC, and Nasdaq, additional insurance expenses, investor relations activities and other administrative and professional services.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Loss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goodwill impairment loss is measured as the amount by which a reporting unit’s carrying value, including goodwill, exceeds its fair value, not to exceed the carrying amount of goodwill.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3" w:name="page84"/>
    <w:bookmarkEnd w:id="8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consist of amortization expense on customer relationships, royalty-free technology, trade name, laboratory information system platform and in-place intangible assets that arose from the business combinations and a patent acquired. We amortize finite lived intangible assets over the period of estimated benefit using the straight-line method. Indefinite lived intangible assets are tested for impairment annually or whenever events or circumstances indicate that the carrying amount of the asset may not be recoverable. If impairment is indicated, we measure the amount of the impairment loss as the amount by which the carrying amount exceeds the fair value of the asset.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(Benefit from) 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factors that most significantly impact our effective tax rate include the levels of net earnings and certain deductions, including those related to equity-based compensation, tax credits, the reclassification of stranded tax effects from other comprehensive income, and the effect of state income taxes. We expect that these factors could cause our consolidated effective tax rate to differ significantly from the U.S. federal income tax rate in future periods.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Historical results are not indicative of the results to be expected in the current period or any future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11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80" w:type="dxa"/>
            <w:vAlign w:val="bottom"/>
            <w:gridSpan w:val="5"/>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2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(5,743 )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184,757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(8,502 )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09"/>
        </w:trPr>
        <w:tc>
          <w:tcPr>
            <w:tcW w:w="4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107,215</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4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(5,221 )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(120,234 )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299,985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(118,852 )</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4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(73,918 )</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(195,529 )</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121,611</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available-for-sale debt securities</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(10,073 )</w:t>
            </w:r>
          </w:p>
        </w:tc>
        <w:tc>
          <w:tcPr>
            <w:tcW w:w="2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(10,073 )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(51,956 )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(174,085 )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(8,136 )</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(9,290 )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(805 )%</w:t>
            </w:r>
          </w:p>
        </w:tc>
      </w:tr>
      <w:tr>
        <w:trPr>
          <w:trHeight w:val="20"/>
        </w:trPr>
        <w:tc>
          <w:tcPr>
            <w:tcW w:w="4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from consolidated operations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(43,820 )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(175,239 )</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131,419</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(6,302 )</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4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(42,708 )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(167,825 )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125,117</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169"/>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 not meaningful</w:t>
            </w: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16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r>
      <w:tr>
        <w:trPr>
          <w:trHeight w:val="608"/>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-3839845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-3839845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-3839845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-2716530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-2716530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-2716530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-1885315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-1885315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-1885315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-1028065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-1010920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-1028065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-1010920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-1028065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-1010920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4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r>
      <w:tr>
        <w:trPr>
          <w:trHeight w:val="223"/>
        </w:trPr>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Precision diagnostics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131,990</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35,755</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Anatomic pathology</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(7,575 )</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BioPharma services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(9,078 )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(24,845 )</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r>
      <w:tr>
        <w:trPr>
          <w:trHeight w:val="20"/>
        </w:trPr>
        <w:tc>
          <w:tcPr>
            <w:tcW w:w="46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(5,743 )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Revenue decreased by $5.7 million, or 2%, from $289.2 million in 2023 to $283.5 million in 2024. The decrease in revenue between periods was driven by decreases of $24.8 million in COVID-19 testing, $9.1 million in BioPharma services, and $7.6 million in anatomic pathology. However, these declines were offset by an increase of $35.8 million in precision diagnostics.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decrease in COVID-19 testing services resulted from the cessation of testing operations at the end of March 2023. Continued COVID-19 revenues after March 2023 are due to variable consideration recognized for services completed in prior periods. The decrease in anatomic pathology services was due to lower reimbursement rates from insurance payors and client losses. The decrease in BioPharma services revenue was primarily due to the scaling back or termination of certain projects, as some clients faced financial distress, underwent restructuring, shifted strategic priorities, adapted to market changes, or completed large clinical trials. BioPharma services revenue is expected to remain variable due to the long sales cycle and project timing differences. Conversely, the increase in precision diagnostics revenue was driven by growth in our reproductive health services and legacy diagnostic offerings.</w:t>
      </w:r>
    </w:p>
    <w:p>
      <w:pPr>
        <w:spacing w:after="0" w:line="18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repaid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segment, aggregating customers that are under common control, one customer comprised $62.6 million or 22% of our revenue in 2024 and $35.7 million or 12% of our revenue in 2023. To reduce this revenue risk, we will focus on increasing the number of customers and thereby reducing the concentration.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by $4.1 million, or 20%, from $20.2 million in 2023 to $24.3 million in 2024. The increase in revenue from non-U.S. sources between periods were primarily due to increased sales of our traditional genetic testing services to customers in China through our joint venture, which contributed $11.8 million in total revenue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10"/>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r>
      <w:tr>
        <w:trPr>
          <w:trHeight w:val="223"/>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184,757</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(8,502 )</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62.2 %</w:t>
            </w:r>
          </w:p>
        </w:tc>
        <w:tc>
          <w:tcPr>
            <w:tcW w:w="1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63.9 %</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30"/>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consolidated cost of revenue decreased by $8.5 million, or 5%, from $184.8 million in 2023 to $176.3 million in 2024. The decrease was primarily due to decreases of $6.7 million in consulting and outside labor costs for production, $1.7 million in software and software licensing expenses, $1.4 million in personnel costs, including equity-based compensation, $0.8 million in shipping expenses, and $0.2 million in dues and subscriptions expense, related to efforts of optimizing cost structures including bringing certain operations in house, consolidating laboratory operations, and the cessation of our COVID-19 testing operations, and partially offset by an increase of $1.8 million in reagent and supply costs and $0.5 million in depreciation expenses.</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63.9% to 62.2%. Our gross profit increased by $2.8 million, or 3%, from $104.5 million in 2023 to $107.2 million in 2024. Our gross profit as a percentage of revenue, or gross margin, increased from 36.1% to 37.8%. This is driven by the efforts of optimizing cost structures as discussed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10"/>
        </w:trPr>
        <w:tc>
          <w:tcPr>
            <w:tcW w:w="4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r>
      <w:tr>
        <w:trPr>
          <w:trHeight w:val="223"/>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60" w:type="dxa"/>
            <w:vAlign w:val="bottom"/>
            <w:gridSpan w:val="5"/>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739"/>
              <w:spacing w:after="0"/>
              <w:rPr>
                <w:sz w:val="20"/>
                <w:szCs w:val="20"/>
                <w:color w:val="auto"/>
              </w:rPr>
            </w:pPr>
            <w:r>
              <w:rPr>
                <w:rFonts w:ascii="Times New Roman" w:cs="Times New Roman" w:eastAsia="Times New Roman" w:hAnsi="Times New Roman"/>
                <w:sz w:val="18"/>
                <w:szCs w:val="18"/>
                <w:color w:val="auto"/>
              </w:rPr>
              <w:t>29,748</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(1,324 )</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center"/>
              <w:ind w:left="739"/>
              <w:spacing w:after="0"/>
              <w:rPr>
                <w:sz w:val="20"/>
                <w:szCs w:val="20"/>
                <w:color w:val="auto"/>
              </w:rPr>
            </w:pPr>
            <w:r>
              <w:rPr>
                <w:rFonts w:ascii="Times New Roman" w:cs="Times New Roman" w:eastAsia="Times New Roman" w:hAnsi="Times New Roman"/>
                <w:sz w:val="18"/>
                <w:szCs w:val="18"/>
                <w:color w:val="auto"/>
              </w:rPr>
              <w:t>11,692</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739"/>
              <w:spacing w:after="0"/>
              <w:rPr>
                <w:sz w:val="20"/>
                <w:szCs w:val="20"/>
                <w:color w:val="auto"/>
              </w:rPr>
            </w:pPr>
            <w:r>
              <w:rPr>
                <w:rFonts w:ascii="Times New Roman" w:cs="Times New Roman" w:eastAsia="Times New Roman" w:hAnsi="Times New Roman"/>
                <w:sz w:val="18"/>
                <w:szCs w:val="18"/>
                <w:color w:val="auto"/>
              </w:rPr>
              <w:t>41,440</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For the laboratory services segment, the research and development expenses were mainly for advancing our technology and future testing and testing services. The expenses decreased by $1.3 million, or 4%, from $29.7 million in 2023 to $28.4 million in 2024. The decrease was primarily attributed to reductions of $0.6 million in facility expenses due to the consolidation of office and laboratory space, $0.3 million in depreciation expenses, $0.2 million in personnel expenses, and $0.1 million in consulting and external labor expenses.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2024, the research and development expenses primarily consisted of $25.3 million in personnel expenses, including bonuses and equity-based compensation, $1.4 million in reagent and supply costs, $0.6 million in facility expenses, $0.4 million in depreciation expense, and $0.4 million in software and licensing fees. The 2023 expenses primarily consisted of $25.5 million in personnel expenses, including bonuses and equity-based compensation, $1.4 million in reagent and supply costs, $1.1 million in facility expenses, $0.7 million in depreciation expense, and $0.4 million in software and licensing fees.</w:t>
      </w:r>
    </w:p>
    <w:p>
      <w:pPr>
        <w:spacing w:after="0" w:line="18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2024 included $10.9 million in CRO costs, $8.6 million in personnel costs, including equity-based compensation, and $0.7 million in depreciation expenses. In 2023, these expenses comprised $6.4 million of personnel expenses, including equity-based compensation, $4.5 million in CRO costs, and $0.7 million in depreciation expenses.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$8.7 million, or 74%, from $11.7 million in 2023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 million in 2024. The increase was primarily driven by increases of $6.4 million in CRO costs and $2.2 million in personnel costs, including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 The overall increase was attributed to the advancement and continuation of the clinical study of FID-007, along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preclinical work for FID-022. In 2024, approximately $2.1 million was incurred for the preclinical development of FID-022, whereas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 2023 were minimal.</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consolidated selling and marketing expenses decreased by $5.2 million, or 13%, from $41.5 million in 2023 to $36.2 million in 2024. The decrease was primarily due to decreases of $1.9 million in facility expenses due to the consolidation of office space, $1.3 million in consulting and outside labor expenses, $1.0 million in advertising and marketing expenses, $0.9 million in commissions, $0.6 million in depreciation expenses, $0.3 million in losses of fixed asset disposals, and $0.2 million in software and software licensing expenses, and partially offset by an increase of $1.0 million personnel costs, including equity-based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consolidated general and administrative expenses decreased by $0.9 million, or 1%, from $89.0 million in 2023 to $88.1 million in 2024. The decrease was primarily due to decreases of $10.1 million in legal and professional fees related to a voluntary disclosure, see Note 8, </w:t>
      </w:r>
      <w:r>
        <w:rPr>
          <w:rFonts w:ascii="Times New Roman" w:cs="Times New Roman" w:eastAsia="Times New Roman" w:hAnsi="Times New Roman"/>
          <w:sz w:val="18"/>
          <w:szCs w:val="18"/>
          <w:i w:val="1"/>
          <w:iCs w:val="1"/>
          <w:color w:val="auto"/>
        </w:rPr>
        <w:t>Debt,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of our consolidated financial statements included in this report, $1.6 million in insurance expenses, $0.8 million in provision for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due to subsequent collections from customers who were previously reserved, and $0.7 million in depreciation expenses and partially offset by increases of $11.4 million in personnel costs, including equity-based compensation, and $0.8 million in software and software licensing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2022 and 2021, and a patent purchased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1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9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4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impairment loss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144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(120,234 )</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29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144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(120,234 )</w:t>
            </w:r>
          </w:p>
        </w:tc>
        <w:tc>
          <w:tcPr>
            <w:tcW w:w="1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-156845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-156845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-10795</wp:posOffset>
            </wp:positionV>
            <wp:extent cx="38487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-95885</wp:posOffset>
            </wp:positionV>
            <wp:extent cx="38487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impairment loss for 2023 was comprised of a full goodwill impairment loss of $120.2 million for the laboratory services reporting unit. There was no goodwill impairment loss for the year ended December 31, 2024. The full impairment was driven by a sustained decline in our stock price and market capitalization. There was no impairment loss for the therapeutic development unit for the years ended December 31, 2024 and 2023.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more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Other income, net, is primarily comprised of interest income, which was $31.3 million and $21.6 million for 2024 and 2023, respectively, and impairment of available-for-sale debt securities of $10.1 million in 2024. This interest income included interest earned on marketable securities and realized gain or loss on sale of marketable securities. The increase in interest income was primarily due to increased interest rates on marketable securities relative to the prior comparative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(Benefit from) provision for income taxes were ($8.1) million and $1.2 million in 2024 and 2023, respectively. The effective income tax rate was 16.11% and (0.69)% of loss before income taxes for 2024 and 2023, respectively. The change in the effective tax rate compared to prior period is due to the valuation allowance in the current period that precludes us from recognizing the benefit from our net operating losses. The increase in the valuation allowance for 2024 was primarily due to the increase in capitalized Section 174 expenditures.</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report for more information regarding our income taxes.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shareholders from entities not wholly owned.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had $828.6 million and $847.7 million in cash, cash equivalents, restricted cash, and marketable securities as of December 31, 2024 and 2023, respectively. Our marketable securities primarily consist of U.S. government and U.S. agency debt securities, U.S. treasury bills, corporate bonds, municipal bonds, and Yankee debt securities as of December 31, 2024 and 2023.</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for capital expenditures mainly in buildings, building improvements, and equipment, to repurchase our stock,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expect our existing cash, cash equivalent, and short-term marketable securities to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Item 1A of this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cash flows from continuing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7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(58,352 )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(4,847 )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(47,785 )</w:t>
            </w: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our operations provided $21.1 million of cash as compared to $27.0 million in 2023. The decrease in cash provided from operating activities in 2024 compared to the corresponding 2023 period was primarily due to timing of cash receipts from customers and cash payments for operating expenses. We expect to incur more operating expenses and use more cash in operating activities in the coming year as a result of our planned and ongoing clinical trials for FID-007 and FID-022, and as we continue to invest resources to grow our laboratory services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2024 was $58.4 million, which primarily related to $472.4 million in purchase of marketable securities, $40.3 million related to the purchase of fixed assets consisting mainly of building, building improvement, and medical laboratory equipment, and partially offset by $349.8 million related to maturities of marketable securities, $104.3 million related to proceeds from sales of marketable securities, and $0.3 million related to the sale of fixed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provided by investing activities in 2023 was $38.9 million, which primarily related to $508.6 million related to maturities of marketable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$44.1 million related to proceeds from sales of marketable securities, and $0.8 million related to the sale of fixed assets, and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$491.9 million in purchase of marketable securities, $22.2 million related to the purchase of fixed assets consisting mainly of medical laboratory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building improvement, and $0.4 million related to a business acquisition.</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2024 was $4.8 million, which primarily related to $1.2 million used in the repayment of notes payable, and $2.9 million used in common stock withholding for employee tax obligations.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2023 was $47.8 million, which primarily related to $25.1 million used in the repurchase of common stock, $15.0 million used in the repayment for the margin account, $4.3 million used in the repayment of notes payable, and $2.7 million used in common stock withholding for employee tax obligations.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expect to use any credit facilities due to the strong cash position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repurchased 10,000 shares of our common stock at an aggregate cost of $0.2 million under the stock repurchase program. During the year ended December 31, 2023, we repurchased 1.0 million shares of our common stock at an aggregate cost of $25.1 million under the stock repurchase program. During the year ended December 31, 2022, we repurchased 1.8 million shares of our common stock at an aggregate cost of $74.3 million under the stock repurchase program. As of December 31, 2024, a total of approximately $150.5 million remained available for future repurchases of our common stock under our stock repurchase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and Contractual Obligations as of December 31, 2024</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we have an outstanding balance of $2.9 million on an installment loan, of which, the current portion is $0.4 million. See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of our consolidated financial statements included in this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0"/>
                <w:szCs w:val="10"/>
                <w:color w:val="auto"/>
              </w:rPr>
            </w:pPr>
          </w:p>
        </w:tc>
        <w:tc>
          <w:tcPr>
            <w:tcW w:w="900" w:type="dxa"/>
            <w:vAlign w:val="bottom"/>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48,038</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-1079500</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-1079500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-1079500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9" w:name="page90"/>
    <w:bookmarkEnd w:id="89"/>
    <w:p>
      <w:pPr>
        <w:ind w:left="420" w:hanging="365"/>
        <w:spacing w:after="0"/>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non-cancelable operating leases. For further information, refer to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the Consolidated Financial Statements.</w:t>
      </w:r>
    </w:p>
    <w:p>
      <w:pPr>
        <w:spacing w:after="0" w:line="95" w:lineRule="exact"/>
        <w:rPr>
          <w:rFonts w:ascii="Times New Roman" w:cs="Times New Roman" w:eastAsia="Times New Roman" w:hAnsi="Times New Roman"/>
          <w:sz w:val="14"/>
          <w:szCs w:val="14"/>
          <w:color w:val="auto"/>
        </w:rPr>
      </w:pPr>
    </w:p>
    <w:p>
      <w:pPr>
        <w:ind w:left="420" w:hanging="365"/>
        <w:spacing w:after="0"/>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non-cancelable finance leases. For further information, refer to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to the Consolidated Financial Statements.</w:t>
      </w:r>
    </w:p>
    <w:p>
      <w:pPr>
        <w:spacing w:after="0" w:line="95" w:lineRule="exact"/>
        <w:rPr>
          <w:rFonts w:ascii="Times New Roman" w:cs="Times New Roman" w:eastAsia="Times New Roman" w:hAnsi="Times New Roman"/>
          <w:sz w:val="14"/>
          <w:szCs w:val="14"/>
          <w:color w:val="auto"/>
        </w:rPr>
      </w:pPr>
    </w:p>
    <w:p>
      <w:pPr>
        <w:ind w:left="420" w:hanging="365"/>
        <w:spacing w:after="0"/>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purchase obligations for medical lab equipment, reagents and other supplies, see Note 8, </w:t>
      </w:r>
      <w:r>
        <w:rPr>
          <w:rFonts w:ascii="Times New Roman" w:cs="Times New Roman" w:eastAsia="Times New Roman" w:hAnsi="Times New Roman"/>
          <w:sz w:val="14"/>
          <w:szCs w:val="14"/>
          <w:i w:val="1"/>
          <w:iCs w:val="1"/>
          <w:color w:val="auto"/>
        </w:rPr>
        <w:t>Debt, Commitment and Contingencies</w:t>
      </w:r>
      <w:r>
        <w:rPr>
          <w:rFonts w:ascii="Times New Roman" w:cs="Times New Roman" w:eastAsia="Times New Roman" w:hAnsi="Times New Roman"/>
          <w:sz w:val="14"/>
          <w:szCs w:val="14"/>
          <w:color w:val="auto"/>
        </w:rPr>
        <w:t>, to the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is based on our consolidated financial statements included in this report, which have been prepared in accordance with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valuation of intangible assets and goodwill in recent business combinations.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 from sales of our testing services. We currently receive payments from: insurance, institutional customers, including hospitals, medical institutions, other laboratories, governmental bodies, municipalities, and large corporations; and patients who pay directly.</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in an amount that reflects the consideration to which we expect to be entitled in exchange for the transfer of promised goods or services to our customers.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insurance payors, in the absence of Medicare coverage, contractually established reimbursement rates or other coverage, we have concluded that our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measured at the expected value using the “most likely amount” method under Accounting Standards Codification, or ASC, 606 Revenue from Contracts with Customers, or ASC 606. The amounts are determined by the historical average collection rates by test type taking into consideration the range of possible outcomes, the predictive value of our past experiences, the time period of when uncertainties expect to be resolved and the amount of consideration that is susceptible to factors outside of our influence, such as the judgment and actions of third parties. Such 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from the transaction price in situations where there is the absence of a predictable pattern and history of collectability with a payor.</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re-assess our estimated transaction price at the end of each reporting period, including our assessment of whether our estimate of variable consideration is constrained to the extent that it is probable that a significant reversal of cumulative revenue will not occur once any uncertainty is resolved. We record any necessary adjustments in the current period’s revenue. $1.8 million and $23.0 million variable consideration was recognized as additional revenue in the year ended December 31, 2024 and 2023, respectively, that related to collections for COVID-19 tests completed in the prior period.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of Goodwill and Indefinite-Lived Intangible Assets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5" w:right="359" w:bottom="1440" w:gutter="0" w:footer="0" w:header="0"/>
        </w:sectPr>
      </w:pPr>
    </w:p>
    <w:bookmarkStart w:id="90" w:name="page91"/>
    <w:bookmarkEnd w:id="90"/>
    <w:p>
      <w:pPr>
        <w:ind w:right="2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included in this report for information about our valuation and assessment process with regard to potential impairment of goodwill and indefinite-lived intangibles. Also see Note 17,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to our consolidated financial statements included in this report for details on the valuation estimate and results for 2024.</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in-process research &amp; development, or IPR&amp;D, impairment analysis will prove to be accurate predictions of future performance. It is possible that the conclusions regarding impairment or recoverability of goodwill or intangible assets could change in future periods. We will continue to monitor the therapeutic development reporting unit. For all IPR&amp;D projects, there are major risks and uncertainties associated with the timely and successful completion of development and commercialization of these drug candidates, including the ability to confirm their efficacy based on data from clinical trials, the ability to obtain necessary regulatory approvals, and the ability to successfully complete these tasks within budgeted costs. We are not able to market a human therapeutic without obtaining regulatory approvals, and such approvals require completing clinical trials that demonstrate a drug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 for information about recent accounting pronouncements.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market risks from fluctuations in interest rates and foreign currency translation, which may adversely affect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invest in marketable debt securities, including corporate debt securities, municipal bonds, U.S. government and agency debt securities, and debt instruments issued by foreign governments. Our investment policy and strategy are focused on the preservation of capital and supporting our liquidity requirements. We typically invest in highly rated securities, with the primary objective of minimizing the potential risk of principal loss. Our investments in fixed rate interest earning securities carry a degree of interest rate risk. Fixed rate securities may have their fair market value adversely affected due to a rise in interest rates. Unrealized gains or losses on our marketable debt securities are primarily due to interest rate fluctuations as compared to interest rates at the time of purchase. We measure our debt securities at fair value with gains and losses recorded in other comprehensive income (loss) until the securities are sold, less any expected credit losses.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 provide a meaningful assessment of the interest rate risk associated with our investment portfolio, we performed a sensitivity analysis to determine the impact a change in interest rates would have on the value of the investment portfolio assuming a 100-basis point parallel shift in the yield curve. Based on investment positions as of December 31, 2024 and 2023, a hypothetical 100 basis point increase in interest rates across all maturities would result in an incremental decline of $14.5 million and $10.1 million, respectively, in the fair market value of the portfolio. Such losses would only be realized if we sold the investments prior to maturity.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transact business in multiple currencies, in addition, we translate the assets and liabilities of our non-U.S. dollar functional currency subsidiaries into U.S. dollars. Foreign assets, liabilities, revenues, as well as costs and expenses denominated in foreign currencies, expose us to the risk of fluctuations in foreign currency exchange rates against the U.S. dollar. Our foreign currency exposures are primarily concentrated in the Chinese yuan. For the purpose of analyzing foreign currency exchange risk, we considered the historical trends in foreign currency exchange rates and determined that it was reasonably possible that adverse changes in exchange rates of 10% could be experienced in the near term.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1" w:name="page92"/>
    <w:bookmarkEnd w:id="9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adverse 10% foreign currency exchange rate change was applied to total monetary assets denominated in currencies other than the functional currencies at the balance sheet date, it would have resulted in decrease in assets of approximately $1.1 million as of December 31, 2024, and $1.3 million as of December 31, 2023. The impact to income (loss) before income tax was not significant.</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8 immediately follows the signature page to this report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2024. Based on this evaluation, our principal executive officer and principal financial officer concluded that our disclosure controls and procedures were effective as of December 31,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year ended December 31, 2024, that has materially affected, or is reasonably likely to materially affect, our internal control over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Internal Control—Integrated Framework issued by the Committee of Sponsoring Organizations of the Treadway Commission (2013 framework). Based on this evaluation, management concluded that our internal control over financial reporting was effective as of December 31, 2024. Management reviewed the results of its assessment with our Audit and Compliance Committee. The effectiveness of our internal control over financial reporting as of December 31, 2024 has been audited by Deloitte &amp; Touche LLP, an independent registered public accounting firm, as stated in its report, which is included in Item 8 of this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ind w:right="5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Fulgent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Fulgent Genetics,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28,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none of our directors or officers adopted or terminated “Rule 10b5-1 trading arrangement” or “non-Rule 10b5-1 trading arrangement,” as each term is defined in Item 408 of Regulation 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95" w:name="page96"/>
    <w:bookmarkEnd w:id="9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or an amendment to this report, in either case to be filed with the SEC within 120 days after the end of our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or an amendment to this report, in either case to be filed with the SEC within 120 days after the end of our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or an amendment to this report, in either case to be filed with the SEC within 120 days after the end of our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or an amendment to this report, in either case to be filed with the SEC within 120 days after the end of our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or an amendment to this report, in either case to be filed with the SEC within 120 days after the end of our fiscal year ended December 31, 2024.</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96" w:name="page97"/>
    <w:bookmarkEnd w:id="9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(a)(1)</w:t>
            </w:r>
          </w:p>
        </w:tc>
        <w:tc>
          <w:tcPr>
            <w:tcW w:w="99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financial statements are included immediately following the signature page hereof and are filed as part of this report:</w:t>
            </w:r>
          </w:p>
        </w:tc>
        <w:tc>
          <w:tcPr>
            <w:tcW w:w="7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19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10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7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6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20" w:type="dxa"/>
            <w:vAlign w:val="bottom"/>
          </w:tcPr>
          <w:p>
            <w:pPr>
              <w:spacing w:after="0"/>
              <w:rPr>
                <w:sz w:val="17"/>
                <w:szCs w:val="17"/>
                <w:color w:val="auto"/>
              </w:rPr>
            </w:pPr>
          </w:p>
        </w:tc>
        <w:tc>
          <w:tcPr>
            <w:tcW w:w="7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otherwise included.</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15(a)(3) is set forth on the Exhibit Index immediately preceding the signature page of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4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4"/>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8"/>
        </w:trPr>
        <w:tc>
          <w:tcPr>
            <w:tcW w:w="8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Agreement and Plan of Merger, dated September 16, 2016,</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S-1/A</w:t>
            </w:r>
          </w:p>
        </w:tc>
        <w:tc>
          <w:tcPr>
            <w:tcW w:w="1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9/19/2016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80" w:type="dxa"/>
            <w:vAlign w:val="bottom"/>
            <w:tcBorders>
              <w:top w:val="single" w:sz="8" w:color="0000FF"/>
            </w:tcBorders>
            <w:gridSpan w:val="39"/>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by and among the registrant, Fulgent MergerSub, LLC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Fulgent Therapeutics LLC.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1"/>
                <w:szCs w:val="11"/>
                <w:color w:val="auto"/>
              </w:rPr>
            </w:pPr>
          </w:p>
        </w:tc>
        <w:tc>
          <w:tcPr>
            <w:tcW w:w="156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w w:val="99"/>
              </w:rPr>
            </w:pPr>
            <w:hyperlink r:id="rId158">
              <w:r>
                <w:rPr>
                  <w:rFonts w:ascii="Times New Roman" w:cs="Times New Roman" w:eastAsia="Times New Roman" w:hAnsi="Times New Roman"/>
                  <w:sz w:val="14"/>
                  <w:szCs w:val="14"/>
                  <w:color w:val="0000FF"/>
                  <w:w w:val="99"/>
                </w:rPr>
                <w:t>Certificate of Incorporation</w:t>
              </w:r>
            </w:hyperlink>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40"/>
          </w:tcPr>
          <w:p>
            <w:pPr>
              <w:jc w:val="center"/>
              <w:ind w:right="360"/>
              <w:spacing w:after="0" w:line="12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 the registrant, as amended</w:t>
              </w:r>
            </w:hyperlink>
            <w:r>
              <w:rPr>
                <w:rFonts w:ascii="Times New Roman" w:cs="Times New Roman" w:eastAsia="Times New Roman" w:hAnsi="Times New Roman"/>
                <w:sz w:val="14"/>
                <w:szCs w:val="14"/>
                <w:color w:val="000000"/>
              </w:rPr>
              <w:t>.</w:t>
            </w:r>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8/14/2017</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1"/>
                <w:szCs w:val="11"/>
                <w:color w:val="auto"/>
              </w:rPr>
            </w:pPr>
          </w:p>
        </w:tc>
        <w:tc>
          <w:tcPr>
            <w:tcW w:w="328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Certificate of Amendment to Certificate of Incorporation</w:t>
              </w:r>
            </w:hyperlink>
          </w:p>
        </w:tc>
        <w:tc>
          <w:tcPr>
            <w:tcW w:w="400" w:type="dxa"/>
            <w:vAlign w:val="bottom"/>
            <w:gridSpan w:val="18"/>
          </w:tcPr>
          <w:p>
            <w:pPr>
              <w:ind w:left="40"/>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of</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w w:val="99"/>
              </w:rPr>
              <w:t>3.1.1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8/14/2017</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1"/>
                <w:szCs w:val="11"/>
                <w:color w:val="auto"/>
              </w:rPr>
            </w:pPr>
          </w:p>
        </w:tc>
        <w:tc>
          <w:tcPr>
            <w:tcW w:w="210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the registrant, dated August 2, 2016.</w:t>
              </w:r>
            </w:hyperlink>
          </w:p>
        </w:tc>
        <w:tc>
          <w:tcPr>
            <w:tcW w:w="20" w:type="dxa"/>
            <w:vAlign w:val="bottom"/>
            <w:tcBorders>
              <w:top w:val="single" w:sz="8" w:color="0000FF"/>
              <w:bottom w:val="single" w:sz="8" w:color="0000EE"/>
            </w:tcBorders>
          </w:tcPr>
          <w:p>
            <w:pPr>
              <w:spacing w:after="0"/>
              <w:rPr>
                <w:sz w:val="11"/>
                <w:szCs w:val="11"/>
                <w:color w:val="auto"/>
              </w:rPr>
            </w:pPr>
          </w:p>
        </w:tc>
        <w:tc>
          <w:tcPr>
            <w:tcW w:w="142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3.1.2</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8/14/2017</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Certificate of Amendment to Certificate of Incorporation of</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1"/>
                <w:szCs w:val="11"/>
                <w:color w:val="auto"/>
              </w:rPr>
            </w:pPr>
          </w:p>
        </w:tc>
        <w:tc>
          <w:tcPr>
            <w:tcW w:w="3540" w:type="dxa"/>
            <w:vAlign w:val="bottom"/>
            <w:tcBorders>
              <w:top w:val="single" w:sz="8" w:color="0000FF"/>
            </w:tcBorders>
            <w:gridSpan w:val="42"/>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the registrant, dated May 17,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8/4/2023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Amended and Restated Bylaws.</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8"/>
            <w:vMerge w:val="restart"/>
          </w:tcPr>
          <w:p>
            <w:pPr>
              <w:ind w:left="40"/>
              <w:spacing w:after="0" w:line="14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Stock of the registrant.</w:t>
              </w:r>
            </w:hyperlink>
          </w:p>
        </w:tc>
        <w:tc>
          <w:tcPr>
            <w:tcW w:w="20" w:type="dxa"/>
            <w:vAlign w:val="bottom"/>
          </w:tcPr>
          <w:p>
            <w:pPr>
              <w:spacing w:after="0" w:line="20" w:lineRule="exact"/>
              <w:rPr>
                <w:sz w:val="1"/>
                <w:szCs w:val="1"/>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220" w:type="dxa"/>
            <w:vAlign w:val="bottom"/>
            <w:gridSpan w:val="2"/>
            <w:vMerge w:val="restart"/>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220" w:type="dxa"/>
            <w:vAlign w:val="bottom"/>
            <w:gridSpan w:val="2"/>
            <w:vMerge w:val="restart"/>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9/19/2016</w:t>
            </w: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11"/>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Certificate of Common</w:t>
              </w:r>
            </w:hyperlink>
          </w:p>
        </w:tc>
        <w:tc>
          <w:tcPr>
            <w:tcW w:w="1840" w:type="dxa"/>
            <w:vAlign w:val="bottom"/>
            <w:gridSpan w:val="38"/>
            <w:vMerge w:val="continue"/>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Description of the registrant’s securities.</w:t>
            </w:r>
          </w:p>
        </w:tc>
        <w:tc>
          <w:tcPr>
            <w:tcW w:w="20" w:type="dxa"/>
            <w:vAlign w:val="bottom"/>
            <w:tcBorders>
              <w:top w:val="single" w:sz="8" w:color="0000FF"/>
              <w:bottom w:val="single" w:sz="8" w:color="0000EE"/>
            </w:tcBorders>
          </w:tcPr>
          <w:p>
            <w:pPr>
              <w:spacing w:after="0"/>
              <w:rPr>
                <w:sz w:val="11"/>
                <w:szCs w:val="11"/>
                <w:color w:val="auto"/>
              </w:rPr>
            </w:pPr>
          </w:p>
        </w:tc>
        <w:tc>
          <w:tcPr>
            <w:tcW w:w="820" w:type="dxa"/>
            <w:vAlign w:val="bottom"/>
            <w:tcBorders>
              <w:top w:val="single" w:sz="8" w:color="0000FF"/>
            </w:tcBorders>
            <w:gridSpan w:val="10"/>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Indemnification Agreement between the registrant</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tcBorders>
              <w:top w:val="single" w:sz="8" w:color="0000FF"/>
            </w:tcBorders>
            <w:gridSpan w:val="40"/>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and each of its officers and directors.</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1"/>
                <w:szCs w:val="11"/>
                <w:color w:val="auto"/>
              </w:rPr>
            </w:pPr>
          </w:p>
        </w:tc>
        <w:tc>
          <w:tcPr>
            <w:tcW w:w="212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Amended and Restated 2015 Equity</w:t>
              </w:r>
            </w:hyperlink>
          </w:p>
        </w:tc>
        <w:tc>
          <w:tcPr>
            <w:tcW w:w="20" w:type="dxa"/>
            <w:vAlign w:val="bottom"/>
            <w:tcBorders>
              <w:top w:val="single" w:sz="8" w:color="0000EE"/>
            </w:tcBorders>
          </w:tcPr>
          <w:p>
            <w:pPr>
              <w:spacing w:after="0"/>
              <w:rPr>
                <w:sz w:val="11"/>
                <w:szCs w:val="11"/>
                <w:color w:val="auto"/>
              </w:rPr>
            </w:pPr>
          </w:p>
        </w:tc>
        <w:tc>
          <w:tcPr>
            <w:tcW w:w="1540" w:type="dxa"/>
            <w:vAlign w:val="bottom"/>
            <w:gridSpan w:val="34"/>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Incentive Plan of</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4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Fulgent Therapeutics LLC.</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1"/>
                <w:szCs w:val="11"/>
                <w:color w:val="auto"/>
              </w:rPr>
            </w:pPr>
          </w:p>
        </w:tc>
        <w:tc>
          <w:tcPr>
            <w:tcW w:w="156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Notice of Option</w:t>
              </w:r>
            </w:hyperlink>
          </w:p>
        </w:tc>
        <w:tc>
          <w:tcPr>
            <w:tcW w:w="20" w:type="dxa"/>
            <w:vAlign w:val="bottom"/>
            <w:tcBorders>
              <w:top w:val="single" w:sz="8" w:color="0000EE"/>
            </w:tcBorders>
          </w:tcPr>
          <w:p>
            <w:pPr>
              <w:spacing w:after="0"/>
              <w:rPr>
                <w:sz w:val="11"/>
                <w:szCs w:val="11"/>
                <w:color w:val="auto"/>
              </w:rPr>
            </w:pPr>
          </w:p>
        </w:tc>
        <w:tc>
          <w:tcPr>
            <w:tcW w:w="2100" w:type="dxa"/>
            <w:vAlign w:val="bottom"/>
            <w:gridSpan w:val="42"/>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Grant and Option Agreement under</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the Amended and Restated 2015 Equity Incentive Plan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4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Fulgent Therapeutics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1"/>
                <w:szCs w:val="11"/>
                <w:color w:val="auto"/>
              </w:rPr>
            </w:pPr>
          </w:p>
        </w:tc>
        <w:tc>
          <w:tcPr>
            <w:tcW w:w="156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Notice of Profits</w:t>
              </w:r>
            </w:hyperlink>
          </w:p>
        </w:tc>
        <w:tc>
          <w:tcPr>
            <w:tcW w:w="20" w:type="dxa"/>
            <w:vAlign w:val="bottom"/>
            <w:tcBorders>
              <w:top w:val="single" w:sz="8" w:color="0000EE"/>
            </w:tcBorders>
          </w:tcPr>
          <w:p>
            <w:pPr>
              <w:spacing w:after="0"/>
              <w:rPr>
                <w:sz w:val="11"/>
                <w:szCs w:val="11"/>
                <w:color w:val="auto"/>
              </w:rPr>
            </w:pPr>
          </w:p>
        </w:tc>
        <w:tc>
          <w:tcPr>
            <w:tcW w:w="2100" w:type="dxa"/>
            <w:vAlign w:val="bottom"/>
            <w:gridSpan w:val="42"/>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Interest Grant and Profits Interest</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Agreement under the Amended and Restated 2015 Equity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1"/>
                <w:szCs w:val="11"/>
                <w:color w:val="auto"/>
              </w:rPr>
            </w:pPr>
          </w:p>
        </w:tc>
        <w:tc>
          <w:tcPr>
            <w:tcW w:w="336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Incentive Plan of Fulgent Therapeutics LLC.</w:t>
              </w:r>
            </w:hyperlink>
          </w:p>
        </w:tc>
        <w:tc>
          <w:tcPr>
            <w:tcW w:w="8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10.5</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Notice of Restricted Share Unit Grant and Restricted</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tcBorders>
              <w:top w:val="single" w:sz="8" w:color="0000FF"/>
              <w:bottom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Share Unit Agreement under the Amended and Restated 2015</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1"/>
                <w:szCs w:val="11"/>
                <w:color w:val="auto"/>
              </w:rPr>
            </w:pPr>
          </w:p>
        </w:tc>
        <w:tc>
          <w:tcPr>
            <w:tcW w:w="3660" w:type="dxa"/>
            <w:vAlign w:val="bottom"/>
            <w:gridSpan w:val="48"/>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Equity Incentive Plan of Fulgent Therapeutics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10.6</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9/26/2016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2016 Omnibus Incentive Plan of the registrant.</w:t>
              </w:r>
            </w:hyperlink>
          </w:p>
        </w:tc>
        <w:tc>
          <w:tcPr>
            <w:tcW w:w="20" w:type="dxa"/>
            <w:vAlign w:val="bottom"/>
            <w:tcBorders>
              <w:top w:val="single" w:sz="8" w:color="0000FF"/>
              <w:bottom w:val="single" w:sz="8" w:color="0000EE"/>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Form of Notice of Stock Option Award and Stock Option</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6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Award Agreement under the 2016 Omnibus Incentive Plan</w:t>
              </w:r>
            </w:hyperlink>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12"/>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of</w:t>
              </w:r>
            </w:hyperlink>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1"/>
                <w:szCs w:val="11"/>
                <w:color w:val="auto"/>
              </w:rPr>
            </w:pPr>
          </w:p>
        </w:tc>
        <w:tc>
          <w:tcPr>
            <w:tcW w:w="8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the registrant.</w:t>
              </w:r>
            </w:hyperlink>
          </w:p>
        </w:tc>
        <w:tc>
          <w:tcPr>
            <w:tcW w:w="20" w:type="dxa"/>
            <w:vAlign w:val="bottom"/>
            <w:tcBorders>
              <w:top w:val="single" w:sz="8" w:color="0000FF"/>
              <w:bottom w:val="single" w:sz="8" w:color="0000EE"/>
            </w:tcBorders>
          </w:tcPr>
          <w:p>
            <w:pPr>
              <w:spacing w:after="0"/>
              <w:rPr>
                <w:sz w:val="11"/>
                <w:szCs w:val="11"/>
                <w:color w:val="auto"/>
              </w:rPr>
            </w:pPr>
          </w:p>
        </w:tc>
        <w:tc>
          <w:tcPr>
            <w:tcW w:w="2820" w:type="dxa"/>
            <w:vAlign w:val="bottom"/>
            <w:tcBorders>
              <w:top w:val="single" w:sz="8" w:color="0000FF"/>
            </w:tcBorders>
            <w:gridSpan w:val="4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10.8</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3/17/2017</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tcBorders>
              <w:bottom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Form of Notice of Restricted Stock Unit Award and</w:t>
              </w:r>
            </w:hyperlink>
          </w:p>
        </w:tc>
        <w:tc>
          <w:tcPr>
            <w:tcW w:w="660" w:type="dxa"/>
            <w:vAlign w:val="bottom"/>
            <w:gridSpan w:val="25"/>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Restricted Stock Unit Agreement under the 2016 Omnibus</w:t>
              </w:r>
            </w:hyperlink>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1"/>
                <w:szCs w:val="11"/>
                <w:color w:val="auto"/>
              </w:rPr>
            </w:pPr>
          </w:p>
        </w:tc>
        <w:tc>
          <w:tcPr>
            <w:tcW w:w="344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Incentive Plan of the registrant.</w:t>
              </w:r>
            </w:hyperlink>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10.9</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Form of Option Substitution Award under the 2016 Omnibus</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1"/>
                <w:szCs w:val="11"/>
                <w:color w:val="auto"/>
              </w:rPr>
            </w:pPr>
          </w:p>
        </w:tc>
        <w:tc>
          <w:tcPr>
            <w:tcW w:w="3600" w:type="dxa"/>
            <w:vAlign w:val="bottom"/>
            <w:tcBorders>
              <w:top w:val="single" w:sz="8" w:color="0000FF"/>
            </w:tcBorders>
            <w:gridSpan w:val="45"/>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Incentive Plan of the registrant.</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10.10</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Form of Notice of Restricted Stock Unit Substitution Award</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Borders>
              <w:top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and Restricted Stock Unit Agreement under the 2016</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Omnibus Incentive Plan of the registrant.</w:t>
              </w:r>
            </w:hyperlink>
          </w:p>
        </w:tc>
        <w:tc>
          <w:tcPr>
            <w:tcW w:w="20" w:type="dxa"/>
            <w:vAlign w:val="bottom"/>
            <w:tcBorders>
              <w:top w:val="single" w:sz="8" w:color="0000FF"/>
              <w:bottom w:val="single" w:sz="8" w:color="0000EE"/>
            </w:tcBorders>
          </w:tcPr>
          <w:p>
            <w:pPr>
              <w:spacing w:after="0"/>
              <w:rPr>
                <w:sz w:val="11"/>
                <w:szCs w:val="11"/>
                <w:color w:val="auto"/>
              </w:rPr>
            </w:pPr>
          </w:p>
        </w:tc>
        <w:tc>
          <w:tcPr>
            <w:tcW w:w="700" w:type="dxa"/>
            <w:vAlign w:val="bottom"/>
            <w:tcBorders>
              <w:top w:val="single" w:sz="8" w:color="0000FF"/>
            </w:tcBorders>
            <w:gridSpan w:val="6"/>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294967277"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1"/>
                <w:szCs w:val="11"/>
                <w:color w:val="auto"/>
              </w:rPr>
            </w:pPr>
          </w:p>
        </w:tc>
        <w:tc>
          <w:tcPr>
            <w:tcW w:w="2400" w:type="dxa"/>
            <w:vAlign w:val="bottom"/>
            <w:gridSpan w:val="19"/>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Employment Agreement, dated May 25,</w:t>
              </w:r>
            </w:hyperlink>
          </w:p>
        </w:tc>
        <w:tc>
          <w:tcPr>
            <w:tcW w:w="1280" w:type="dxa"/>
            <w:vAlign w:val="bottom"/>
            <w:gridSpan w:val="30"/>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2016, by and among</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Fulgent Therapeutics LLC, the registrant and Ming Hsieh.</w:t>
              </w:r>
            </w:hyperlink>
          </w:p>
        </w:tc>
        <w:tc>
          <w:tcPr>
            <w:tcW w:w="4294967277" w:type="dxa"/>
            <w:vAlign w:val="bottom"/>
            <w:tcBorders>
              <w:top w:val="single" w:sz="8" w:color="0000FF"/>
              <w:bottom w:val="single" w:sz="8" w:color="0000EE"/>
            </w:tcBorders>
          </w:tcPr>
          <w:p>
            <w:pPr>
              <w:spacing w:after="0"/>
              <w:rPr>
                <w:sz w:val="11"/>
                <w:szCs w:val="11"/>
                <w:color w:val="auto"/>
              </w:rPr>
            </w:pPr>
          </w:p>
        </w:tc>
        <w:tc>
          <w:tcPr>
            <w:tcW w:w="260" w:type="dxa"/>
            <w:vAlign w:val="bottom"/>
            <w:tcBorders>
              <w:top w:val="single" w:sz="8" w:color="0000FF"/>
            </w:tcBorders>
            <w:gridSpan w:val="10"/>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10.12</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Employment Agreement, dated May 25, 2016, by and among</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Fulgent Therapeutics LLC, the registrant and Paul Kim.</w:t>
              </w:r>
            </w:hyperlink>
          </w:p>
        </w:tc>
        <w:tc>
          <w:tcPr>
            <w:tcW w:w="20" w:type="dxa"/>
            <w:vAlign w:val="bottom"/>
            <w:tcBorders>
              <w:top w:val="single" w:sz="8" w:color="0000FF"/>
              <w:bottom w:val="single" w:sz="8" w:color="0000EE"/>
            </w:tcBorders>
          </w:tcPr>
          <w:p>
            <w:pPr>
              <w:spacing w:after="0"/>
              <w:rPr>
                <w:sz w:val="11"/>
                <w:szCs w:val="11"/>
                <w:color w:val="auto"/>
              </w:rPr>
            </w:pPr>
          </w:p>
        </w:tc>
        <w:tc>
          <w:tcPr>
            <w:tcW w:w="380" w:type="dxa"/>
            <w:vAlign w:val="bottom"/>
            <w:tcBorders>
              <w:top w:val="single" w:sz="8" w:color="0000FF"/>
            </w:tcBorders>
            <w:gridSpan w:val="1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10.13#</w:t>
            </w:r>
          </w:p>
        </w:tc>
        <w:tc>
          <w:tcPr>
            <w:tcW w:w="140" w:type="dxa"/>
            <w:vAlign w:val="bottom"/>
          </w:tcPr>
          <w:p>
            <w:pPr>
              <w:spacing w:after="0"/>
              <w:rPr>
                <w:sz w:val="11"/>
                <w:szCs w:val="11"/>
                <w:color w:val="auto"/>
              </w:rPr>
            </w:pPr>
          </w:p>
        </w:tc>
        <w:tc>
          <w:tcPr>
            <w:tcW w:w="3240" w:type="dxa"/>
            <w:vAlign w:val="bottom"/>
            <w:gridSpan w:val="29"/>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Amended and Restated Employment Agreement, dated</w:t>
              </w:r>
            </w:hyperlink>
          </w:p>
        </w:tc>
        <w:tc>
          <w:tcPr>
            <w:tcW w:w="440" w:type="dxa"/>
            <w:vAlign w:val="bottom"/>
            <w:gridSpan w:val="20"/>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May</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10.13</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60" w:type="dxa"/>
            <w:vAlign w:val="bottom"/>
            <w:tcBorders>
              <w:top w:val="single" w:sz="8" w:color="0000FF"/>
            </w:tcBorders>
            <w:gridSpan w:val="43"/>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25, 2016, by and among Fulgent Therapeutics LLC, the</w:t>
              </w:r>
            </w:hyperlink>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registrant and Han Lin Gao.</w:t>
              </w:r>
            </w:hyperlink>
          </w:p>
        </w:tc>
        <w:tc>
          <w:tcPr>
            <w:tcW w:w="20" w:type="dxa"/>
            <w:vAlign w:val="bottom"/>
            <w:tcBorders>
              <w:top w:val="single" w:sz="8" w:color="0000FF"/>
              <w:bottom w:val="single" w:sz="8" w:color="0000EE"/>
            </w:tcBorders>
          </w:tcPr>
          <w:p>
            <w:pPr>
              <w:spacing w:after="0"/>
              <w:rPr>
                <w:sz w:val="11"/>
                <w:szCs w:val="11"/>
                <w:color w:val="auto"/>
              </w:rPr>
            </w:pPr>
          </w:p>
        </w:tc>
        <w:tc>
          <w:tcPr>
            <w:tcW w:w="1620" w:type="dxa"/>
            <w:vAlign w:val="bottom"/>
            <w:tcBorders>
              <w:top w:val="single" w:sz="8" w:color="0000FF"/>
            </w:tcBorders>
            <w:gridSpan w:val="21"/>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11"/>
                <w:szCs w:val="11"/>
                <w:color w:val="auto"/>
              </w:rPr>
            </w:pPr>
          </w:p>
        </w:tc>
        <w:tc>
          <w:tcPr>
            <w:tcW w:w="1640" w:type="dxa"/>
            <w:vAlign w:val="bottom"/>
            <w:gridSpan w:val="9"/>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Severance Agreement, dated</w:t>
              </w:r>
            </w:hyperlink>
          </w:p>
        </w:tc>
        <w:tc>
          <w:tcPr>
            <w:tcW w:w="2040" w:type="dxa"/>
            <w:vAlign w:val="bottom"/>
            <w:gridSpan w:val="40"/>
          </w:tcPr>
          <w:p>
            <w:pPr>
              <w:jc w:val="center"/>
              <w:ind w:right="360"/>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July 7, 2016, by and among</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11"/>
                <w:szCs w:val="11"/>
                <w:color w:val="auto"/>
              </w:rPr>
            </w:pPr>
          </w:p>
        </w:tc>
        <w:tc>
          <w:tcPr>
            <w:tcW w:w="332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Fulgent Therapeutics LLC, the registrant and Ming Hsieh.</w:t>
              </w:r>
            </w:hyperlink>
          </w:p>
        </w:tc>
        <w:tc>
          <w:tcPr>
            <w:tcW w:w="120" w:type="dxa"/>
            <w:vAlign w:val="bottom"/>
            <w:gridSpan w:val="5"/>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10.15</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38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Severance Agreement, dated July 7, 2016, by and among</w:t>
              </w:r>
            </w:hyperlink>
          </w:p>
        </w:tc>
        <w:tc>
          <w:tcPr>
            <w:tcW w:w="60" w:type="dxa"/>
            <w:vAlign w:val="bottom"/>
            <w:gridSpan w:val="2"/>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Fulgent Therapeutics LLC, the registrant and Paul Kim.</w:t>
              </w:r>
            </w:hyperlink>
          </w:p>
        </w:tc>
        <w:tc>
          <w:tcPr>
            <w:tcW w:w="20" w:type="dxa"/>
            <w:vAlign w:val="bottom"/>
            <w:tcBorders>
              <w:top w:val="single" w:sz="8" w:color="0000FF"/>
              <w:bottom w:val="single" w:sz="8" w:color="0000EE"/>
            </w:tcBorders>
          </w:tcPr>
          <w:p>
            <w:pPr>
              <w:spacing w:after="0"/>
              <w:rPr>
                <w:sz w:val="11"/>
                <w:szCs w:val="11"/>
                <w:color w:val="auto"/>
              </w:rPr>
            </w:pPr>
          </w:p>
        </w:tc>
        <w:tc>
          <w:tcPr>
            <w:tcW w:w="80" w:type="dxa"/>
            <w:vAlign w:val="bottom"/>
            <w:tcBorders>
              <w:top w:val="single" w:sz="8" w:color="0000FF"/>
            </w:tcBorders>
            <w:gridSpan w:val="3"/>
          </w:tcPr>
          <w:p>
            <w:pPr>
              <w:spacing w:after="0"/>
              <w:rPr>
                <w:sz w:val="11"/>
                <w:szCs w:val="11"/>
                <w:color w:val="auto"/>
              </w:rPr>
            </w:pPr>
          </w:p>
        </w:tc>
        <w:tc>
          <w:tcPr>
            <w:tcW w:w="120" w:type="dxa"/>
            <w:vAlign w:val="bottom"/>
            <w:gridSpan w:val="5"/>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10.16</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240" w:type="dxa"/>
            <w:vAlign w:val="bottom"/>
            <w:tcBorders>
              <w:bottom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Severance Agreement, dated July 7, 2016, by and among</w:t>
              </w:r>
            </w:hyperlink>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Fulgent Therapeutics LLC, the registrant and Han Lin Gao.</w:t>
              </w:r>
            </w:hyperlink>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10.17</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25"/>
            <w:shd w:val="clear" w:color="auto" w:fill="0000FF"/>
          </w:tcPr>
          <w:p>
            <w:pPr>
              <w:spacing w:after="0" w:line="20" w:lineRule="exact"/>
              <w:rPr>
                <w:sz w:val="1"/>
                <w:szCs w:val="1"/>
                <w:color w:val="auto"/>
              </w:rPr>
            </w:pPr>
          </w:p>
        </w:tc>
        <w:tc>
          <w:tcPr>
            <w:tcW w:w="180" w:type="dxa"/>
            <w:vAlign w:val="bottom"/>
            <w:tcBorders>
              <w:right w:val="single" w:sz="8" w:color="0000EE"/>
            </w:tcBorders>
            <w:gridSpan w:val="7"/>
            <w:shd w:val="clear" w:color="auto" w:fill="0000FF"/>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Contribution and Allocation Agreement, dated May 19, 2016,</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by and among Fulgent Therapeutics LLC, Fulgent Pharma</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1"/>
                <w:szCs w:val="11"/>
                <w:color w:val="auto"/>
              </w:rPr>
            </w:pPr>
          </w:p>
        </w:tc>
        <w:tc>
          <w:tcPr>
            <w:tcW w:w="12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LLC and Ming Hsieh.</w:t>
              </w:r>
            </w:hyperlink>
          </w:p>
        </w:tc>
        <w:tc>
          <w:tcPr>
            <w:tcW w:w="20" w:type="dxa"/>
            <w:vAlign w:val="bottom"/>
            <w:tcBorders>
              <w:top w:val="single" w:sz="8" w:color="0000FF"/>
              <w:bottom w:val="single" w:sz="8" w:color="0000EE"/>
            </w:tcBorders>
          </w:tcPr>
          <w:p>
            <w:pPr>
              <w:spacing w:after="0"/>
              <w:rPr>
                <w:sz w:val="11"/>
                <w:szCs w:val="11"/>
                <w:color w:val="auto"/>
              </w:rPr>
            </w:pPr>
          </w:p>
        </w:tc>
        <w:tc>
          <w:tcPr>
            <w:tcW w:w="2140" w:type="dxa"/>
            <w:vAlign w:val="bottom"/>
            <w:tcBorders>
              <w:top w:val="single" w:sz="8" w:color="0000FF"/>
            </w:tcBorders>
            <w:gridSpan w:val="33"/>
          </w:tcPr>
          <w:p>
            <w:pPr>
              <w:spacing w:after="0"/>
              <w:rPr>
                <w:sz w:val="11"/>
                <w:szCs w:val="11"/>
                <w:color w:val="auto"/>
              </w:rPr>
            </w:pPr>
          </w:p>
        </w:tc>
        <w:tc>
          <w:tcPr>
            <w:tcW w:w="240" w:type="dxa"/>
            <w:vAlign w:val="bottom"/>
            <w:gridSpan w:val="1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333-213469</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9/19/2016</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80" w:type="dxa"/>
            <w:vAlign w:val="bottom"/>
            <w:gridSpan w:val="49"/>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Form of Fourth Amended and Restated Operating Agreement</w:t>
              </w:r>
            </w:hyperlink>
          </w:p>
        </w:tc>
        <w:tc>
          <w:tcPr>
            <w:tcW w:w="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tcBorders>
              <w:top w:val="single" w:sz="8" w:color="0000FF"/>
              <w:bottom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of Fulgent Therapeutics LLC, to be in effect upon completion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of the Reorganization.</w:t>
              </w:r>
            </w:hyperlink>
          </w:p>
        </w:tc>
        <w:tc>
          <w:tcPr>
            <w:tcW w:w="20" w:type="dxa"/>
            <w:vAlign w:val="bottom"/>
            <w:tcBorders>
              <w:bottom w:val="single" w:sz="8" w:color="0000EE"/>
            </w:tcBorders>
          </w:tcPr>
          <w:p>
            <w:pPr>
              <w:spacing w:after="0"/>
              <w:rPr>
                <w:sz w:val="11"/>
                <w:szCs w:val="11"/>
                <w:color w:val="auto"/>
              </w:rPr>
            </w:pPr>
          </w:p>
        </w:tc>
        <w:tc>
          <w:tcPr>
            <w:tcW w:w="2340" w:type="dxa"/>
            <w:vAlign w:val="bottom"/>
            <w:gridSpan w:val="4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1"/>
                <w:szCs w:val="11"/>
                <w:color w:val="auto"/>
              </w:rPr>
            </w:pPr>
          </w:p>
        </w:tc>
        <w:tc>
          <w:tcPr>
            <w:tcW w:w="1320" w:type="dxa"/>
            <w:vAlign w:val="bottom"/>
            <w:gridSpan w:val="5"/>
          </w:tcPr>
          <w:p>
            <w:pPr>
              <w:spacing w:after="0" w:line="129" w:lineRule="exact"/>
              <w:rPr>
                <w:rFonts w:ascii="Times New Roman" w:cs="Times New Roman" w:eastAsia="Times New Roman" w:hAnsi="Times New Roman"/>
                <w:sz w:val="14"/>
                <w:szCs w:val="14"/>
                <w:color w:val="0000FF"/>
                <w:w w:val="99"/>
              </w:rPr>
            </w:pPr>
            <w:hyperlink r:id="rId181">
              <w:r>
                <w:rPr>
                  <w:rFonts w:ascii="Times New Roman" w:cs="Times New Roman" w:eastAsia="Times New Roman" w:hAnsi="Times New Roman"/>
                  <w:sz w:val="14"/>
                  <w:szCs w:val="14"/>
                  <w:color w:val="0000FF"/>
                  <w:w w:val="99"/>
                </w:rPr>
                <w:t>Director Compensation</w:t>
              </w:r>
            </w:hyperlink>
          </w:p>
        </w:tc>
        <w:tc>
          <w:tcPr>
            <w:tcW w:w="2360" w:type="dxa"/>
            <w:vAlign w:val="bottom"/>
            <w:gridSpan w:val="44"/>
          </w:tcPr>
          <w:p>
            <w:pPr>
              <w:jc w:val="center"/>
              <w:ind w:right="60"/>
              <w:spacing w:after="0" w:line="129"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Program of the registrant, effective as</w:t>
              </w:r>
            </w:hyperlink>
          </w:p>
        </w:tc>
        <w:tc>
          <w:tcPr>
            <w:tcW w:w="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10.20</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3/20/2018</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60" w:type="dxa"/>
            <w:vAlign w:val="bottom"/>
            <w:tcBorders>
              <w:top w:val="single" w:sz="8" w:color="0000FF"/>
              <w:bottom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of September 28, 2016 and amended November 2, 2017.</w:t>
              </w:r>
            </w:hyperlink>
          </w:p>
        </w:tc>
        <w:tc>
          <w:tcPr>
            <w:tcW w:w="20" w:type="dxa"/>
            <w:vAlign w:val="bottom"/>
            <w:tcBorders>
              <w:top w:val="single" w:sz="8" w:color="0000FF"/>
              <w:bottom w:val="single" w:sz="8" w:color="0000EE"/>
            </w:tcBorders>
          </w:tcPr>
          <w:p>
            <w:pPr>
              <w:spacing w:after="0"/>
              <w:rPr>
                <w:sz w:val="11"/>
                <w:szCs w:val="11"/>
                <w:color w:val="auto"/>
              </w:rPr>
            </w:pPr>
          </w:p>
        </w:tc>
        <w:tc>
          <w:tcPr>
            <w:tcW w:w="360" w:type="dxa"/>
            <w:vAlign w:val="bottom"/>
            <w:tcBorders>
              <w:top w:val="single" w:sz="8" w:color="0000FF"/>
            </w:tcBorders>
            <w:gridSpan w:val="1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60" w:type="dxa"/>
            <w:vAlign w:val="bottom"/>
            <w:gridSpan w:val="4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2"/>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Cooperation Agreement on the Establishment of Fujian Fujun</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8/14/2017</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60" w:type="dxa"/>
            <w:vAlign w:val="bottom"/>
            <w:tcBorders>
              <w:top w:val="single" w:sz="8" w:color="0000FF"/>
            </w:tcBorders>
            <w:gridSpan w:val="55"/>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Gene Biotech Co., Ltd., dated April 25, 2017, by and among</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Shenzhen Fujin Gene Science &amp; Technology Co., Ltd.,</w:t>
              </w:r>
            </w:hyperlink>
          </w:p>
        </w:tc>
        <w:tc>
          <w:tcPr>
            <w:tcW w:w="44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Xilong Scientific Co., Ltd. and Fuzhou Jinqiang Investment</w:t>
              </w:r>
            </w:hyperlink>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Partnership (LP).</w:t>
              </w:r>
            </w:hyperlink>
          </w:p>
        </w:tc>
        <w:tc>
          <w:tcPr>
            <w:tcW w:w="20" w:type="dxa"/>
            <w:vAlign w:val="bottom"/>
            <w:tcBorders>
              <w:top w:val="single" w:sz="8" w:color="0000FF"/>
              <w:bottom w:val="single" w:sz="8" w:color="0000EE"/>
            </w:tcBorders>
          </w:tcPr>
          <w:p>
            <w:pPr>
              <w:spacing w:after="0"/>
              <w:rPr>
                <w:sz w:val="11"/>
                <w:szCs w:val="11"/>
                <w:color w:val="auto"/>
              </w:rPr>
            </w:pPr>
          </w:p>
        </w:tc>
        <w:tc>
          <w:tcPr>
            <w:tcW w:w="254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11"/>
                <w:szCs w:val="11"/>
                <w:color w:val="auto"/>
              </w:rPr>
            </w:pPr>
          </w:p>
        </w:tc>
        <w:tc>
          <w:tcPr>
            <w:tcW w:w="1020" w:type="dxa"/>
            <w:vAlign w:val="bottom"/>
            <w:gridSpan w:val="12"/>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Fulgent Genetics,</w:t>
              </w:r>
            </w:hyperlink>
          </w:p>
        </w:tc>
        <w:tc>
          <w:tcPr>
            <w:tcW w:w="2860" w:type="dxa"/>
            <w:vAlign w:val="bottom"/>
            <w:gridSpan w:val="44"/>
          </w:tcPr>
          <w:p>
            <w:pPr>
              <w:ind w:left="40"/>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Inc. Amended and Restated 2016 Omnibus</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5/21/2018</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11"/>
                <w:szCs w:val="11"/>
                <w:color w:val="auto"/>
              </w:rPr>
            </w:pPr>
          </w:p>
        </w:tc>
        <w:tc>
          <w:tcPr>
            <w:tcW w:w="384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Incentive Plan</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9/18/2020</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3060" w:type="dxa"/>
            <w:vAlign w:val="bottom"/>
            <w:gridSpan w:val="48"/>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Fulgent Genetics, Inc. Amended and Restated 2016 Omnibus</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Incentive Plan</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10.23^</w:t>
            </w:r>
          </w:p>
        </w:tc>
        <w:tc>
          <w:tcPr>
            <w:tcW w:w="140" w:type="dxa"/>
            <w:vAlign w:val="bottom"/>
          </w:tcPr>
          <w:p>
            <w:pPr>
              <w:spacing w:after="0"/>
              <w:rPr>
                <w:sz w:val="11"/>
                <w:szCs w:val="11"/>
                <w:color w:val="auto"/>
              </w:rPr>
            </w:pPr>
          </w:p>
        </w:tc>
        <w:tc>
          <w:tcPr>
            <w:tcW w:w="84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w w:val="97"/>
              </w:rPr>
            </w:pPr>
            <w:hyperlink r:id="rId186">
              <w:r>
                <w:rPr>
                  <w:rFonts w:ascii="Times New Roman" w:cs="Times New Roman" w:eastAsia="Times New Roman" w:hAnsi="Times New Roman"/>
                  <w:sz w:val="14"/>
                  <w:szCs w:val="14"/>
                  <w:color w:val="0000FF"/>
                  <w:w w:val="97"/>
                </w:rPr>
                <w:t>Agreement for</w:t>
              </w:r>
            </w:hyperlink>
          </w:p>
        </w:tc>
        <w:tc>
          <w:tcPr>
            <w:tcW w:w="20" w:type="dxa"/>
            <w:vAlign w:val="bottom"/>
          </w:tcPr>
          <w:p>
            <w:pPr>
              <w:spacing w:after="0"/>
              <w:rPr>
                <w:sz w:val="11"/>
                <w:szCs w:val="11"/>
                <w:color w:val="auto"/>
              </w:rPr>
            </w:pPr>
          </w:p>
        </w:tc>
        <w:tc>
          <w:tcPr>
            <w:tcW w:w="3020" w:type="dxa"/>
            <w:vAlign w:val="bottom"/>
            <w:gridSpan w:val="46"/>
          </w:tcPr>
          <w:p>
            <w:pPr>
              <w:ind w:left="20"/>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Purchase and Sale of Property, dated July 23,</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10/21/2020</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00" w:type="dxa"/>
            <w:vAlign w:val="bottom"/>
            <w:tcBorders>
              <w:top w:val="single" w:sz="8" w:color="0000FF"/>
            </w:tcBorders>
            <w:gridSpan w:val="47"/>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2020, by and between the registrant and 4401 Santa Anita</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Corporation.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1"/>
                <w:szCs w:val="11"/>
                <w:color w:val="auto"/>
              </w:rPr>
            </w:pPr>
          </w:p>
        </w:tc>
        <w:tc>
          <w:tcPr>
            <w:tcW w:w="74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w w:val="99"/>
              </w:rPr>
            </w:pPr>
            <w:hyperlink r:id="rId187">
              <w:r>
                <w:rPr>
                  <w:rFonts w:ascii="Times New Roman" w:cs="Times New Roman" w:eastAsia="Times New Roman" w:hAnsi="Times New Roman"/>
                  <w:sz w:val="14"/>
                  <w:szCs w:val="14"/>
                  <w:color w:val="0000FF"/>
                  <w:w w:val="99"/>
                </w:rPr>
                <w:t>Employment</w:t>
              </w:r>
            </w:hyperlink>
          </w:p>
        </w:tc>
        <w:tc>
          <w:tcPr>
            <w:tcW w:w="40" w:type="dxa"/>
            <w:vAlign w:val="bottom"/>
            <w:tcBorders>
              <w:bottom w:val="single" w:sz="8" w:color="0000FF"/>
            </w:tcBorders>
          </w:tcPr>
          <w:p>
            <w:pPr>
              <w:spacing w:after="0"/>
              <w:rPr>
                <w:sz w:val="11"/>
                <w:szCs w:val="11"/>
                <w:color w:val="auto"/>
              </w:rPr>
            </w:pPr>
          </w:p>
        </w:tc>
        <w:tc>
          <w:tcPr>
            <w:tcW w:w="2400" w:type="dxa"/>
            <w:vAlign w:val="bottom"/>
            <w:tcBorders>
              <w:bottom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Agreement, dated March 8, 2021, by and</w:t>
              </w:r>
            </w:hyperlink>
          </w:p>
        </w:tc>
        <w:tc>
          <w:tcPr>
            <w:tcW w:w="700" w:type="dxa"/>
            <w:vAlign w:val="bottom"/>
            <w:gridSpan w:val="29"/>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10.37</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3/8/2021</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among Fulgent Therapeutics, LLC, Fulgent Genetics, Inc.</w:t>
              </w:r>
            </w:hyperlink>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and Jian Xie.</w:t>
              </w:r>
            </w:hyperlink>
          </w:p>
        </w:tc>
        <w:tc>
          <w:tcPr>
            <w:tcW w:w="262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10.25#</w:t>
            </w:r>
          </w:p>
        </w:tc>
        <w:tc>
          <w:tcPr>
            <w:tcW w:w="140" w:type="dxa"/>
            <w:vAlign w:val="bottom"/>
          </w:tcPr>
          <w:p>
            <w:pPr>
              <w:spacing w:after="0"/>
              <w:rPr>
                <w:sz w:val="11"/>
                <w:szCs w:val="11"/>
                <w:color w:val="auto"/>
              </w:rPr>
            </w:pPr>
          </w:p>
        </w:tc>
        <w:tc>
          <w:tcPr>
            <w:tcW w:w="780" w:type="dxa"/>
            <w:vAlign w:val="bottom"/>
            <w:gridSpan w:val="8"/>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Severance</w:t>
              </w:r>
            </w:hyperlink>
          </w:p>
        </w:tc>
        <w:tc>
          <w:tcPr>
            <w:tcW w:w="3100" w:type="dxa"/>
            <w:vAlign w:val="bottom"/>
            <w:gridSpan w:val="48"/>
          </w:tcPr>
          <w:p>
            <w:pPr>
              <w:jc w:val="right"/>
              <w:ind w:right="460"/>
              <w:spacing w:after="0" w:line="129" w:lineRule="exact"/>
              <w:rPr>
                <w:rFonts w:ascii="Times New Roman" w:cs="Times New Roman" w:eastAsia="Times New Roman" w:hAnsi="Times New Roman"/>
                <w:sz w:val="14"/>
                <w:szCs w:val="14"/>
                <w:color w:val="0000FF"/>
                <w:w w:val="96"/>
              </w:rPr>
            </w:pPr>
            <w:hyperlink r:id="rId188">
              <w:r>
                <w:rPr>
                  <w:rFonts w:ascii="Times New Roman" w:cs="Times New Roman" w:eastAsia="Times New Roman" w:hAnsi="Times New Roman"/>
                  <w:sz w:val="14"/>
                  <w:szCs w:val="14"/>
                  <w:color w:val="0000FF"/>
                  <w:w w:val="96"/>
                </w:rPr>
                <w:t>Agreement, dated March 8, 2021, by and among</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10.38</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3/8/2021</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Fulgent Therapeutics LLC, Fulgent Genetics, Inc. and Jian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140" w:type="dxa"/>
            <w:vAlign w:val="bottom"/>
          </w:tcPr>
          <w:p>
            <w:pPr>
              <w:spacing w:after="0"/>
              <w:rPr>
                <w:sz w:val="11"/>
                <w:szCs w:val="11"/>
                <w:color w:val="auto"/>
              </w:rPr>
            </w:pPr>
          </w:p>
        </w:tc>
        <w:tc>
          <w:tcPr>
            <w:tcW w:w="2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Xie.</w:t>
              </w:r>
            </w:hyperlink>
          </w:p>
        </w:tc>
        <w:tc>
          <w:tcPr>
            <w:tcW w:w="20" w:type="dxa"/>
            <w:vAlign w:val="bottom"/>
            <w:tcBorders>
              <w:top w:val="single" w:sz="8" w:color="0000FF"/>
              <w:bottom w:val="single" w:sz="8" w:color="0000EE"/>
            </w:tcBorders>
          </w:tcPr>
          <w:p>
            <w:pPr>
              <w:spacing w:after="0"/>
              <w:rPr>
                <w:sz w:val="11"/>
                <w:szCs w:val="11"/>
                <w:color w:val="auto"/>
              </w:rPr>
            </w:pPr>
          </w:p>
        </w:tc>
        <w:tc>
          <w:tcPr>
            <w:tcW w:w="314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5/7/2021</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Amended and Restated Non-Employee Director</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40" w:type="dxa"/>
            <w:vAlign w:val="bottom"/>
          </w:tcPr>
          <w:p>
            <w:pPr>
              <w:spacing w:after="0"/>
              <w:rPr>
                <w:sz w:val="11"/>
                <w:szCs w:val="11"/>
                <w:color w:val="auto"/>
              </w:rPr>
            </w:pPr>
          </w:p>
        </w:tc>
        <w:tc>
          <w:tcPr>
            <w:tcW w:w="12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Compensation Policy.</w:t>
              </w:r>
            </w:hyperlink>
          </w:p>
        </w:tc>
        <w:tc>
          <w:tcPr>
            <w:tcW w:w="40" w:type="dxa"/>
            <w:vAlign w:val="bottom"/>
            <w:tcBorders>
              <w:top w:val="single" w:sz="8" w:color="0000FF"/>
              <w:bottom w:val="single" w:sz="8" w:color="0000EE"/>
            </w:tcBorders>
          </w:tcPr>
          <w:p>
            <w:pPr>
              <w:spacing w:after="0"/>
              <w:rPr>
                <w:sz w:val="11"/>
                <w:szCs w:val="11"/>
                <w:color w:val="auto"/>
              </w:rPr>
            </w:pPr>
          </w:p>
        </w:tc>
        <w:tc>
          <w:tcPr>
            <w:tcW w:w="1480" w:type="dxa"/>
            <w:vAlign w:val="bottom"/>
            <w:tcBorders>
              <w:top w:val="single" w:sz="8" w:color="0000FF"/>
            </w:tcBorders>
            <w:gridSpan w:val="9"/>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8/10/2021</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Restructuring Agreement of Fujian Fujun Gene Biotech Co.,</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40" w:type="dxa"/>
            <w:vAlign w:val="bottom"/>
          </w:tcPr>
          <w:p>
            <w:pPr>
              <w:spacing w:after="0"/>
              <w:rPr>
                <w:sz w:val="11"/>
                <w:szCs w:val="11"/>
                <w:color w:val="auto"/>
              </w:rPr>
            </w:pPr>
          </w:p>
        </w:tc>
        <w:tc>
          <w:tcPr>
            <w:tcW w:w="2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90">
              <w:r>
                <w:rPr>
                  <w:rFonts w:ascii="Times New Roman" w:cs="Times New Roman" w:eastAsia="Times New Roman" w:hAnsi="Times New Roman"/>
                  <w:sz w:val="14"/>
                  <w:szCs w:val="14"/>
                  <w:color w:val="0000FF"/>
                  <w:w w:val="95"/>
                </w:rPr>
                <w:t>Ltd.</w:t>
              </w:r>
            </w:hyperlink>
          </w:p>
        </w:tc>
        <w:tc>
          <w:tcPr>
            <w:tcW w:w="20" w:type="dxa"/>
            <w:vAlign w:val="bottom"/>
            <w:tcBorders>
              <w:top w:val="single" w:sz="8" w:color="0000FF"/>
              <w:bottom w:val="single" w:sz="8" w:color="0000EE"/>
            </w:tcBorders>
          </w:tcPr>
          <w:p>
            <w:pPr>
              <w:spacing w:after="0"/>
              <w:rPr>
                <w:sz w:val="11"/>
                <w:szCs w:val="11"/>
                <w:color w:val="auto"/>
              </w:rPr>
            </w:pPr>
          </w:p>
        </w:tc>
        <w:tc>
          <w:tcPr>
            <w:tcW w:w="3480" w:type="dxa"/>
            <w:vAlign w:val="bottom"/>
            <w:tcBorders>
              <w:top w:val="single" w:sz="8" w:color="0000FF"/>
            </w:tcBorders>
            <w:gridSpan w:val="4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3/29/2022</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Fulgent Genetics, Inc. Incentive Compensation Recoupment</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40" w:type="dxa"/>
            <w:vAlign w:val="bottom"/>
          </w:tcPr>
          <w:p>
            <w:pPr>
              <w:spacing w:after="0"/>
              <w:rPr>
                <w:sz w:val="11"/>
                <w:szCs w:val="11"/>
                <w:color w:val="auto"/>
              </w:rPr>
            </w:pPr>
          </w:p>
        </w:tc>
        <w:tc>
          <w:tcPr>
            <w:tcW w:w="3640" w:type="dxa"/>
            <w:vAlign w:val="bottom"/>
            <w:tcBorders>
              <w:top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Policy.</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4/26/2022</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Agreement and Plan of Merger, dated as of April 16, 2022,</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by and among Fulgent Therapeutics LLC, solely for purpose</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20" w:type="dxa"/>
            <w:vAlign w:val="bottom"/>
            <w:tcBorders>
              <w:bottom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of Section 6.20, Fulgent Genetics, Inc., Ducks Acquisition</w:t>
              </w:r>
            </w:hyperlink>
          </w:p>
        </w:tc>
        <w:tc>
          <w:tcPr>
            <w:tcW w:w="300" w:type="dxa"/>
            <w:vAlign w:val="bottom"/>
            <w:gridSpan w:val="1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Sub, Inc., Symphony Buyer, Inc., solely in its capacity as the</w:t>
              </w:r>
            </w:hyperlink>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Borders>
              <w:top w:val="single" w:sz="8" w:color="0000FF"/>
            </w:tcBorders>
            <w:gridSpan w:val="51"/>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representative of Symphony’s securityholders, Avista Capital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60" w:type="dxa"/>
            <w:vAlign w:val="bottom"/>
            <w:tcBorders>
              <w:top w:val="single" w:sz="8" w:color="0000FF"/>
            </w:tcBorders>
            <w:gridSpan w:val="55"/>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Partners IV GP, L.P. and solely for purposes of Section 6.21,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0" w:type="dxa"/>
            <w:vAlign w:val="bottom"/>
            <w:tcBorders>
              <w:top w:val="single" w:sz="8" w:color="0000FF"/>
            </w:tcBorders>
            <w:gridSpan w:val="52"/>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Article VIII and Section 10.14, those company stockholders</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10.30#</w:t>
            </w:r>
          </w:p>
        </w:tc>
        <w:tc>
          <w:tcPr>
            <w:tcW w:w="140" w:type="dxa"/>
            <w:vAlign w:val="bottom"/>
          </w:tcPr>
          <w:p>
            <w:pPr>
              <w:spacing w:after="0"/>
              <w:rPr>
                <w:sz w:val="11"/>
                <w:szCs w:val="11"/>
                <w:color w:val="auto"/>
              </w:rPr>
            </w:pPr>
          </w:p>
        </w:tc>
        <w:tc>
          <w:tcPr>
            <w:tcW w:w="3600" w:type="dxa"/>
            <w:vAlign w:val="bottom"/>
            <w:tcBorders>
              <w:top w:val="single" w:sz="8" w:color="0000FF"/>
            </w:tcBorders>
            <w:gridSpan w:val="42"/>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set forth on the signature page thereto.</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11/7/2022</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Amended and Restated Director Compensation Program of</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8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the registrant, dated as of August 1, 2022.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10.31#</w:t>
            </w:r>
          </w:p>
        </w:tc>
        <w:tc>
          <w:tcPr>
            <w:tcW w:w="140" w:type="dxa"/>
            <w:vAlign w:val="bottom"/>
          </w:tcPr>
          <w:p>
            <w:pPr>
              <w:spacing w:after="0"/>
              <w:rPr>
                <w:sz w:val="11"/>
                <w:szCs w:val="11"/>
                <w:color w:val="auto"/>
              </w:rPr>
            </w:pPr>
          </w:p>
        </w:tc>
        <w:tc>
          <w:tcPr>
            <w:tcW w:w="24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of Notice of Restricted Stock Unit</w:t>
              </w:r>
            </w:hyperlink>
          </w:p>
        </w:tc>
        <w:tc>
          <w:tcPr>
            <w:tcW w:w="1480" w:type="dxa"/>
            <w:vAlign w:val="bottom"/>
            <w:gridSpan w:val="36"/>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Award and</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11/7/2022</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Restricted Stock Unit Agreement under the Fulgent</w:t>
              </w:r>
            </w:hyperlink>
          </w:p>
        </w:tc>
        <w:tc>
          <w:tcPr>
            <w:tcW w:w="860" w:type="dxa"/>
            <w:vAlign w:val="bottom"/>
            <w:gridSpan w:val="30"/>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Pharma</w:t>
              </w:r>
            </w:hyperlink>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tcPr>
          <w:p>
            <w:pPr>
              <w:spacing w:after="0"/>
              <w:rPr>
                <w:sz w:val="11"/>
                <w:szCs w:val="11"/>
                <w:color w:val="auto"/>
              </w:rPr>
            </w:pPr>
          </w:p>
        </w:tc>
        <w:tc>
          <w:tcPr>
            <w:tcW w:w="3540" w:type="dxa"/>
            <w:vAlign w:val="bottom"/>
            <w:tcBorders>
              <w:top w:val="single" w:sz="8" w:color="0000FF"/>
            </w:tcBorders>
            <w:gridSpan w:val="39"/>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Holdings, Inc. 2022 Omnibus Incentive Plan.</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11/7/2022</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Agreement and Plan of Merger, dated November 7, 2022 by</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Borders>
              <w:top w:val="single" w:sz="8" w:color="0000FF"/>
              <w:bottom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and among Fulgent Genetics, FG Merger Sub, Inc., Fulgent</w:t>
              </w:r>
            </w:hyperlink>
          </w:p>
        </w:tc>
        <w:tc>
          <w:tcPr>
            <w:tcW w:w="40" w:type="dxa"/>
            <w:vAlign w:val="bottom"/>
            <w:tcBorders>
              <w:top w:val="single" w:sz="8" w:color="0000FF"/>
            </w:tcBorders>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Pharma Holdings, Inc. and solely for purposes of Section 2.4,</w:t>
              </w:r>
            </w:hyperlink>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60" w:type="dxa"/>
            <w:vAlign w:val="bottom"/>
            <w:tcBorders>
              <w:top w:val="single" w:sz="8" w:color="0000FF"/>
            </w:tcBorders>
            <w:gridSpan w:val="55"/>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Section 5.5, Article VI, Section 7.8 and Section 7.14, those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10.33</w:t>
            </w:r>
          </w:p>
        </w:tc>
        <w:tc>
          <w:tcPr>
            <w:tcW w:w="140" w:type="dxa"/>
            <w:vAlign w:val="bottom"/>
          </w:tcPr>
          <w:p>
            <w:pPr>
              <w:spacing w:after="0"/>
              <w:rPr>
                <w:sz w:val="11"/>
                <w:szCs w:val="11"/>
                <w:color w:val="auto"/>
              </w:rPr>
            </w:pPr>
          </w:p>
        </w:tc>
        <w:tc>
          <w:tcPr>
            <w:tcW w:w="3460" w:type="dxa"/>
            <w:vAlign w:val="bottom"/>
            <w:tcBorders>
              <w:top w:val="single" w:sz="8" w:color="0000FF"/>
              <w:bottom w:val="single" w:sz="8" w:color="0000FF"/>
            </w:tcBorders>
            <w:gridSpan w:val="35"/>
          </w:tcPr>
          <w:p>
            <w:pPr>
              <w:spacing w:after="0" w:line="129" w:lineRule="exact"/>
              <w:rPr>
                <w:rFonts w:ascii="Times New Roman" w:cs="Times New Roman" w:eastAsia="Times New Roman" w:hAnsi="Times New Roman"/>
                <w:sz w:val="14"/>
                <w:szCs w:val="14"/>
                <w:color w:val="0000FF"/>
                <w:w w:val="99"/>
              </w:rPr>
            </w:pPr>
            <w:hyperlink r:id="rId195">
              <w:r>
                <w:rPr>
                  <w:rFonts w:ascii="Times New Roman" w:cs="Times New Roman" w:eastAsia="Times New Roman" w:hAnsi="Times New Roman"/>
                  <w:sz w:val="14"/>
                  <w:szCs w:val="14"/>
                  <w:color w:val="0000FF"/>
                  <w:w w:val="99"/>
                </w:rPr>
                <w:t>company stockholders set forth on the signature page thereto.</w:t>
              </w:r>
            </w:hyperlink>
          </w:p>
        </w:tc>
        <w:tc>
          <w:tcPr>
            <w:tcW w:w="40" w:type="dxa"/>
            <w:vAlign w:val="bottom"/>
            <w:tcBorders>
              <w:bottom w:val="single" w:sz="8" w:color="0000FF"/>
            </w:tcBorders>
            <w:gridSpan w:val="2"/>
          </w:tcPr>
          <w:p>
            <w:pPr>
              <w:spacing w:after="0"/>
              <w:rPr>
                <w:sz w:val="11"/>
                <w:szCs w:val="11"/>
                <w:color w:val="auto"/>
              </w:rPr>
            </w:pPr>
          </w:p>
        </w:tc>
        <w:tc>
          <w:tcPr>
            <w:tcW w:w="80" w:type="dxa"/>
            <w:vAlign w:val="bottom"/>
            <w:tcBorders>
              <w:bottom w:val="single" w:sz="8" w:color="0000FF"/>
            </w:tcBorders>
            <w:gridSpan w:val="4"/>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80" w:type="dxa"/>
            <w:vAlign w:val="bottom"/>
            <w:tcBorders>
              <w:bottom w:val="single" w:sz="8" w:color="0000FF"/>
            </w:tcBorders>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10.41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2/28/2024</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20" w:type="dxa"/>
            <w:vAlign w:val="bottom"/>
            <w:gridSpan w:val="43"/>
          </w:tcPr>
          <w:p>
            <w:pPr>
              <w:spacing w:after="0" w:line="12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Rule 10b5-1 Issuer Repurchase Plan, dated December 12,</w:t>
              </w:r>
            </w:hyperlink>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6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2023, by and between Fulgent Genetics, Inc. and Piper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tcPr>
          <w:p>
            <w:pPr>
              <w:spacing w:after="0"/>
              <w:rPr>
                <w:sz w:val="11"/>
                <w:szCs w:val="11"/>
                <w:color w:val="auto"/>
              </w:rPr>
            </w:pPr>
          </w:p>
        </w:tc>
        <w:tc>
          <w:tcPr>
            <w:tcW w:w="8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w w:val="99"/>
              </w:rPr>
            </w:pPr>
            <w:hyperlink r:id="rId196">
              <w:r>
                <w:rPr>
                  <w:rFonts w:ascii="Times New Roman" w:cs="Times New Roman" w:eastAsia="Times New Roman" w:hAnsi="Times New Roman"/>
                  <w:sz w:val="14"/>
                  <w:szCs w:val="14"/>
                  <w:color w:val="0000FF"/>
                  <w:w w:val="99"/>
                </w:rPr>
                <w:t>Sandler &amp; Co.</w:t>
              </w:r>
            </w:hyperlink>
          </w:p>
        </w:tc>
        <w:tc>
          <w:tcPr>
            <w:tcW w:w="20" w:type="dxa"/>
            <w:vAlign w:val="bottom"/>
            <w:tcBorders>
              <w:top w:val="single" w:sz="8" w:color="0000FF"/>
              <w:bottom w:val="single" w:sz="8" w:color="0000EE"/>
            </w:tcBorders>
          </w:tcPr>
          <w:p>
            <w:pPr>
              <w:spacing w:after="0"/>
              <w:rPr>
                <w:sz w:val="11"/>
                <w:szCs w:val="11"/>
                <w:color w:val="auto"/>
              </w:rPr>
            </w:pPr>
          </w:p>
        </w:tc>
        <w:tc>
          <w:tcPr>
            <w:tcW w:w="2320" w:type="dxa"/>
            <w:vAlign w:val="bottom"/>
            <w:tcBorders>
              <w:top w:val="single" w:sz="8" w:color="0000FF"/>
            </w:tcBorders>
            <w:gridSpan w:val="17"/>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10.48</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2/28/2023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Second Amendment to Lease Agreement, July 1, 2020 by</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8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and between Inform Diagnostics, Inc., p/k/a/ Miraca Life</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10.35</w:t>
            </w:r>
          </w:p>
        </w:tc>
        <w:tc>
          <w:tcPr>
            <w:tcW w:w="140" w:type="dxa"/>
            <w:vAlign w:val="bottom"/>
          </w:tcPr>
          <w:p>
            <w:pPr>
              <w:spacing w:after="0"/>
              <w:rPr>
                <w:sz w:val="11"/>
                <w:szCs w:val="11"/>
                <w:color w:val="auto"/>
              </w:rPr>
            </w:pPr>
          </w:p>
        </w:tc>
        <w:tc>
          <w:tcPr>
            <w:tcW w:w="206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Sciences, Inc. and WPT Land 2 LP.</w:t>
              </w:r>
            </w:hyperlink>
          </w:p>
        </w:tc>
        <w:tc>
          <w:tcPr>
            <w:tcW w:w="20" w:type="dxa"/>
            <w:vAlign w:val="bottom"/>
            <w:tcBorders>
              <w:top w:val="single" w:sz="8" w:color="0000FF"/>
              <w:bottom w:val="single" w:sz="8" w:color="0000EE"/>
            </w:tcBorders>
          </w:tcPr>
          <w:p>
            <w:pPr>
              <w:spacing w:after="0"/>
              <w:rPr>
                <w:sz w:val="11"/>
                <w:szCs w:val="11"/>
                <w:color w:val="auto"/>
              </w:rPr>
            </w:pPr>
          </w:p>
        </w:tc>
        <w:tc>
          <w:tcPr>
            <w:tcW w:w="1240" w:type="dxa"/>
            <w:vAlign w:val="bottom"/>
            <w:tcBorders>
              <w:top w:val="single" w:sz="8" w:color="0000FF"/>
            </w:tcBorders>
            <w:gridSpan w:val="11"/>
          </w:tcPr>
          <w:p>
            <w:pPr>
              <w:spacing w:after="0"/>
              <w:rPr>
                <w:sz w:val="11"/>
                <w:szCs w:val="11"/>
                <w:color w:val="auto"/>
              </w:rPr>
            </w:pPr>
          </w:p>
        </w:tc>
        <w:tc>
          <w:tcPr>
            <w:tcW w:w="8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10.51</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2/28/2023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Lease Agreement of Premises at 15-19 Crawford Street</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2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Needham, Massachusetts, by and between Inform</w:t>
              </w:r>
            </w:hyperlink>
          </w:p>
        </w:tc>
        <w:tc>
          <w:tcPr>
            <w:tcW w:w="1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10.36#</w:t>
            </w:r>
          </w:p>
        </w:tc>
        <w:tc>
          <w:tcPr>
            <w:tcW w:w="140" w:type="dxa"/>
            <w:vAlign w:val="bottom"/>
          </w:tcPr>
          <w:p>
            <w:pPr>
              <w:spacing w:after="0"/>
              <w:rPr>
                <w:sz w:val="11"/>
                <w:szCs w:val="11"/>
                <w:color w:val="auto"/>
              </w:rPr>
            </w:pPr>
          </w:p>
        </w:tc>
        <w:tc>
          <w:tcPr>
            <w:tcW w:w="290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Diagnostics and Crawford Street DE, LLC.</w:t>
              </w:r>
            </w:hyperlink>
          </w:p>
        </w:tc>
        <w:tc>
          <w:tcPr>
            <w:tcW w:w="500" w:type="dxa"/>
            <w:vAlign w:val="bottom"/>
            <w:gridSpan w:val="7"/>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10.52</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2/28/2023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Fulgent Pharma Holdings, Inc. 2022 Omnibus Incentive Plan</w:t>
              </w:r>
            </w:hyperlink>
            <w:r>
              <w:rPr>
                <w:rFonts w:ascii="Times New Roman" w:cs="Times New Roman" w:eastAsia="Times New Roman" w:hAnsi="Times New Roman"/>
                <w:sz w:val="14"/>
                <w:szCs w:val="14"/>
                <w:color w:val="000000"/>
              </w:rPr>
              <w:t>.</w:t>
            </w:r>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10.37*^#</w:t>
            </w:r>
          </w:p>
        </w:tc>
        <w:tc>
          <w:tcPr>
            <w:tcW w:w="140" w:type="dxa"/>
            <w:vAlign w:val="bottom"/>
          </w:tcPr>
          <w:p>
            <w:pPr>
              <w:spacing w:after="0"/>
              <w:rPr>
                <w:sz w:val="11"/>
                <w:szCs w:val="11"/>
                <w:color w:val="auto"/>
              </w:rPr>
            </w:pPr>
          </w:p>
        </w:tc>
        <w:tc>
          <w:tcPr>
            <w:tcW w:w="3680" w:type="dxa"/>
            <w:vAlign w:val="bottom"/>
            <w:tcBorders>
              <w:top w:val="single" w:sz="8" w:color="0000FF"/>
            </w:tcBorders>
            <w:gridSpan w:val="46"/>
          </w:tcPr>
          <w:p>
            <w:pPr>
              <w:spacing w:after="0" w:line="12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Amended and Restated Director Compensation Program of</w:t>
              </w:r>
            </w:hyperlink>
          </w:p>
        </w:tc>
        <w:tc>
          <w:tcPr>
            <w:tcW w:w="140" w:type="dxa"/>
            <w:vAlign w:val="bottom"/>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5/5/2023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10.38</w:t>
            </w:r>
          </w:p>
        </w:tc>
        <w:tc>
          <w:tcPr>
            <w:tcW w:w="140" w:type="dxa"/>
            <w:vAlign w:val="bottom"/>
          </w:tcPr>
          <w:p>
            <w:pPr>
              <w:spacing w:after="0"/>
              <w:rPr>
                <w:sz w:val="11"/>
                <w:szCs w:val="11"/>
                <w:color w:val="auto"/>
              </w:rPr>
            </w:pPr>
          </w:p>
        </w:tc>
        <w:tc>
          <w:tcPr>
            <w:tcW w:w="348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the registrant</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40" w:type="dxa"/>
            <w:vAlign w:val="bottom"/>
            <w:gridSpan w:val="1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5/5/2023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Executive Officer Incentive Plan of the registrant.</w:t>
              </w:r>
            </w:hyperlink>
          </w:p>
        </w:tc>
        <w:tc>
          <w:tcPr>
            <w:tcW w:w="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10.39</w:t>
            </w:r>
          </w:p>
        </w:tc>
        <w:tc>
          <w:tcPr>
            <w:tcW w:w="140" w:type="dxa"/>
            <w:vAlign w:val="bottom"/>
          </w:tcPr>
          <w:p>
            <w:pPr>
              <w:spacing w:after="0"/>
              <w:rPr>
                <w:sz w:val="11"/>
                <w:szCs w:val="11"/>
                <w:color w:val="auto"/>
              </w:rPr>
            </w:pPr>
          </w:p>
        </w:tc>
        <w:tc>
          <w:tcPr>
            <w:tcW w:w="288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Amended and Restated 2016 Omnibus Incentive</w:t>
              </w:r>
            </w:hyperlink>
          </w:p>
        </w:tc>
        <w:tc>
          <w:tcPr>
            <w:tcW w:w="1000" w:type="dxa"/>
            <w:vAlign w:val="bottom"/>
            <w:gridSpan w:val="32"/>
          </w:tcPr>
          <w:p>
            <w:pPr>
              <w:spacing w:after="0" w:line="12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Plan of the</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5//18/2023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registrant</w:t>
              </w:r>
              <w:r>
                <w:rPr>
                  <w:rFonts w:ascii="Times New Roman" w:cs="Times New Roman" w:eastAsia="Times New Roman" w:hAnsi="Times New Roman"/>
                  <w:sz w:val="14"/>
                  <w:szCs w:val="14"/>
                  <w:color w:val="000000"/>
                </w:rPr>
                <w:t>.</w:t>
              </w:r>
            </w:hyperlink>
          </w:p>
        </w:tc>
        <w:tc>
          <w:tcPr>
            <w:tcW w:w="240" w:type="dxa"/>
            <w:vAlign w:val="bottom"/>
            <w:gridSpan w:val="1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10.40^#</w:t>
            </w:r>
          </w:p>
        </w:tc>
        <w:tc>
          <w:tcPr>
            <w:tcW w:w="140" w:type="dxa"/>
            <w:vAlign w:val="bottom"/>
          </w:tcPr>
          <w:p>
            <w:pPr>
              <w:spacing w:after="0"/>
              <w:rPr>
                <w:sz w:val="11"/>
                <w:szCs w:val="11"/>
                <w:color w:val="auto"/>
              </w:rPr>
            </w:pPr>
          </w:p>
        </w:tc>
        <w:tc>
          <w:tcPr>
            <w:tcW w:w="54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w w:val="95"/>
              </w:rPr>
            </w:pPr>
            <w:hyperlink r:id="rId203">
              <w:r>
                <w:rPr>
                  <w:rFonts w:ascii="Times New Roman" w:cs="Times New Roman" w:eastAsia="Times New Roman" w:hAnsi="Times New Roman"/>
                  <w:sz w:val="14"/>
                  <w:szCs w:val="14"/>
                  <w:color w:val="0000FF"/>
                  <w:w w:val="95"/>
                </w:rPr>
                <w:t>Amended</w:t>
              </w:r>
            </w:hyperlink>
          </w:p>
        </w:tc>
        <w:tc>
          <w:tcPr>
            <w:tcW w:w="20" w:type="dxa"/>
            <w:vAlign w:val="bottom"/>
            <w:tcBorders>
              <w:top w:val="single" w:sz="8" w:color="0000EE"/>
            </w:tcBorders>
          </w:tcPr>
          <w:p>
            <w:pPr>
              <w:spacing w:after="0"/>
              <w:rPr>
                <w:sz w:val="11"/>
                <w:szCs w:val="11"/>
                <w:color w:val="auto"/>
              </w:rPr>
            </w:pPr>
          </w:p>
        </w:tc>
        <w:tc>
          <w:tcPr>
            <w:tcW w:w="3320" w:type="dxa"/>
            <w:vAlign w:val="bottom"/>
            <w:gridSpan w:val="50"/>
          </w:tcPr>
          <w:p>
            <w:pPr>
              <w:jc w:val="right"/>
              <w:ind w:right="460"/>
              <w:spacing w:after="0" w:line="12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and Restated Executive Officer Incentive Plan of</w:t>
              </w:r>
            </w:hyperlink>
          </w:p>
        </w:tc>
        <w:tc>
          <w:tcPr>
            <w:tcW w:w="20" w:type="dxa"/>
            <w:vAlign w:val="bottom"/>
          </w:tcPr>
          <w:p>
            <w:pPr>
              <w:spacing w:after="0"/>
              <w:rPr>
                <w:sz w:val="11"/>
                <w:szCs w:val="11"/>
                <w:color w:val="auto"/>
              </w:rPr>
            </w:pPr>
          </w:p>
        </w:tc>
        <w:tc>
          <w:tcPr>
            <w:tcW w:w="90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11/3/2023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1"/>
                <w:szCs w:val="11"/>
                <w:color w:val="auto"/>
              </w:rPr>
            </w:pPr>
          </w:p>
        </w:tc>
        <w:tc>
          <w:tcPr>
            <w:tcW w:w="8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the registrant.</w:t>
              </w:r>
            </w:hyperlink>
          </w:p>
        </w:tc>
        <w:tc>
          <w:tcPr>
            <w:tcW w:w="2680" w:type="dxa"/>
            <w:vAlign w:val="bottom"/>
            <w:tcBorders>
              <w:top w:val="single" w:sz="8" w:color="0000FF"/>
            </w:tcBorders>
            <w:gridSpan w:val="29"/>
          </w:tcPr>
          <w:p>
            <w:pPr>
              <w:spacing w:after="0"/>
              <w:rPr>
                <w:sz w:val="11"/>
                <w:szCs w:val="11"/>
                <w:color w:val="auto"/>
              </w:rPr>
            </w:pPr>
          </w:p>
        </w:tc>
        <w:tc>
          <w:tcPr>
            <w:tcW w:w="300" w:type="dxa"/>
            <w:vAlign w:val="bottom"/>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sz w:val="20"/>
                <w:szCs w:val="20"/>
                <w:color w:val="auto"/>
              </w:rPr>
            </w:pPr>
            <w:r>
              <w:rPr>
                <w:rFonts w:ascii="Times New Roman" w:cs="Times New Roman" w:eastAsia="Times New Roman" w:hAnsi="Times New Roman"/>
                <w:sz w:val="14"/>
                <w:szCs w:val="14"/>
                <w:color w:val="0000FF"/>
              </w:rPr>
              <w:t>Insider Trading Policy</w:t>
            </w:r>
            <w:r>
              <w:rPr>
                <w:rFonts w:ascii="Times New Roman" w:cs="Times New Roman" w:eastAsia="Times New Roman" w:hAnsi="Times New Roman"/>
                <w:sz w:val="14"/>
                <w:szCs w:val="14"/>
                <w:color w:val="000000"/>
              </w:rPr>
              <w: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sz w:val="20"/>
                <w:szCs w:val="20"/>
                <w:color w:val="auto"/>
              </w:rPr>
            </w:pPr>
            <w:r>
              <w:rPr>
                <w:rFonts w:ascii="Times New Roman" w:cs="Times New Roman" w:eastAsia="Times New Roman" w:hAnsi="Times New Roman"/>
                <w:sz w:val="14"/>
                <w:szCs w:val="14"/>
                <w:color w:val="0000FF"/>
              </w:rPr>
              <w:t>Subsidiaries of the registrant.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w w:val="97"/>
              </w:rPr>
              <w:t>Consent of Deloitte &amp; Touche</w:t>
            </w:r>
          </w:p>
        </w:tc>
        <w:tc>
          <w:tcPr>
            <w:tcW w:w="20" w:type="dxa"/>
            <w:vAlign w:val="bottom"/>
            <w:tcBorders>
              <w:top w:val="single" w:sz="8" w:color="0000EE"/>
              <w:bottom w:val="single" w:sz="8" w:color="0000FF"/>
            </w:tcBorders>
          </w:tcPr>
          <w:p>
            <w:pPr>
              <w:spacing w:after="0"/>
              <w:rPr>
                <w:sz w:val="11"/>
                <w:szCs w:val="11"/>
                <w:color w:val="auto"/>
              </w:rPr>
            </w:pPr>
          </w:p>
        </w:tc>
        <w:tc>
          <w:tcPr>
            <w:tcW w:w="1800" w:type="dxa"/>
            <w:vAlign w:val="bottom"/>
            <w:tcBorders>
              <w:bottom w:val="single" w:sz="8" w:color="0000FF"/>
            </w:tcBorders>
            <w:gridSpan w:val="21"/>
          </w:tcPr>
          <w:p>
            <w:pPr>
              <w:jc w:val="right"/>
              <w:ind w:right="80"/>
              <w:spacing w:after="0" w:line="129" w:lineRule="exact"/>
              <w:rPr>
                <w:sz w:val="20"/>
                <w:szCs w:val="20"/>
                <w:color w:val="auto"/>
              </w:rPr>
            </w:pPr>
            <w:r>
              <w:rPr>
                <w:rFonts w:ascii="Times New Roman" w:cs="Times New Roman" w:eastAsia="Times New Roman" w:hAnsi="Times New Roman"/>
                <w:sz w:val="14"/>
                <w:szCs w:val="14"/>
                <w:color w:val="0000FF"/>
              </w:rPr>
              <w:t>LLP, independent registered</w:t>
            </w:r>
          </w:p>
        </w:tc>
        <w:tc>
          <w:tcPr>
            <w:tcW w:w="380" w:type="dxa"/>
            <w:vAlign w:val="bottom"/>
            <w:gridSpan w:val="19"/>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56"/>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 relating to the financial statements of</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11"/>
                <w:szCs w:val="11"/>
                <w:color w:val="auto"/>
              </w:rPr>
            </w:pPr>
          </w:p>
        </w:tc>
        <w:tc>
          <w:tcPr>
            <w:tcW w:w="840" w:type="dxa"/>
            <w:vAlign w:val="bottom"/>
            <w:tcBorders>
              <w:top w:val="single" w:sz="8" w:color="0000FF"/>
              <w:bottom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the registrant.</w:t>
            </w:r>
          </w:p>
        </w:tc>
        <w:tc>
          <w:tcPr>
            <w:tcW w:w="2980" w:type="dxa"/>
            <w:vAlign w:val="bottom"/>
            <w:tcBorders>
              <w:top w:val="single" w:sz="8" w:color="0000FF"/>
            </w:tcBorders>
            <w:gridSpan w:val="4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Borders>
              <w:bottom w:val="single" w:sz="8" w:color="0000FF"/>
            </w:tcBorders>
            <w:gridSpan w:val="32"/>
          </w:tcPr>
          <w:p>
            <w:pPr>
              <w:spacing w:after="0" w:line="129" w:lineRule="exact"/>
              <w:rPr>
                <w:sz w:val="20"/>
                <w:szCs w:val="20"/>
                <w:color w:val="auto"/>
              </w:rPr>
            </w:pPr>
            <w:r>
              <w:rPr>
                <w:rFonts w:ascii="Times New Roman" w:cs="Times New Roman" w:eastAsia="Times New Roman" w:hAnsi="Times New Roman"/>
                <w:sz w:val="14"/>
                <w:szCs w:val="14"/>
                <w:color w:val="0000FF"/>
              </w:rPr>
              <w:t>Power of Attorney (included on the signature page hereto).</w:t>
            </w:r>
          </w:p>
        </w:tc>
        <w:tc>
          <w:tcPr>
            <w:tcW w:w="20" w:type="dxa"/>
            <w:vAlign w:val="bottom"/>
            <w:tcBorders>
              <w:bottom w:val="single" w:sz="8" w:color="0000EE"/>
            </w:tcBorders>
          </w:tcPr>
          <w:p>
            <w:pPr>
              <w:spacing w:after="0"/>
              <w:rPr>
                <w:sz w:val="11"/>
                <w:szCs w:val="11"/>
                <w:color w:val="auto"/>
              </w:rPr>
            </w:pPr>
          </w:p>
        </w:tc>
        <w:tc>
          <w:tcPr>
            <w:tcW w:w="460" w:type="dxa"/>
            <w:vAlign w:val="bottom"/>
            <w:gridSpan w:val="23"/>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Borders>
              <w:top w:val="single" w:sz="8" w:color="0000FF"/>
              <w:bottom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w:t>
            </w:r>
          </w:p>
        </w:tc>
        <w:tc>
          <w:tcPr>
            <w:tcW w:w="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1"/>
                <w:szCs w:val="11"/>
                <w:color w:val="auto"/>
              </w:rPr>
            </w:pPr>
          </w:p>
        </w:tc>
        <w:tc>
          <w:tcPr>
            <w:tcW w:w="20" w:type="dxa"/>
            <w:vAlign w:val="bottom"/>
            <w:tcBorders>
              <w:top w:val="single" w:sz="8" w:color="0000EE"/>
              <w:bottom w:val="single" w:sz="8" w:color="0000EE"/>
            </w:tcBorders>
          </w:tcPr>
          <w:p>
            <w:pPr>
              <w:spacing w:after="0"/>
              <w:rPr>
                <w:sz w:val="11"/>
                <w:szCs w:val="11"/>
                <w:color w:val="auto"/>
              </w:rPr>
            </w:pPr>
          </w:p>
        </w:tc>
        <w:tc>
          <w:tcPr>
            <w:tcW w:w="112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236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Borders>
              <w:top w:val="single" w:sz="8" w:color="0000FF"/>
              <w:bottom w:val="single" w:sz="8" w:color="0000FF"/>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w:t>
            </w:r>
          </w:p>
        </w:tc>
        <w:tc>
          <w:tcPr>
            <w:tcW w:w="60" w:type="dxa"/>
            <w:vAlign w:val="bottom"/>
            <w:tcBorders>
              <w:top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1"/>
                <w:szCs w:val="11"/>
                <w:color w:val="auto"/>
              </w:rPr>
            </w:pPr>
          </w:p>
        </w:tc>
        <w:tc>
          <w:tcPr>
            <w:tcW w:w="20" w:type="dxa"/>
            <w:vAlign w:val="bottom"/>
            <w:tcBorders>
              <w:top w:val="single" w:sz="8" w:color="0000EE"/>
              <w:bottom w:val="single" w:sz="8" w:color="0000EE"/>
            </w:tcBorders>
          </w:tcPr>
          <w:p>
            <w:pPr>
              <w:spacing w:after="0"/>
              <w:rPr>
                <w:sz w:val="11"/>
                <w:szCs w:val="11"/>
                <w:color w:val="auto"/>
              </w:rPr>
            </w:pPr>
          </w:p>
        </w:tc>
        <w:tc>
          <w:tcPr>
            <w:tcW w:w="112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2360" w:type="dxa"/>
            <w:vAlign w:val="bottom"/>
            <w:tcBorders>
              <w:top w:val="single" w:sz="8" w:color="0000FF"/>
            </w:tcBorders>
            <w:gridSpan w:val="6"/>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Financial Officer pursuant to 18 U.S.C. Section 1350, as</w:t>
            </w:r>
          </w:p>
        </w:tc>
        <w:tc>
          <w:tcPr>
            <w:tcW w:w="6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48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8"/>
              </w:rPr>
              <w:t>of 2002.</w:t>
            </w:r>
          </w:p>
        </w:tc>
        <w:tc>
          <w:tcPr>
            <w:tcW w:w="20" w:type="dxa"/>
            <w:vAlign w:val="bottom"/>
            <w:tcBorders>
              <w:top w:val="single" w:sz="8" w:color="0000FF"/>
              <w:bottom w:val="single" w:sz="8" w:color="0000EE"/>
            </w:tcBorders>
          </w:tcPr>
          <w:p>
            <w:pPr>
              <w:spacing w:after="0"/>
              <w:rPr>
                <w:sz w:val="11"/>
                <w:szCs w:val="11"/>
                <w:color w:val="auto"/>
              </w:rPr>
            </w:pPr>
          </w:p>
        </w:tc>
        <w:tc>
          <w:tcPr>
            <w:tcW w:w="2960" w:type="dxa"/>
            <w:vAlign w:val="bottom"/>
            <w:tcBorders>
              <w:top w:val="single" w:sz="8" w:color="0000FF"/>
            </w:tcBorders>
            <w:gridSpan w:val="6"/>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spacing w:after="0" w:line="129" w:lineRule="exact"/>
              <w:rPr>
                <w:rFonts w:ascii="Times New Roman" w:cs="Times New Roman" w:eastAsia="Times New Roman" w:hAnsi="Times New Roman"/>
                <w:sz w:val="14"/>
                <w:szCs w:val="14"/>
                <w:color w:val="0000FF"/>
                <w:w w:val="88"/>
              </w:rPr>
            </w:pPr>
            <w:hyperlink r:id="rId205">
              <w:r>
                <w:rPr>
                  <w:rFonts w:ascii="Times New Roman" w:cs="Times New Roman" w:eastAsia="Times New Roman" w:hAnsi="Times New Roman"/>
                  <w:sz w:val="14"/>
                  <w:szCs w:val="14"/>
                  <w:color w:val="0000FF"/>
                  <w:w w:val="88"/>
                </w:rPr>
                <w:t>Amended</w:t>
              </w:r>
            </w:hyperlink>
          </w:p>
        </w:tc>
        <w:tc>
          <w:tcPr>
            <w:tcW w:w="3100" w:type="dxa"/>
            <w:vAlign w:val="bottom"/>
            <w:gridSpan w:val="12"/>
          </w:tcPr>
          <w:p>
            <w:pPr>
              <w:ind w:left="100"/>
              <w:spacing w:after="0" w:line="12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and Restated Incentive Compensation Recoupment</w:t>
              </w:r>
            </w:hyperlink>
          </w:p>
        </w:tc>
        <w:tc>
          <w:tcPr>
            <w:tcW w:w="1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6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rPr>
              <w:t>11/3/2023</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8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Policy of the registrant.</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20" w:type="dxa"/>
            <w:vAlign w:val="bottom"/>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360" w:type="dxa"/>
            <w:vAlign w:val="bottom"/>
            <w:tcBorders>
              <w:top w:val="single" w:sz="8" w:color="0000FF"/>
            </w:tcBorders>
            <w:gridSpan w:val="5"/>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w:t>
            </w:r>
          </w:p>
        </w:tc>
        <w:tc>
          <w:tcPr>
            <w:tcW w:w="2240" w:type="dxa"/>
            <w:vAlign w:val="bottom"/>
            <w:gridSpan w:val="9"/>
          </w:tcPr>
          <w:p>
            <w:pPr>
              <w:spacing w:after="0" w:line="119" w:lineRule="exact"/>
              <w:rPr>
                <w:sz w:val="20"/>
                <w:szCs w:val="20"/>
                <w:color w:val="auto"/>
              </w:rPr>
            </w:pPr>
            <w:r>
              <w:rPr>
                <w:rFonts w:ascii="Times New Roman" w:cs="Times New Roman" w:eastAsia="Times New Roman" w:hAnsi="Times New Roman"/>
                <w:sz w:val="13"/>
                <w:szCs w:val="13"/>
                <w:color w:val="auto"/>
              </w:rPr>
              <w:t>Document – the instance document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does not appear in</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the Interactive Data File because XBRL tags are embedded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within the Inline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ind w:right="40" w:firstLine="8"/>
        <w:spacing w:after="0" w:line="241" w:lineRule="auto"/>
        <w:tabs>
          <w:tab w:leader="none" w:pos="10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being furnished solely to accompany this report pursuant to 18 U.S.C. 1350, and are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contract or arrangement.</w:t>
      </w:r>
    </w:p>
    <w:p>
      <w:pPr>
        <w:spacing w:after="0" w:line="27" w:lineRule="exact"/>
        <w:rPr>
          <w:sz w:val="20"/>
          <w:szCs w:val="20"/>
          <w:color w:val="auto"/>
        </w:rPr>
      </w:pPr>
    </w:p>
    <w:p>
      <w:pPr>
        <w:ind w:right="300" w:firstLine="8"/>
        <w:spacing w:after="0" w:line="242" w:lineRule="auto"/>
        <w:tabs>
          <w:tab w:leader="none" w:pos="1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ind w:right="260" w:firstLine="8"/>
        <w:spacing w:after="0" w:line="261" w:lineRule="auto"/>
        <w:tabs>
          <w:tab w:leader="none" w:pos="10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have been omitted pursuant to Item 601(a)(5) of Regulation S-K. The Company hereby undertakes to furnish supplementally a copy of any omitted exhibit or schedule upon request by the SEC.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6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211"/>
        </w:trPr>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Ming Hsieh</w:t>
            </w:r>
          </w:p>
        </w:tc>
      </w:tr>
    </w:tbl>
    <w:p>
      <w:pPr>
        <w:ind w:left="8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WITNESS WHEREOF, each person whose signature appears below constitutes and appoints Ming Hsieh and Paul Kim as his or her true and lawful agent, proxy and attorney-in-fact, each acting alone, with full power of substitution and resubstitution, for him or her and in his or her name, place and stead, in any and all capacities, to (i) act on and sign any amendments to this report, with exhibits thereto and other documents in connection therewith,</w:t>
      </w:r>
    </w:p>
    <w:p>
      <w:pPr>
        <w:spacing w:after="0" w:line="1" w:lineRule="exact"/>
        <w:rPr>
          <w:sz w:val="20"/>
          <w:szCs w:val="20"/>
          <w:color w:val="auto"/>
        </w:rPr>
      </w:pPr>
    </w:p>
    <w:p>
      <w:pPr>
        <w:ind w:right="80" w:firstLine="8"/>
        <w:spacing w:after="0" w:line="255"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880"/>
        <w:spacing w:after="0"/>
        <w:tabs>
          <w:tab w:leader="none" w:pos="6080" w:val="left"/>
          <w:tab w:leader="none" w:pos="1018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0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Ming Hsieh</w:t>
      </w:r>
    </w:p>
    <w:p>
      <w:pPr>
        <w:spacing w:after="0" w:line="1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0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Paul Kim</w:t>
      </w:r>
    </w:p>
    <w:p>
      <w:pPr>
        <w:spacing w:after="0" w:line="12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Michael Nohaile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20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Michael Nohaile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Chief Executive Officer and Chairman of the Board</w:t>
      </w:r>
      <w:r>
        <w:rPr>
          <w:sz w:val="20"/>
          <w:szCs w:val="20"/>
          <w:color w:val="auto"/>
        </w:rPr>
        <w:tab/>
      </w:r>
      <w:r>
        <w:rPr>
          <w:rFonts w:ascii="Times New Roman" w:cs="Times New Roman" w:eastAsia="Times New Roman" w:hAnsi="Times New Roman"/>
          <w:sz w:val="17"/>
          <w:szCs w:val="17"/>
          <w:color w:val="auto"/>
        </w:rPr>
        <w:t>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2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2025</w:t>
      </w:r>
    </w:p>
    <w:p>
      <w:pPr>
        <w:spacing w:after="0" w:line="358" w:lineRule="exact"/>
        <w:rPr>
          <w:sz w:val="20"/>
          <w:szCs w:val="20"/>
          <w:color w:val="auto"/>
        </w:rPr>
      </w:pPr>
    </w:p>
    <w:p>
      <w:pPr>
        <w:sectPr>
          <w:pgSz w:w="11900" w:h="16838" w:orient="portrait"/>
          <w:cols w:equalWidth="0" w:num="2">
            <w:col w:w="2560" w:space="720"/>
            <w:col w:w="79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Regina Groves</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Regina Groves</w:t>
            </w:r>
          </w:p>
        </w:tc>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373"/>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Linda Marsh</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Linda Marsh</w:t>
            </w:r>
          </w:p>
        </w:tc>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630"/>
        </w:trPr>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5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97</w:t>
            </w:r>
          </w:p>
        </w:tc>
      </w:tr>
      <w:tr>
        <w:trPr>
          <w:trHeight w:val="763"/>
        </w:trPr>
        <w:tc>
          <w:tcPr>
            <w:tcW w:w="3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500" w:type="dxa"/>
            <w:vAlign w:val="bottom"/>
            <w:gridSpan w:val="7"/>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5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2024, 2023, and 2022</w:t>
            </w: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18"/>
        </w:trPr>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18"/>
        </w:trPr>
        <w:tc>
          <w:tcPr>
            <w:tcW w:w="20" w:type="dxa"/>
            <w:vAlign w:val="bottom"/>
          </w:tcPr>
          <w:p>
            <w:pPr>
              <w:spacing w:after="0"/>
              <w:rPr>
                <w:sz w:val="24"/>
                <w:szCs w:val="24"/>
                <w:color w:val="auto"/>
              </w:rPr>
            </w:pPr>
          </w:p>
        </w:tc>
        <w:tc>
          <w:tcPr>
            <w:tcW w:w="7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94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18"/>
        </w:trPr>
        <w:tc>
          <w:tcPr>
            <w:tcW w:w="20" w:type="dxa"/>
            <w:vAlign w:val="bottom"/>
          </w:tcPr>
          <w:p>
            <w:pPr>
              <w:spacing w:after="0"/>
              <w:rPr>
                <w:sz w:val="24"/>
                <w:szCs w:val="24"/>
                <w:color w:val="auto"/>
              </w:rPr>
            </w:pPr>
          </w:p>
        </w:tc>
        <w:tc>
          <w:tcPr>
            <w:tcW w:w="70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20" w:type="dxa"/>
            <w:vAlign w:val="bottom"/>
            <w:gridSpan w:val="3"/>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66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0" w:type="dxa"/>
            <w:vAlign w:val="bottom"/>
            <w:gridSpan w:val="5"/>
          </w:tcPr>
          <w:p>
            <w:pPr>
              <w:jc w:val="center"/>
              <w:ind w:right="3080"/>
              <w:spacing w:after="0"/>
              <w:rPr>
                <w:sz w:val="20"/>
                <w:szCs w:val="20"/>
                <w:color w:val="auto"/>
              </w:rPr>
            </w:pPr>
            <w:r>
              <w:rPr>
                <w:rFonts w:ascii="Times New Roman" w:cs="Times New Roman" w:eastAsia="Times New Roman" w:hAnsi="Times New Roman"/>
                <w:sz w:val="18"/>
                <w:szCs w:val="18"/>
                <w:color w:val="auto"/>
                <w:w w:val="95"/>
              </w:rPr>
              <w:t>F-1</w:t>
            </w:r>
          </w:p>
        </w:tc>
        <w:tc>
          <w:tcPr>
            <w:tcW w:w="1580" w:type="dxa"/>
            <w:vAlign w:val="bottom"/>
          </w:tcPr>
          <w:p>
            <w:pPr>
              <w:spacing w:after="0"/>
              <w:rPr>
                <w:sz w:val="24"/>
                <w:szCs w:val="24"/>
                <w:color w:val="auto"/>
              </w:rPr>
            </w:pPr>
          </w:p>
        </w:tc>
      </w:tr>
      <w:tr>
        <w:trPr>
          <w:trHeight w:val="628"/>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Fulgent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Fulgent Genetics, Inc., and subsidiaries (the “Company”) as of December 31, 2024, and 2023, the related consolidated statements of operations, comprehensive income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Internal Control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Integrated Framework (2013) issued by the Committee of Sponsoring Organizations of the Treadway Commission and our report dated February 28,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Therapeutic Development Reporting Unit – Refer to Notes 2 and 17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the reporting unit to its carrying value. The Company used the discounted cash flow model to estimate fair value, which requires management to make significant estimates and assumptions related to discount rates, forecasts of future revenues and EBITDA (defined as earnings before interest, income taxes, depreciation and amortization) margin, as well as probability and timing of commercial success. Changes in these assumptions could have a significant impact on either the fair value, the amount of any goodwill impairment charge, or both. The goodwill balance was $22.1 million as of December 31, 2024. The fair value of the Therapeutic Development Reporting Unit exceeded its carrying value by 268% as of the measurement date and, therefore, no impairment was recognized as of December 31, 2024.</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identified goodwill as a critical audit matter because of the significant judgments made by management to estimate the fair value of the reporting unit. This required a high degree of auditor judgment and an increased extent of effort, including the need to involve professionals in our firm having fair value expertise when performing audit procedures to evaluate the reasonableness of management’s estimates and assumptions related to selection of the discount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discount rate and forecasts used by management to estimate the fair value of the Therapeutic Development Reporting Unit included the following, among others:</w:t>
      </w:r>
    </w:p>
    <w:p>
      <w:pPr>
        <w:spacing w:after="0" w:line="54" w:lineRule="exact"/>
        <w:rPr>
          <w:sz w:val="20"/>
          <w:szCs w:val="20"/>
          <w:color w:val="auto"/>
        </w:rPr>
      </w:pPr>
    </w:p>
    <w:p>
      <w:pPr>
        <w:ind w:left="1020" w:right="3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reporting unit, such as controls related to management’s selection of the discount rate, forecasts of future revenue and EBITDA margin, and the probability and timing of commercial success.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timing of commercial success by comparing actual milestones achieved to milestone assumptions in management’s historical forecast.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revenue and EBITDA margin, including the probability and timing of commercial success by comparing the forecasts with:</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oForecasted information included in Company press releases as well as in analyst and industry reports for the Company and certain of its peer companies.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oRelevant regulatory approvals supporting timing of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fair value expertise, we evaluated the reasonableness of the (1) valuation methodology and (2) discount rate by:</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Testing the source information underlying the determination of the discount rate and the mathematical accuracy of the calculation.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Developing a range of independent estimates and comparing those to the discount rate selected by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IPR&amp;D – Refer to Notes 2 and 17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in-process research &amp; development (“IPR&amp;D”) that are indefinite-lived intangible assets. As of December 31, 2024, the carrying value of the IPR&amp;D is $64.6 million. Management estimates the fair value of IPR&amp;D annually on its elected assessment date of December 31, 2024, using a multi-period excess earnings method, which is a specific discounted cash flow method. The determination of the fair value requires management to make significant estimates and assumptions related to discount rates, forecasts of future revenues and EBITDA margin, as well as probability and timing of commercial success. Changes in these assumptions could have a significant impact on the fair value of IPR&amp;D and a significant change in fair value could cause a significant impairment. The fair value of the IPR&amp;D exceeded its carrying value by 214% as of the measurement date and therefore, no impairment was recognized as of December 31, 2024.</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the IPR&amp;D as a critical audit matter because of the significant judgments made by management to estimate its fair value. This required a high degree of auditor judgment and an increased extent of effort, including the need to involve professionals in our firm having fair value expertise when performing audit procedures to evaluate the reasonableness of management’s estimates and assumptions related to selection of the discount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discount rate and forecasts used by management to estimate the fair value of IPR&amp;D included the following, among others:</w:t>
      </w:r>
    </w:p>
    <w:p>
      <w:pPr>
        <w:spacing w:after="0" w:line="54" w:lineRule="exact"/>
        <w:rPr>
          <w:sz w:val="20"/>
          <w:szCs w:val="20"/>
          <w:color w:val="auto"/>
        </w:rPr>
      </w:pPr>
    </w:p>
    <w:p>
      <w:pPr>
        <w:ind w:left="1020" w:right="8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intangible asset impairment evaluation, including those over the determination of the IPR&amp;D, such as controls related to management’s selection of the discount rate, forecasts of future revenue, EBITDA margin, and the probability and timing of commercial success.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timing of commercial success by comparing actual milestones achieved to milestone assumptions in management’s historical forecast.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revenue and EBITDA margin, including the probability and timing of commercial success by comparing the forecasts with:</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Forecasted information included in Company press releases as well as in industry reports and external studies.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4" w:name="page105"/>
    <w:bookmarkEnd w:id="104"/>
    <w:p>
      <w:pPr>
        <w:ind w:left="1540" w:hanging="514"/>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regulatory approvals supporting timing of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fair value expertise, we evaluated the reasonableness of the (1) valuation methodology and (2) of the discount rates by:</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the mathematical accuracy of the calculation.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$20,458 and $25,226</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507,845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423,571</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73,018</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18"/>
                <w:szCs w:val="18"/>
                <w:color w:val="auto"/>
              </w:rPr>
            </w:pPr>
          </w:p>
        </w:tc>
      </w:tr>
      <w:tr>
        <w:trPr>
          <w:trHeight w:val="210"/>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3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33,614 shares issued and</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30,841 shares outstanding, and 32,416 shares issued and 29,653 shares outstanding</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3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501,718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(368 )</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633,175</w:t>
            </w:r>
          </w:p>
        </w:tc>
        <w:tc>
          <w:tcPr>
            <w:tcW w:w="100" w:type="dxa"/>
            <w:vAlign w:val="bottom"/>
          </w:tcPr>
          <w:p>
            <w:pPr>
              <w:spacing w:after="0"/>
              <w:rPr>
                <w:sz w:val="18"/>
                <w:szCs w:val="18"/>
                <w:color w:val="auto"/>
              </w:rPr>
            </w:pPr>
          </w:p>
        </w:tc>
      </w:tr>
      <w:tr>
        <w:trPr>
          <w:trHeight w:val="21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1,133,228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1,136,101</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(4,069 )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(2,815 )</w:t>
            </w:r>
          </w:p>
        </w:tc>
      </w:tr>
      <w:tr>
        <w:trPr>
          <w:trHeight w:val="210"/>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1,129,159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-3813810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-1842135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252,067</w:t>
            </w:r>
          </w:p>
        </w:tc>
        <w:tc>
          <w:tcPr>
            <w:tcW w:w="12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107,215</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111,074</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299,985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(73,918 )</w:t>
            </w: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(195,529 )</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178,527</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(488 )</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(1,013 )</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available-for-sale debt securities</w:t>
            </w:r>
          </w:p>
        </w:tc>
        <w:tc>
          <w:tcPr>
            <w:tcW w:w="10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(10,073 )</w:t>
            </w:r>
          </w:p>
        </w:tc>
        <w:tc>
          <w:tcPr>
            <w:tcW w:w="4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tcPr>
          <w:p>
            <w:pPr>
              <w:spacing w:after="0"/>
              <w:rPr>
                <w:sz w:val="18"/>
                <w:szCs w:val="18"/>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(51,956 )</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(174,085 )</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(8,136 )</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1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from consolidated operations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(43,820 )</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(175,239 )</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8"/>
                <w:szCs w:val="18"/>
                <w:color w:val="auto"/>
              </w:rPr>
            </w:pPr>
          </w:p>
        </w:tc>
      </w:tr>
      <w:tr>
        <w:trPr>
          <w:trHeight w:val="25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(42,708 )</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(167,825 )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120" w:type="dxa"/>
            <w:vAlign w:val="bottom"/>
            <w:shd w:val="clear" w:color="auto" w:fill="CFF0FC"/>
          </w:tcPr>
          <w:p>
            <w:pPr>
              <w:spacing w:after="0"/>
              <w:rPr>
                <w:sz w:val="21"/>
                <w:szCs w:val="21"/>
                <w:color w:val="auto"/>
              </w:rPr>
            </w:pPr>
          </w:p>
        </w:tc>
      </w:tr>
      <w:tr>
        <w:trPr>
          <w:trHeight w:val="196"/>
        </w:trPr>
        <w:tc>
          <w:tcPr>
            <w:tcW w:w="56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attributable to Fulgent:</w:t>
            </w:r>
          </w:p>
        </w:tc>
        <w:tc>
          <w:tcPr>
            <w:tcW w:w="10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(1.41 )</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120" w:type="dxa"/>
            <w:vAlign w:val="bottom"/>
            <w:shd w:val="clear" w:color="auto" w:fill="CFF0FC"/>
          </w:tcPr>
          <w:p>
            <w:pPr>
              <w:spacing w:after="0"/>
              <w:rPr>
                <w:sz w:val="18"/>
                <w:szCs w:val="18"/>
                <w:color w:val="auto"/>
              </w:rPr>
            </w:pPr>
          </w:p>
        </w:tc>
      </w:tr>
      <w:tr>
        <w:trPr>
          <w:trHeight w:val="234"/>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-3816985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-3816985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-3816985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-2702560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-2702560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-2702560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-1871345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-1871345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-1871345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-1014095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-996950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-1014095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-996950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-1014095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from consolidated operations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(43,820 )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(175,239 )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(1,200 )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(2,665 )</w:t>
            </w: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 on available-for-sale debt securities, net of tax</w:t>
            </w:r>
          </w:p>
        </w:tc>
        <w:tc>
          <w:tcPr>
            <w:tcW w:w="3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(19,940 )</w:t>
            </w:r>
          </w:p>
        </w:tc>
      </w:tr>
      <w:tr>
        <w:trPr>
          <w:trHeight w:val="20"/>
        </w:trPr>
        <w:tc>
          <w:tcPr>
            <w:tcW w:w="6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comprehensive (loss) income from consolidated operations</w:t>
            </w: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(45,535 )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(151,722 )</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119,318</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 attributable to noncontrolling interest</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(1,409 )</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FF0FC"/>
          </w:tcPr>
          <w:p>
            <w:pPr>
              <w:spacing w:after="0"/>
              <w:rPr>
                <w:sz w:val="18"/>
                <w:szCs w:val="18"/>
                <w:color w:val="auto"/>
              </w:rPr>
            </w:pPr>
          </w:p>
        </w:tc>
      </w:tr>
      <w:tr>
        <w:trPr>
          <w:trHeight w:val="210"/>
        </w:trPr>
        <w:tc>
          <w:tcPr>
            <w:tcW w:w="6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Borders>
              <w:top w:val="single" w:sz="8" w:color="CFF0FC"/>
            </w:tcBorders>
          </w:tcPr>
          <w:p>
            <w:pPr>
              <w:spacing w:after="0"/>
              <w:rPr>
                <w:sz w:val="18"/>
                <w:szCs w:val="18"/>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Fulgent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(44,281 )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(145,717 )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shd w:val="clear" w:color="auto" w:fill="CFF0FC"/>
          </w:tcPr>
          <w:p>
            <w:pPr>
              <w:spacing w:after="0"/>
              <w:rPr>
                <w:sz w:val="19"/>
                <w:szCs w:val="19"/>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-316230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302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2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s’ Equity</w:t>
            </w:r>
          </w:p>
        </w:tc>
        <w:tc>
          <w:tcPr>
            <w:tcW w:w="12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1,158,74</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30,160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501,908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(759 )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$ 657,597</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7,131</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1,165,880</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(32 )</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(1,768 )</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(1,768 )</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(1,768 )</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(1,810 )</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(74,337 )</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(74,337 )</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(74,337 )</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combination (1)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(20,144 )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(20,144 )</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(2,461 )</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(22,605 )</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143,403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143,403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(1,480 )</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141,923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1,266,68</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2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(20,903 )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$ 801,000</w:t>
            </w:r>
          </w:p>
        </w:tc>
        <w:tc>
          <w:tcPr>
            <w:tcW w:w="2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1,269,875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(93 )</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(2,732 )</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(2,732 )</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(2,732 )</w:t>
            </w:r>
          </w:p>
        </w:tc>
        <w:tc>
          <w:tcPr>
            <w:tcW w:w="0" w:type="dxa"/>
            <w:vAlign w:val="bottom"/>
          </w:tcPr>
          <w:p>
            <w:pPr>
              <w:spacing w:after="0"/>
              <w:rPr>
                <w:sz w:val="1"/>
                <w:szCs w:val="1"/>
                <w:color w:val="auto"/>
              </w:rPr>
            </w:pPr>
          </w:p>
        </w:tc>
      </w:tr>
      <w:tr>
        <w:trPr>
          <w:trHeight w:val="20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(953 )</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(25,060 )</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(25,060 )</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(25,060 )</w:t>
            </w: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22,108</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(167,825 )</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(7,414 )</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(175,239 )</w:t>
            </w:r>
          </w:p>
        </w:tc>
        <w:tc>
          <w:tcPr>
            <w:tcW w:w="0" w:type="dxa"/>
            <w:vAlign w:val="bottom"/>
          </w:tcPr>
          <w:p>
            <w:pPr>
              <w:spacing w:after="0"/>
              <w:rPr>
                <w:sz w:val="1"/>
                <w:szCs w:val="1"/>
                <w:color w:val="auto"/>
              </w:rPr>
            </w:pPr>
          </w:p>
        </w:tc>
      </w:tr>
      <w:tr>
        <w:trPr>
          <w:trHeight w:val="180"/>
        </w:trPr>
        <w:tc>
          <w:tcPr>
            <w:tcW w:w="3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1,136,10</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$ 633,175</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(2,815 )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(125 )</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(2,899 )</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(2,899 )</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(2,899 )</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combination (1)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(1,573 )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(1,573 )</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(142 )</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(1,715 )</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(42,708 )</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(42,708 )</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(1,112 )</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(43,820 )</w:t>
            </w:r>
          </w:p>
        </w:tc>
        <w:tc>
          <w:tcPr>
            <w:tcW w:w="0" w:type="dxa"/>
            <w:vAlign w:val="bottom"/>
          </w:tcPr>
          <w:p>
            <w:pPr>
              <w:spacing w:after="0"/>
              <w:rPr>
                <w:sz w:val="1"/>
                <w:szCs w:val="1"/>
                <w:color w:val="auto"/>
              </w:rPr>
            </w:pPr>
          </w:p>
        </w:tc>
      </w:tr>
      <w:tr>
        <w:trPr>
          <w:trHeight w:val="180"/>
        </w:trPr>
        <w:tc>
          <w:tcPr>
            <w:tcW w:w="32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1,133,22</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(368 )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$ 590,467</w:t>
            </w:r>
          </w:p>
        </w:tc>
        <w:tc>
          <w:tcPr>
            <w:tcW w:w="2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(4,069 )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-4885690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-4868545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-4885690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-4868545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-4885690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-4868545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-4885690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-4868545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-4885690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-4868545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-4885690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-4868545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-4885690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-4868545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-4885690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-4868545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-3574415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-3574415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-3574415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-3574415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-3574415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-3574415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-3574415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-3574415</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-1602740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-1585595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-1602740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-1585595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-1602740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-1585595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-1602740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-1585595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-1602740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-1585595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-1602740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-1585595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-1602740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-1585595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-1602740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-290830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-290830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-290830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-290830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-290830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-290830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-290830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ind w:right="20" w:firstLine="35"/>
        <w:spacing w:after="0" w:line="241" w:lineRule="auto"/>
        <w:tabs>
          <w:tab w:leader="none" w:pos="23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371,000 shares of the Company’s common stock were not issued and heldback by the Company as partial security for the indemnification obligations in connection with the business combination of Fulgent Pharma Holdings, Inc., or Fulgent Pharma, in 2022. 186,000 shares were issued in November 2023, and the remainder were issued in May 2024 by the Company upon expiration of hold back provisions.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FULGENT GENETICS,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(in thousands)</w:t>
      </w: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line="164"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6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Net (loss) income from consolidated operations</w:t>
            </w:r>
          </w:p>
        </w:tc>
        <w:tc>
          <w:tcPr>
            <w:tcW w:w="32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(43,820 )</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(175,239 )</w:t>
            </w:r>
          </w:p>
        </w:tc>
        <w:tc>
          <w:tcPr>
            <w:tcW w:w="30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141,923</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Goodwill impairment loss</w:t>
            </w:r>
          </w:p>
        </w:tc>
        <w:tc>
          <w:tcPr>
            <w:tcW w:w="320" w:type="dxa"/>
            <w:vAlign w:val="bottom"/>
          </w:tcPr>
          <w:p>
            <w:pPr>
              <w:spacing w:after="0"/>
              <w:rPr>
                <w:sz w:val="14"/>
                <w:szCs w:val="14"/>
                <w:color w:val="auto"/>
              </w:rPr>
            </w:pPr>
          </w:p>
        </w:tc>
        <w:tc>
          <w:tcPr>
            <w:tcW w:w="130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120,234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44,481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42,922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32,640</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24,928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26,143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32,662</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(Adjustment) provision for credit losses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(1,730 )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(880 )</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32,596</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3,760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6,412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4,913</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on disposal of fixed asset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(discount) premium of marketable securities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(5,550 )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(3,911 )</w:t>
            </w: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4,767</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(3,736 )</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11,466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(8,280 )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Unrecognized tax benefits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(1,414 )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(3,858 )</w:t>
            </w: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9,111</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realized loss on marketable securities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589</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692</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Impairment of available-for-sale debt securities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10,073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(7 )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(16,303 )</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2,388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68,638</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Income tax</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9,253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2,759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(14,544 )</w:t>
            </w: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Other current and long-term assets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(3,331 )</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9,380</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3,066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(6,896 )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(25,339 )</w:t>
            </w: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(639 )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(325 )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(11,497 )</w:t>
            </w: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4,917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11,815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(8,887 )</w:t>
            </w: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liabilities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(3,961 )</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2,718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(10,915 )</w:t>
            </w: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(3,771 )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(6,287 )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(4,831 )</w:t>
            </w:r>
          </w:p>
        </w:tc>
      </w:tr>
      <w:tr>
        <w:trPr>
          <w:trHeight w:val="156"/>
        </w:trPr>
        <w:tc>
          <w:tcPr>
            <w:tcW w:w="6640" w:type="dxa"/>
            <w:vAlign w:val="bottom"/>
            <w:tcBorders>
              <w:bottom w:val="single" w:sz="8" w:color="CFF0FC"/>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21,060</w:t>
            </w:r>
          </w:p>
        </w:tc>
        <w:tc>
          <w:tcPr>
            <w:tcW w:w="2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27,003</w:t>
            </w:r>
          </w:p>
        </w:tc>
        <w:tc>
          <w:tcPr>
            <w:tcW w:w="2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253,520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66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 of marketable securities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(472,415 )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(491,914 )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(417,982 )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Purchases of fixed assets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(40,315 )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(22,207 )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(18,775 )</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 of preferred stock of privately held company</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(15,000 )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Contingent consideration payout related to a business acquisition</w:t>
            </w:r>
          </w:p>
        </w:tc>
        <w:tc>
          <w:tcPr>
            <w:tcW w:w="320" w:type="dxa"/>
            <w:vAlign w:val="bottom"/>
          </w:tcPr>
          <w:p>
            <w:pPr>
              <w:spacing w:after="0"/>
              <w:rPr>
                <w:sz w:val="14"/>
                <w:szCs w:val="14"/>
                <w:color w:val="auto"/>
              </w:rPr>
            </w:pPr>
          </w:p>
        </w:tc>
        <w:tc>
          <w:tcPr>
            <w:tcW w:w="130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(10,000 )</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349,795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508,558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232,534</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sale of marketable securities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104,270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44,085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140,176</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sale of fixed assets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775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412</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Acquisition of businesses, net of cash acquired</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(399 )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(172,679 )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(58,352 )</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38,898</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(261,314 )</w:t>
            </w:r>
          </w:p>
        </w:tc>
      </w:tr>
      <w:tr>
        <w:trPr>
          <w:trHeight w:val="155"/>
        </w:trPr>
        <w:tc>
          <w:tcPr>
            <w:tcW w:w="66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Common stock withholding for employee tax obligations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(2,899 )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(2,732 )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(1,768 )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(1,230 )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(4,266 )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(367 )</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Principal paid for finance lease</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(544 )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(730 )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(700 )</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(225 )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(25,060 )</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(74,337 )</w:t>
            </w: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 of investment margin loan</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(15,000 )</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4"/>
                <w:szCs w:val="14"/>
                <w:color w:val="auto"/>
              </w:rPr>
            </w:pPr>
          </w:p>
        </w:tc>
      </w:tr>
      <w:tr>
        <w:trPr>
          <w:trHeight w:val="156"/>
        </w:trPr>
        <w:tc>
          <w:tcPr>
            <w:tcW w:w="664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(4,847 )</w:t>
            </w: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(47,785 )</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(77,141 )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6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20" w:type="dxa"/>
            <w:vAlign w:val="bottom"/>
          </w:tcPr>
          <w:p>
            <w:pPr>
              <w:spacing w:after="0"/>
              <w:rPr>
                <w:sz w:val="13"/>
                <w:szCs w:val="13"/>
                <w:color w:val="auto"/>
              </w:rPr>
            </w:pPr>
          </w:p>
        </w:tc>
        <w:tc>
          <w:tcPr>
            <w:tcW w:w="1300" w:type="dxa"/>
            <w:vAlign w:val="bottom"/>
            <w:gridSpan w:val="2"/>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(55 )</w:t>
            </w:r>
          </w:p>
        </w:tc>
        <w:tc>
          <w:tcPr>
            <w:tcW w:w="300" w:type="dxa"/>
            <w:vAlign w:val="bottom"/>
          </w:tcPr>
          <w:p>
            <w:pPr>
              <w:spacing w:after="0"/>
              <w:rPr>
                <w:sz w:val="13"/>
                <w:szCs w:val="13"/>
                <w:color w:val="auto"/>
              </w:rPr>
            </w:pPr>
          </w:p>
        </w:tc>
        <w:tc>
          <w:tcPr>
            <w:tcW w:w="12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(149 )</w:t>
            </w:r>
          </w:p>
        </w:tc>
        <w:tc>
          <w:tcPr>
            <w:tcW w:w="300" w:type="dxa"/>
            <w:vAlign w:val="bottom"/>
          </w:tcPr>
          <w:p>
            <w:pPr>
              <w:spacing w:after="0"/>
              <w:rPr>
                <w:sz w:val="13"/>
                <w:szCs w:val="13"/>
                <w:color w:val="auto"/>
              </w:rPr>
            </w:pPr>
          </w:p>
        </w:tc>
        <w:tc>
          <w:tcPr>
            <w:tcW w:w="11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(453 )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(decrease) increase in cash, cash equivalents, and restricted cash</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(42,194 )</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17,967</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(85,388 )</w:t>
            </w:r>
          </w:p>
        </w:tc>
      </w:tr>
      <w:tr>
        <w:trPr>
          <w:trHeight w:val="162"/>
        </w:trPr>
        <w:tc>
          <w:tcPr>
            <w:tcW w:w="66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97,473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79,506</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164,894</w:t>
            </w:r>
          </w:p>
        </w:tc>
        <w:tc>
          <w:tcPr>
            <w:tcW w:w="100" w:type="dxa"/>
            <w:vAlign w:val="bottom"/>
          </w:tcPr>
          <w:p>
            <w:pPr>
              <w:spacing w:after="0"/>
              <w:rPr>
                <w:sz w:val="14"/>
                <w:szCs w:val="14"/>
                <w:color w:val="auto"/>
              </w:rPr>
            </w:pPr>
          </w:p>
        </w:tc>
      </w:tr>
      <w:tr>
        <w:trPr>
          <w:trHeight w:val="195"/>
        </w:trPr>
        <w:tc>
          <w:tcPr>
            <w:tcW w:w="66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320" w:type="dxa"/>
            <w:vAlign w:val="bottom"/>
            <w:tcBorders>
              <w:bottom w:val="single" w:sz="8" w:color="auto"/>
            </w:tcBorders>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55,279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97,473</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79,506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640" w:type="dxa"/>
            <w:vAlign w:val="bottom"/>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55,144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97,473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79,506</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95"/>
        </w:trPr>
        <w:tc>
          <w:tcPr>
            <w:tcW w:w="6640" w:type="dxa"/>
            <w:vAlign w:val="bottom"/>
            <w:tcBorders>
              <w:bottom w:val="single" w:sz="8" w:color="CFF0FC"/>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320" w:type="dxa"/>
            <w:vAlign w:val="bottom"/>
            <w:tcBorders>
              <w:top w:val="single" w:sz="8" w:color="auto"/>
              <w:bottom w:val="single" w:sz="8" w:color="auto"/>
            </w:tcBorders>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55,279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97,473</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79,506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64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Income taxes paid</w:t>
            </w:r>
          </w:p>
        </w:tc>
        <w:tc>
          <w:tcPr>
            <w:tcW w:w="320" w:type="dxa"/>
            <w:vAlign w:val="bottom"/>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27,588</w:t>
            </w:r>
          </w:p>
        </w:tc>
        <w:tc>
          <w:tcPr>
            <w:tcW w:w="260" w:type="dxa"/>
            <w:vAlign w:val="bottom"/>
          </w:tcPr>
          <w:p>
            <w:pPr>
              <w:spacing w:after="0"/>
              <w:rPr>
                <w:sz w:val="12"/>
                <w:szCs w:val="12"/>
                <w:color w:val="auto"/>
              </w:rPr>
            </w:pPr>
          </w:p>
        </w:tc>
        <w:tc>
          <w:tcPr>
            <w:tcW w:w="300" w:type="dxa"/>
            <w:vAlign w:val="bottom"/>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3,261</w:t>
            </w:r>
          </w:p>
        </w:tc>
        <w:tc>
          <w:tcPr>
            <w:tcW w:w="220" w:type="dxa"/>
            <w:vAlign w:val="bottom"/>
          </w:tcPr>
          <w:p>
            <w:pPr>
              <w:spacing w:after="0"/>
              <w:rPr>
                <w:sz w:val="12"/>
                <w:szCs w:val="12"/>
                <w:color w:val="auto"/>
              </w:rPr>
            </w:pPr>
          </w:p>
        </w:tc>
        <w:tc>
          <w:tcPr>
            <w:tcW w:w="30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56,193</w:t>
            </w:r>
          </w:p>
        </w:tc>
        <w:tc>
          <w:tcPr>
            <w:tcW w:w="100" w:type="dxa"/>
            <w:vAlign w:val="bottom"/>
          </w:tcPr>
          <w:p>
            <w:pPr>
              <w:spacing w:after="0"/>
              <w:rPr>
                <w:sz w:val="12"/>
                <w:szCs w:val="12"/>
                <w:color w:val="auto"/>
              </w:rPr>
            </w:pPr>
          </w:p>
        </w:tc>
      </w:tr>
      <w:tr>
        <w:trPr>
          <w:trHeight w:val="162"/>
        </w:trPr>
        <w:tc>
          <w:tcPr>
            <w:tcW w:w="66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32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activities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Stock consideration in a business combination</w:t>
            </w:r>
          </w:p>
        </w:tc>
        <w:tc>
          <w:tcPr>
            <w:tcW w:w="32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28,111</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 in ither current assets</w:t>
            </w:r>
          </w:p>
        </w:tc>
        <w:tc>
          <w:tcPr>
            <w:tcW w:w="32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19,120</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Purchases of fixed assets in notes payable</w:t>
            </w:r>
          </w:p>
        </w:tc>
        <w:tc>
          <w:tcPr>
            <w:tcW w:w="32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3,833</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Purchases of fixed assets in accounts payable</w:t>
            </w:r>
          </w:p>
        </w:tc>
        <w:tc>
          <w:tcPr>
            <w:tcW w:w="32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1,806</w:t>
            </w:r>
          </w:p>
        </w:tc>
        <w:tc>
          <w:tcPr>
            <w:tcW w:w="260" w:type="dxa"/>
            <w:vAlign w:val="bottom"/>
          </w:tcPr>
          <w:p>
            <w:pPr>
              <w:spacing w:after="0"/>
              <w:rPr>
                <w:sz w:val="14"/>
                <w:szCs w:val="14"/>
                <w:color w:val="auto"/>
              </w:rPr>
            </w:pP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1,799</w:t>
            </w:r>
          </w:p>
        </w:tc>
        <w:tc>
          <w:tcPr>
            <w:tcW w:w="220" w:type="dxa"/>
            <w:vAlign w:val="bottom"/>
          </w:tcPr>
          <w:p>
            <w:pPr>
              <w:spacing w:after="0"/>
              <w:rPr>
                <w:sz w:val="14"/>
                <w:szCs w:val="14"/>
                <w:color w:val="auto"/>
              </w:rPr>
            </w:pPr>
          </w:p>
        </w:tc>
        <w:tc>
          <w:tcPr>
            <w:tcW w:w="30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2,989</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Finance lease right-of-use assets obtained in exchange for lease liabilities</w:t>
            </w:r>
          </w:p>
        </w:tc>
        <w:tc>
          <w:tcPr>
            <w:tcW w:w="32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573</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obtained in exchange for lease liabilities</w:t>
            </w:r>
          </w:p>
        </w:tc>
        <w:tc>
          <w:tcPr>
            <w:tcW w:w="32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1,158</w:t>
            </w:r>
          </w:p>
        </w:tc>
        <w:tc>
          <w:tcPr>
            <w:tcW w:w="260" w:type="dxa"/>
            <w:vAlign w:val="bottom"/>
          </w:tcPr>
          <w:p>
            <w:pPr>
              <w:spacing w:after="0"/>
              <w:rPr>
                <w:sz w:val="14"/>
                <w:szCs w:val="14"/>
                <w:color w:val="auto"/>
              </w:rPr>
            </w:pP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2,661</w:t>
            </w:r>
          </w:p>
        </w:tc>
        <w:tc>
          <w:tcPr>
            <w:tcW w:w="220" w:type="dxa"/>
            <w:vAlign w:val="bottom"/>
          </w:tcPr>
          <w:p>
            <w:pPr>
              <w:spacing w:after="0"/>
              <w:rPr>
                <w:sz w:val="14"/>
                <w:szCs w:val="14"/>
                <w:color w:val="auto"/>
              </w:rPr>
            </w:pPr>
          </w:p>
        </w:tc>
        <w:tc>
          <w:tcPr>
            <w:tcW w:w="30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4"/>
                <w:szCs w:val="14"/>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Operating lease right-of-use assets reduced due to lease modification and termination</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shd w:val="clear" w:color="auto" w:fill="CFF0FC"/>
          </w:tcPr>
          <w:p>
            <w:pPr>
              <w:spacing w:after="0"/>
              <w:rPr>
                <w:sz w:val="16"/>
                <w:szCs w:val="16"/>
                <w:color w:val="auto"/>
              </w:rPr>
            </w:pPr>
          </w:p>
        </w:tc>
      </w:tr>
      <w:tr>
        <w:trPr>
          <w:trHeight w:val="145"/>
        </w:trPr>
        <w:tc>
          <w:tcPr>
            <w:tcW w:w="6640" w:type="dxa"/>
            <w:vAlign w:val="bottom"/>
          </w:tcPr>
          <w:p>
            <w:pPr>
              <w:ind w:left="160"/>
              <w:spacing w:after="0" w:line="145" w:lineRule="exact"/>
              <w:rPr>
                <w:sz w:val="20"/>
                <w:szCs w:val="20"/>
                <w:color w:val="auto"/>
              </w:rPr>
            </w:pPr>
            <w:r>
              <w:rPr>
                <w:rFonts w:ascii="Times New Roman" w:cs="Times New Roman" w:eastAsia="Times New Roman" w:hAnsi="Times New Roman"/>
                <w:sz w:val="15"/>
                <w:szCs w:val="15"/>
                <w:color w:val="auto"/>
              </w:rPr>
              <w:t>Operating lease liabilities removed due to purchasing underlying assets</w:t>
            </w:r>
          </w:p>
        </w:tc>
        <w:tc>
          <w:tcPr>
            <w:tcW w:w="320" w:type="dxa"/>
            <w:vAlign w:val="bottom"/>
          </w:tcPr>
          <w:p>
            <w:pPr>
              <w:jc w:val="right"/>
              <w:ind w:right="144"/>
              <w:spacing w:after="0" w:line="145"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2,799</w:t>
            </w:r>
          </w:p>
        </w:tc>
        <w:tc>
          <w:tcPr>
            <w:tcW w:w="260" w:type="dxa"/>
            <w:vAlign w:val="bottom"/>
          </w:tcPr>
          <w:p>
            <w:pPr>
              <w:spacing w:after="0"/>
              <w:rPr>
                <w:sz w:val="12"/>
                <w:szCs w:val="12"/>
                <w:color w:val="auto"/>
              </w:rPr>
            </w:pPr>
          </w:p>
        </w:tc>
        <w:tc>
          <w:tcPr>
            <w:tcW w:w="300" w:type="dxa"/>
            <w:vAlign w:val="bottom"/>
          </w:tcPr>
          <w:p>
            <w:pPr>
              <w:jc w:val="right"/>
              <w:ind w:right="144"/>
              <w:spacing w:after="0" w:line="145"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line="145"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color w:val="auto"/>
              </w:rPr>
              <w:t>—</w:t>
            </w:r>
          </w:p>
        </w:tc>
      </w:tr>
      <w:tr>
        <w:trPr>
          <w:trHeight w:val="173"/>
        </w:trPr>
        <w:tc>
          <w:tcPr>
            <w:tcW w:w="6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Finance lease right-of-use assets reduced due to lease modification and termination</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22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-4041140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-4041140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-4041140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-2995295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-2995295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-2995295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-2155190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-2155190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-2155190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-1718310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-1701165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-1718310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-1701165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-1718310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-1701165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-1272540</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-1255395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-1272540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-1255395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-1272540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-1255395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includes technical laboratory and testing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include cash held in banks and money market accounts. Cash equivalents are stated at fair 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Restricted cash consists of legally restricted deposits held in conjunction with a lease contract the Company entered into with a third-party landlord. A bank guarantee equivalent to six months of gross rent plus tax with an expiry date three months post the lease expiry is required under the lease contract, and the lease contract will expire in March 2034. Restricted deposit is recorded in other long-term assets in the Company’s Consolidated Balance Sheets as the balance is not expected to be released to cash within the next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12 months. As of December 31, 2024, the Company had restricted cash of $0.1 million. The Company did not have restricted cash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All marketable debt securities, which consist of U.S. government and agency debt securities, U.S. treasury bills, corporate debt securities, municipal bonds,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income, in the accompanying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income. In accordance with the Company’s investment policy, management invests to diversify credit risk and only invests in securities with high credit quality, including U.S. government securities.</w:t>
      </w:r>
    </w:p>
    <w:p>
      <w:pPr>
        <w:spacing w:after="0" w:line="19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equity securities are measured at fair value with the related gains and losses, realized and unrealized, recognized in interest income, in the accompanying Consolidated Statements of Operations. The cost of any marketable equity securities sold is based on the specific-identification method.</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 allowance for credit losses is recorded for the credit loss, limited by the amount of unrealized loss. Changes in the allowance are recorded in the period of changes as credit loss expense.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other income, net.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is as follows: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2560"/>
        <w:spacing w:after="0" w:line="275" w:lineRule="auto"/>
        <w:rPr>
          <w:sz w:val="20"/>
          <w:szCs w:val="20"/>
          <w:color w:val="auto"/>
        </w:rPr>
      </w:pPr>
      <w:r>
        <w:rPr>
          <w:rFonts w:ascii="Times New Roman" w:cs="Times New Roman" w:eastAsia="Times New Roman" w:hAnsi="Times New Roman"/>
          <w:sz w:val="18"/>
          <w:szCs w:val="18"/>
          <w:color w:val="auto"/>
        </w:rPr>
        <w:t>Allowance for credit losses at beginning of year Current period (gain) provision Write-downs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amounts previously charged off</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year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191"/>
        </w:trPr>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3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(1,730 )</w:t>
            </w: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(11,155 )</w:t>
            </w: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(15,099 )</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(2,608 )</w:t>
            </w:r>
          </w:p>
        </w:tc>
      </w:tr>
      <w:tr>
        <w:trPr>
          <w:trHeight w:val="234"/>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60" w:type="dxa"/>
            <w:vAlign w:val="bottom"/>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-719455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-445135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-161925</wp:posOffset>
            </wp:positionV>
            <wp:extent cx="713232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09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Investment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$20.4 million as of December 31, 2023, represents the fair value of the 7.3 million shares of preferred stock of a privately-held, Cayman Islands company, Laboratory for Advanced Medicine, Inc., or LAMH, doing business as “Helio Health” that the Company purchased in July 2021. Helio Health is an AI-biotechnology company developing blood-based early cancer detection tests, and the Company expected to gain access to an emerging liquid biopsy testing technology, through this strategic partnership. As the preferred stock had the option to be redeemed, the investment was initially recorded as available-for-sale debt securities with changes in fair value recorded in other comprehensive income (loss).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June 19, 2024, the Board of Directors of LAMH approved to spin out certain U.S.-based laboratory and development operations into a separate, privately-held Delaware corporation, Helio Genomics, Inc., or Helio Genomics. The Company received 7.3 million shares of preferred stock of Helio Genomics in connection with this spin-out.</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Post spin-out, Helio Genomics amended and restated its certificate of incorporation on July 25, 2024, which resulted in a change in stockholder’s rights where the Company no longer holds the right to redeem its preferred stock of Helio Genomics. As a result, the Company reclassified $0.4 million unrealized gain out of accumulated other comprehensive income (loss) to net income (loss) in the consolidated financial statements. The Company elected to record its preferred stock investment in Helio Genomics under the measurement alternative in accordance with ASC 321, defined as cost less impairment, adjusted for subsequent observable price changes and are periodically assessed for impairment when events or circumstances indicate that a decline in value may have occurred. As of July 25, 2024, the preferred stock investment carrying value of $9.9 million was recorded as other long-term assets in the Consolidated Balance Sheets. No impairment loss was recorded as of December 31, 2024.</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Post spin-out, the Company retained the original right to redeem its LAMH preferred stock. As the preferred stock had the option to be redeemed, the investment was recorded as available-for-sale debt securities with changes in fair value recorded in other comprehensive income (loss). The Company considered a number of factors including, but not limited to: (i) the extent to which the fair value of the investment is less than its amortized cost; (ii) the financial condition and near-term prospects of the investee, and (iii) general market conditions. As a result, the Company recognized a $10.1 million credit loss during the year ended December 31, 2024, recorded as impairment of available-for-sale debt securities in the Consolidated Statements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roll-forward for the allowance for credit losses related to the available-for-sale debt securities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141605</wp:posOffset>
            </wp:positionV>
            <wp:extent cx="285877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2858770" cy="16256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(10,073 )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30"/>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Fixed assets are recorded at cost, net of accumulated depreciation and amortization. Depreciation is recorded using the straight-line method over the estimated useful lives of the assets. Leasehold improvements are capitalized and amortized over the shorter of their expected lives or the applicable lease term, including renewal options, if available. Major replacements and improvements are capitalized, while general repairs and maintenance are expensed as incurred. See Note 5, </w:t>
      </w:r>
      <w:r>
        <w:rPr>
          <w:rFonts w:ascii="Times New Roman" w:cs="Times New Roman" w:eastAsia="Times New Roman" w:hAnsi="Times New Roman"/>
          <w:sz w:val="18"/>
          <w:szCs w:val="18"/>
          <w:i w:val="1"/>
          <w:iCs w:val="1"/>
          <w:color w:val="auto"/>
        </w:rPr>
        <w:t>Fixed Assets</w:t>
      </w:r>
      <w:r>
        <w:rPr>
          <w:rFonts w:ascii="Times New Roman" w:cs="Times New Roman" w:eastAsia="Times New Roman" w:hAnsi="Times New Roman"/>
          <w:sz w:val="18"/>
          <w:szCs w:val="18"/>
          <w:color w:val="auto"/>
        </w:rPr>
        <w:t>, for useful lives for each major class of fixed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three to 14 years.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w:t>
      </w:r>
    </w:p>
    <w:p>
      <w:pPr>
        <w:spacing w:after="0" w:line="180"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or WACC. Under the income-based approach, it requires management’s assumptions and judgments regarding economic conditions in the markets in which the company operates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187"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performed an annual goodwill and intangible asset impairment test on December 31, 2024, and elected to bypass the optional qualitative test and perform the quantitative assessments for its therapeutic development reporting units, which includes an indefinite-lived intangible asset.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Reagents and Supplies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reagents and other consumables primarily used in testing which are valued at the lower of cost or net realizable value. Cost is determined using actual costs on a first-in, first-out basis. The reagents and other consumables were included in other current assets in the accompanying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redeemable preferred stock investment, preferred stock investments,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the redeemable preferred stock investment, and the preferred stock investments is disclosed in Note 4,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s, to the accompanying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December 31, 2024,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segment, aggregating customers under common control, one customer comprised of $62.6 million or 22% of total revenue in the year ended December 31, 2024, and the same customer comprised of $35.7 million or 12% of total revenue in the year ended December 31, 2023. A different customer comprised of $115.6 million or 19% of total revenue in the year ended December 31, 2022. One customer comprised 15% of total accounts receivable, net, as of December 31, 2024, and the same customer comprised 13% of total accounts receivable, net, as of December 31, 2023. For the therapeutic development segment, the Company doesn't have customers or revenue as it does not have any commercialized or approved drug candidates.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Company’s therapeutic development business relies on ANP Technologies, Inc. for certain laboratory services, equipment, tools, and drug intermediates in connection with research and development efforts.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it is unable to procure items needed for its therapeutic development activities. The Company believes there are currently only a few other manufacturers that are capable of supplying and servicing some of the equipment and other materials necessary for its laboratory operations, including sequencers and various associated reagents.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Consolidated Balance Sheets.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when its leases do not provide an implicit or explicit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Consolidated Statements of Operations.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leased out space in buildings it owns to third-party tenants under noncancelable operating leases. The Company recognized lease payments as income over the lease terms on a straight-line basis and recognized variable lease payments as income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5" w:name="page116"/>
    <w:bookmarkEnd w:id="115"/>
    <w:p>
      <w:pPr>
        <w:ind w:right="100"/>
        <w:spacing w:after="0" w:line="282" w:lineRule="auto"/>
        <w:rPr>
          <w:sz w:val="20"/>
          <w:szCs w:val="20"/>
          <w:color w:val="auto"/>
        </w:rPr>
      </w:pPr>
      <w:r>
        <w:rPr>
          <w:rFonts w:ascii="Times New Roman" w:cs="Times New Roman" w:eastAsia="Times New Roman" w:hAnsi="Times New Roman"/>
          <w:sz w:val="18"/>
          <w:szCs w:val="18"/>
          <w:color w:val="auto"/>
        </w:rPr>
        <w:t>the period in which the changes in facts and circumstances on which the variable lease payments were based occurred. The net rental income was included in the other income, net, in the accompanying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for Internal Use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one to 10 years. Internally developed software costs are capitalized after management has committed to funding the project, it is probable that the project will be completed and the software will be used for its intended function. Costs that do not meet that criteria and costs incurred on projects in the preliminary and post-implementation phases are expensed as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reports its business in two segments, a laboratory services business and a therapeutic development business. For further financial information about these segments, including information for each of the last three fiscal years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sales of its testing services. The Company currently receives payments from primarily three different customer types: insurance payors, institutional customers, including hospitals, medical institutions, other laboratories, governmental bodies, municipalities, and large corporations, and patients who pay directly.</w:t>
      </w:r>
    </w:p>
    <w:p>
      <w:pPr>
        <w:spacing w:after="0" w:line="17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goods or services to its customers. To determine revenue recognition for contracts with customers, the Company performs the following steps described in ASC 606: (1) 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test results are primarily delivered electronically. The Company bills certain customers for shipping and handling fees incurred by the Company, and shipping and handling fees billed to customers are included in revenue, and such shipping and handling fees incurred are included in cost of revenue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Institutional and Patient Direct Pay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institutional contracts for its testing services typically have a single performance obligation to deliver testing services to the ordering facility or patient. In arrangements with institutions, including hospitals, medical institutions, other laboratories, governmental bodies, municipalities, and large corporations, and patients who pay directly, the transaction price is stated within the contract and is therefore fixed consideration. For most of the Company’s testing, the Company identified the institutions, including hospitals, medical institutions, other laboratories, governmental bodies, municipalities, and large corporations, and patients as the customer in Step 1 and have determined a contract exists with those customers in Step 1. As these contracts typically have a single performance obligation, no allocation of the transaction price is required in Step 4. Control over testing services is transferred to the Company’s ordering facility at a point in time. Specifically, the Company determined the customer obtains control of the promised service upon delivery of test results.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with research institutions to perform testing and research services. Revenue is recognized as each individual test is completed, as the Company has a right to payment upon completion of each test. While the contract represents a single performance obligation to provide testing and research services, the revenue is recognized as the individual tests are completed and the results are delivered to the customer. Each completed test is considered a measurable event that indicates the transfer of control to the customer, at which point revenue is recognized. The Company regularly reviews its contracts and recognizes revenue in accordance with the completion of each test, based on the right to payment and the transfer of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insurance contracts for testing services typically have a single performance obligation to deliver testing services to the ordering facility or patient. For most of the Company’s insurance revenue, the Company identified the patient as the customer in Step 1 and determined a contract exists with the patient in Step 1. In arrangements with insurance patients, the transaction price is typically stated within the contract, however, the Company may accept payments from insurance payors that are less than the contractually stated price, therefore estimation of the transaction price is considered variable consideration. In developing the estimate of variable consideration, the Company utilizes the expected value method under a portfolio approach. As these contracts typically have a single performance obligation, no allocation of the transaction price is required in Step 4. Control over testing services is transferred to the Company’s ordering parties at a point in time. Specifically, the Company determined the customer obtains control of the promised service upon delivery of the test results.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Certain incremental costs pertaining to both insurance and institutional, such as commissions, are incurred in obtaining contracts. Contract costs are capitalized if the Company expects to recover them, and amortization of contract costs is classified in the general and administrative expense in the Consolidated Statements of Operations. Historically contract costs have not been significant to the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 and Contract Estimates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Accounting for insurance contracts includes estimation of the transaction price, defined as the amount the Company expects to be entitled to receive in exchange for providing the services under the contract. Due to the Company’s out-of-network status with various insurance payors, estimation of the transaction price represents variable consideration.</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absence of Medicare coverage, contractually established reimbursement rates or other coverage, we have concluded that our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measured at the expected value using the “most likely amount” method under ASC 606. The amounts are determined by the historical average collection rates by test type taking into consideration the range of possible outcomes, the predictive value of our past experiences, the time period of when uncertainties expect to be resolved and the amount of consideration that is susceptible to factors outside of our influence, such as the judgment and actions of insurance payors. Such 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from the transaction price in situations where there is no contractually agreed upon reimbursement coverage or in the absence of a predictable pattern and history of collectability with a payor.</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re-assesses its estimated transaction price at the end of each reporting period, including an assessment of whether the estimate variable consideration is constrained to the extent that is probable that a significant reversal of cumulative revenue will not occur once any uncertainty is resolved. The Company records any necessary adjustments in the current period’s revenue. $1.8 million and $23.0 million variable consideration was recognized as additional revenue in the years ended December 31, 2024 and 2023, respectively, that related to collections for COVID-19 tests completed in the prior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Deposit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Customer deposit in the accompanying Consolidated Balance Sheets consists of payments received from customers in excess of their outstanding trade accounts receivable balances. These deposits will be offset against future testing receivables or refunded to the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Overhead Expenses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allocates overhead expenses, such as facility, rent, and utilities, to cost of revenue and operating expense categories based on square footage. As a result, an overhead expense allocation is reflected in cost of revenue and each operating expense category.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leasehold and building improvements and allocated overhead. Costs associated with performing tests are recorded as tests are processed.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the Company’s technology and future tests.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Restructuring costs represent one-time employee termination benefits provided to employees associated with an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No additional costs are expected to be incurred under the plan of termination post 2022, and the full amount was paid off by August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releases income tax effects from other comprehensive income (loss) under the portfolio method. In 2024, the Company reclassified certain investments out of the available-for-sale debt security category. This reclassification resulted in the removal of unrealized gains or losses previously recorded in other comprehensive income (loss). The tax effects of these adjustments have been recognized, as a benefit of $2.1 million, in net loss to avoid stranded tax effects in other comprehensive income (loss).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grants various types of equity-based awards to its employees, consultants, and non-employee directors. Equity-based compensation costs are reflected in the accompanying Consolidated Statements of Operations based upon each award recipient’s role with the Company. The Company primarily grants to its employees restricted stock unit awards, or RSU awards, that generally vest over a specified period of time upon the satisfaction of service-based conditions or performance conditions. Compensation expense for employee RSU awards with a service-based vesting condition is recognized ratably over the vesting period of the award. Compensation expense for employee RSU awards with a performance condition is based on the probable outcome of that performance condition. The Company measures compensation expense for equity-based awards granted to employees based on the fair value of the award on the grant date of the award.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gain (loss) included in the accompanying Consolidated Statements of Comprehensive Income (Loss). The Company and its subsidiaries that use the U.S. dollar as their functional currency remeasure monetary assets and liabilities at exchange rates in effect at the end of each period, and inventories, property and nonmonetary assets and liabilities at historical rates. Gains and losses from these measurements are included in other income, net, in the accompanying Consolidated Statements of Operations. Losses from foreign currency exchange were not significant in 2024, 2023, and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Comprehensive (loss) income is comprised of net (loss) income and other comprehensive (loss) income. Other comprehensive (loss) income consists of net unrealized gain or loss on available-for-sale debt securities, net of tax, and foreign currency translation adjustments from its subsidiaries not using the U.S. dollar as their functional currency. Reclassification from other comprehensive (loss) income to net loss, which includes reclassification of stranded tax effects, was $3.6 million in 2024. Reclassifications from other comprehensive income (loss) to net earnings were not significant in 2023 or 2022. The tax effects related to net unrealized gain or loss on available-for-sale debt securities were zero in 2024 and 2023, due to the valuation allowance in the current period that precludes the Company from recognizing the deferred tax benefit, and $7.2 million in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or Loss per Share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income or loss attributable to common stockholders by the weighted-average number of common shares and dilutive common share equivalents outstanding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municipalities, and large corporations, (ii) Insurance, including claim reimbursement from HRSA for uninsured individuals,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2024, 2023, and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6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154,733</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134,191</w:t>
            </w: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239,961</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151,946</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377,873</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50"/>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insurance revenue category above includes zero for the years ended December 31, 2024 and 2023, and $83.1 million for the year ended December 31, 2022 for services related to claims covered by the HRSA COVID-19 Uninsured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9" w:name="page120"/>
    <w:bookmarkEnd w:id="119"/>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experienced a change in estimate related to variable consideration. $1.8 million and $23.0 million variable consideration were recognized in the years ended December 31, 2024 and 2023, respectively, related to COVID-19 test services completed in the prior periods due to collection efforts, which was included as revenue from insurance in the table above. The Company estimates variable consideration using the expected value method. Any changes in variable consideration estimates that affect transactions are accounted for on a cumulative catch-up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w:t>
      </w:r>
      <w:r>
        <w:rPr>
          <w:rFonts w:ascii="Times New Roman" w:cs="Times New Roman" w:eastAsia="Times New Roman" w:hAnsi="Times New Roman"/>
          <w:sz w:val="18"/>
          <w:szCs w:val="18"/>
          <w:color w:val="auto"/>
        </w:rPr>
        <w:t>- 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Receivables from Insurance and Institutional customers represented 44% and 56%, respectively, as of December 31, 2024 and 39% and 61%, respectively, as of December 31, 2023.</w:t>
      </w:r>
    </w:p>
    <w:p>
      <w:pPr>
        <w:spacing w:after="0" w:line="17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Consolidated Balance Sheets. Contract liabilities are recorded when the Company receives payment prior to completing its obligation to transfer goods or services to a customer. Contract liabilities are included in the Consolidated Balance Sheets. Revenues of $2.5 million, $2.2 million and $14.4 million for the years ended December 31, 2024, 2023, and 2022, respectively, related to contract liabilities at the beginning of the respective periods were recognized.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ASC 606 issued by the Financial Accounting Standards Board, or FASB, requires that the Company disclose the aggregate amount of transaction price that is allocated to performance obligations that have not yet been satisfied as of December 31, 2024. ASC 606 provides certain practical expedients that limit the requirement to disclose the aggregate amount of transaction price allocated to unsatisfied performance obligations.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applied the practical expedient to not disclose the amount of transaction price allocated to unsatisfied performance obligations when the performance obligation is part of a contract that has an original expected duration of one year or less. The Company does not have material future obligations associated with its testing services that extend beyond one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Certain amounts reported in the prior periods have been reclassified to conform with the current period presentation. In the Consolidated Statements of Cash Flow, the Company has separated prepaid income taxes from its previous inclusion in other current and long-term assets and separated customer deposits, and contract liabilities from its previous inclusion in accrued liabilities and other liabilities. In the Consolidated Statements of Operations, the Company has also separated interest income, and interest expenses from its previous inclusion in other income, 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consolidated financial statements or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Segments</w:t>
      </w:r>
      <w:r>
        <w:rPr>
          <w:rFonts w:ascii="Times New Roman" w:cs="Times New Roman" w:eastAsia="Times New Roman" w:hAnsi="Times New Roman"/>
          <w:sz w:val="18"/>
          <w:szCs w:val="18"/>
          <w:color w:val="auto"/>
        </w:rPr>
        <w:t xml:space="preserve">. This update improves reportable segment disclosure requirements and requires enhanced disclosures related to significant segment expenses regularly provided to the CODM, the amount for other segment items with descriptions of the composition, segment profit or loss, and clarification on if the CODM uses more than one measurement of a segment’s profit or loss in assessing segment performance and deciding how to allocate resources. We adopted the guidance effective January 1, 2024 for annual reporting, and January 1, 2025 for interim reporting. Adoption of the guidance has affected the disclosures related to reportable segments, and have been applied retrospectively to all prior periods presented in the financial statements. For further information, refer to Note 7. </w:t>
      </w:r>
      <w:r>
        <w:rPr>
          <w:rFonts w:ascii="Times New Roman" w:cs="Times New Roman" w:eastAsia="Times New Roman" w:hAnsi="Times New Roman"/>
          <w:sz w:val="18"/>
          <w:szCs w:val="18"/>
          <w:i w:val="1"/>
          <w:iCs w:val="1"/>
          <w:color w:val="auto"/>
        </w:rPr>
        <w:t xml:space="preserve">Reportable Segment and Geographic Information </w:t>
      </w:r>
      <w:r>
        <w:rPr>
          <w:rFonts w:ascii="Times New Roman" w:cs="Times New Roman" w:eastAsia="Times New Roman" w:hAnsi="Times New Roman"/>
          <w:sz w:val="18"/>
          <w:szCs w:val="18"/>
          <w:color w:val="auto"/>
        </w:rPr>
        <w:t>for the presentation of the additional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w:t>
      </w:r>
    </w:p>
    <w:p>
      <w:pPr>
        <w:spacing w:after="0" w:line="117"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This update requires more detailed information on certain income tax disclosures including the income tax rate reconciliation and income taxes paid. Amendments in this update are effective for annual periods beginning December 15, 2024 for public entities, and early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adoption is permitted. This update will result in enhanced income tax disclosures, and the Company does not expect any impact to income tax expense.</w:t>
      </w:r>
    </w:p>
    <w:p>
      <w:pPr>
        <w:spacing w:after="0" w:line="22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the consolidated financial statements and related disclosure.</w:t>
      </w:r>
    </w:p>
    <w:p>
      <w:pPr>
        <w:spacing w:after="0" w:line="18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62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40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0"/>
                <w:szCs w:val="10"/>
                <w:color w:val="auto"/>
              </w:rPr>
            </w:pPr>
          </w:p>
        </w:tc>
        <w:tc>
          <w:tcPr>
            <w:tcW w:w="1320" w:type="dxa"/>
            <w:vAlign w:val="bottom"/>
            <w:gridSpan w:val="2"/>
          </w:tcPr>
          <w:p>
            <w:pPr>
              <w:jc w:val="right"/>
              <w:ind w:right="6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(24,696 )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(2,283 )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(1,507 )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(3,967 )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shd w:val="clear" w:color="auto" w:fill="CFF0FC"/>
          </w:tcPr>
          <w:p>
            <w:pPr>
              <w:spacing w:after="0"/>
              <w:rPr>
                <w:sz w:val="18"/>
                <w:szCs w:val="18"/>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(4,074 )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773,313</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801,337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(4,074 )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798,240</w:t>
            </w:r>
          </w:p>
        </w:tc>
        <w:tc>
          <w:tcPr>
            <w:tcW w:w="100" w:type="dxa"/>
            <w:vAlign w:val="bottom"/>
            <w:shd w:val="clear" w:color="auto" w:fill="CFF0FC"/>
          </w:tcPr>
          <w:p>
            <w:pPr>
              <w:spacing w:after="0"/>
              <w:rPr>
                <w:sz w:val="21"/>
                <w:szCs w:val="21"/>
                <w:color w:val="auto"/>
              </w:rPr>
            </w:pPr>
          </w:p>
        </w:tc>
      </w:tr>
      <w:tr>
        <w:trPr>
          <w:trHeight w:val="628"/>
        </w:trPr>
        <w:tc>
          <w:tcPr>
            <w:tcW w:w="48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F-20</w:t>
            </w: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-3736975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-3736975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-3736975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-2348230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-2348230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-2348230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-1224915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-1224915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-1224915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-933450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-916305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-933450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94"/>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62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140" w:type="dxa"/>
            <w:vAlign w:val="bottom"/>
          </w:tcPr>
          <w:p>
            <w:pPr>
              <w:jc w:val="right"/>
              <w:ind w:right="25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right"/>
              <w:ind w:right="6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privately-held company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(1,765 )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117,982</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(38,291 )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(38,291 )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(3,994 )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247,788</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155,821</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(1,941 )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443,150</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770,690</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789,726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785,690</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-3394075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-3394075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-3394075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-2005330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-2005330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-2005330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-890905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-890905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-890905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-316865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$4.1 million and $5.9 million as of December 31, 2024 and 2023, respectively. Proceeds from sale of available-for-sale securities were $104.3 million, $44.1 million, and $140.2 million in 2024, 2023, and 2022, respectively. Gross realized losses on the Company’s available-for-sale securities were $1.1 million, $0.6 million, and $1.4 million in 2024, 2023, and 2022, respectively, and the gross realized income was insignificant in 2024, 2023, and 2022. The cost of any marketable securities sold is based on the specific-identification method. The Company did not recognize any credit losses for its marketable available-for sale debt securities in 2024, 2023, and 2022.</w:t>
      </w:r>
    </w:p>
    <w:p>
      <w:pPr>
        <w:spacing w:after="0" w:line="185"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the reclassification of available-for-sale securities to equity securities and a credit loss of $10.1 million recorded in 2024 related to Helio Health.</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20" w:right="400" w:hanging="103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580"/>
        <w:spacing w:after="0"/>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47" w:lineRule="exact"/>
        <w:rPr>
          <w:sz w:val="20"/>
          <w:szCs w:val="20"/>
          <w:color w:val="auto"/>
        </w:rPr>
      </w:pPr>
    </w:p>
    <w:p>
      <w:pPr>
        <w:ind w:left="58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2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4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822,937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733,907</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2"/>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4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4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privately-held company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823,981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681,002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-2262505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-2262505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-2262505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December 31, 2024 and 2023, the Company had preferred stock of two privately held companies, which were included in other long-term assets in the accompanying Consolidated Balance Sheets that were measured using unobservable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3" w:name="page124"/>
    <w:bookmarkEnd w:id="123"/>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(Level 3) inputs. For the value of the investments in private equity securities, the Company elected to measure them at cost minus impairment, as the preferred stock of the privately-held companies did not have a readily determinable fair value, and no impairment loss was recorded as of December 31, 2024. As of December 31, 2023, the Company also had redeemable preferred stock, and the fair value of redeemable preferred stock was based on valuation performed by a third-party valuation company utilizing the guideline public company method under market approach and the discounted cash flow method under income approach. The redeemable preferred stock has been fully impaired as of December 31, 2024, see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more details.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in 2024,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3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6"/>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1 to 13 Years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57,541</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8"/>
              </w:rPr>
              <w:t>25 to 39 Years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rPr>
              <w:t>1 to 5 Years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1 to 10 Years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1 to 11 Years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15 Years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44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rPr>
              <w:t>3 to 8 Years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44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w:t>
            </w:r>
          </w:p>
        </w:tc>
        <w:tc>
          <w:tcPr>
            <w:tcW w:w="10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(51,711 )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(51,633 )</w:t>
            </w:r>
          </w:p>
        </w:tc>
      </w:tr>
      <w:tr>
        <w:trPr>
          <w:trHeight w:val="210"/>
        </w:trPr>
        <w:tc>
          <w:tcPr>
            <w:tcW w:w="3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4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Borders>
              <w:top w:val="single" w:sz="8" w:color="CFF0FC"/>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fixed assets totaled $16.4 million, $17.5 million and $25.5 million for the years ended December 31,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37"/>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6"/>
          </w:tcPr>
          <w:p>
            <w:pPr>
              <w:ind w:lef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3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3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18"/>
                <w:szCs w:val="18"/>
                <w:color w:val="auto"/>
              </w:rPr>
            </w:pPr>
          </w:p>
        </w:tc>
      </w:tr>
      <w:tr>
        <w:trPr>
          <w:trHeight w:val="216"/>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3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28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180" w:type="dxa"/>
            <w:vAlign w:val="bottom"/>
          </w:tcPr>
          <w:p>
            <w:pPr>
              <w:spacing w:after="0"/>
              <w:rPr>
                <w:sz w:val="24"/>
                <w:szCs w:val="24"/>
                <w:color w:val="auto"/>
              </w:rPr>
            </w:pPr>
          </w:p>
        </w:tc>
        <w:tc>
          <w:tcPr>
            <w:tcW w:w="340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F-23</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36"/>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6"/>
          </w:tcPr>
          <w:p>
            <w:pPr>
              <w:ind w:lef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accrual</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8"/>
                <w:szCs w:val="18"/>
                <w:color w:val="auto"/>
              </w:rPr>
            </w:pPr>
          </w:p>
        </w:tc>
      </w:tr>
      <w:tr>
        <w:trPr>
          <w:trHeight w:val="249"/>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Accrued legal liabilities as of December 31, 2024 included $1.0 million in connection with the SEC investigation as further described in Note 8, </w:t>
      </w:r>
      <w:r>
        <w:rPr>
          <w:rFonts w:ascii="Times New Roman" w:cs="Times New Roman" w:eastAsia="Times New Roman" w:hAnsi="Times New Roman"/>
          <w:sz w:val="18"/>
          <w:szCs w:val="18"/>
          <w:i w:val="1"/>
          <w:iCs w:val="1"/>
          <w:color w:val="auto"/>
        </w:rPr>
        <w:t xml:space="preserve">Debt, Commitments, and Contingencies. </w:t>
      </w:r>
      <w:r>
        <w:rPr>
          <w:rFonts w:ascii="Times New Roman" w:cs="Times New Roman" w:eastAsia="Times New Roman" w:hAnsi="Times New Roman"/>
          <w:sz w:val="18"/>
          <w:szCs w:val="18"/>
          <w:color w:val="auto"/>
        </w:rPr>
        <w:t>Accrued legal liabilities as of December 31, 2023 included a previously estimated $6.9 million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voluntary disclosure process, which was settled at approximately $3.0 million and paid in 2024. Other accrued liabilities included short-term finance lease liabilities, health insurance liabilities, and third-party billing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37"/>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6"/>
          </w:tcPr>
          <w:p>
            <w:pPr>
              <w:ind w:lef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serves as its Chief Operating Decision Maker, or CODM. The CODM oversees the Company’s operations and evaluates financial data for its two operating segments separately to make resource allocation decisions. The financial information regularly provided to the CODM includes various performance metrics by reporting segment, such as gross profit, operating income or loss, income or loss before income taxes, net income or loss from consolidated operations, and net income or loss attributable to Fulgent, all presented in accordance with U.S. GAAP. Additionally, the CODM receives these metrics on a non-GAAP basis, which excludes the impact of equity-based compensation expenses, goodwill impairment losses, amortization of intangible assets, and restructuring costs, if applicable. Although multiple financial metrics are provided, the CODM primarily relies on adjusted operating income or loss to evaluate segment performance and allocate resources. The balance sheet is presented on a consolidated basis, as the CODM does not use asset or liability information, including fixed assets, to assess segment performance. As a result, segment asset and liability details are not disclosed.</w:t>
      </w:r>
    </w:p>
    <w:p>
      <w:pPr>
        <w:spacing w:after="0" w:line="18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reporting segments as well as geographic information are as follows, all dollars are in thousands: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tbl>
      <w:tblPr>
        <w:tblLayout w:type="fixed"/>
        <w:tblInd w:w="62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9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8"/>
        </w:trPr>
        <w:tc>
          <w:tcPr>
            <w:tcW w:w="1620" w:type="dxa"/>
            <w:vAlign w:val="bottom"/>
            <w:vMerge w:val="continue"/>
          </w:tcPr>
          <w:p>
            <w:pPr>
              <w:spacing w:after="0"/>
              <w:rPr>
                <w:sz w:val="16"/>
                <w:szCs w:val="16"/>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Fiscal year ended December 31, 2024</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general and administrative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3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0" w:type="dxa"/>
            <w:vAlign w:val="bottom"/>
          </w:tcPr>
          <w:p>
            <w:pPr>
              <w:spacing w:after="0"/>
              <w:rPr>
                <w:sz w:val="24"/>
                <w:szCs w:val="24"/>
                <w:color w:val="auto"/>
              </w:rPr>
            </w:pPr>
          </w:p>
        </w:tc>
        <w:tc>
          <w:tcPr>
            <w:tcW w:w="166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24"/>
                <w:szCs w:val="24"/>
                <w:color w:val="auto"/>
              </w:rPr>
            </w:pPr>
          </w:p>
        </w:tc>
        <w:tc>
          <w:tcPr>
            <w:tcW w:w="1200" w:type="dxa"/>
            <w:vAlign w:val="bottom"/>
            <w:gridSpan w:val="2"/>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-1191895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-917575</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-643255</wp:posOffset>
            </wp:positionV>
            <wp:extent cx="7132320"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-8890</wp:posOffset>
            </wp:positionV>
            <wp:extent cx="7132320" cy="146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40" w:space="720"/>
            <w:col w:w="5080"/>
          </w:cols>
          <w:pgMar w:left="320" w:top="96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Fiscal year ended December 31, 2023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Adjusted general and administrative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74,982</w:t>
            </w:r>
          </w:p>
        </w:tc>
        <w:tc>
          <w:tcPr>
            <w:tcW w:w="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3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0" w:type="dxa"/>
            <w:vAlign w:val="bottom"/>
          </w:tcPr>
          <w:p>
            <w:pPr>
              <w:spacing w:after="0"/>
              <w:rPr>
                <w:sz w:val="24"/>
                <w:szCs w:val="24"/>
                <w:color w:val="auto"/>
              </w:rPr>
            </w:pPr>
          </w:p>
        </w:tc>
        <w:tc>
          <w:tcPr>
            <w:tcW w:w="166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24"/>
                <w:szCs w:val="24"/>
                <w:color w:val="auto"/>
              </w:rPr>
            </w:pPr>
          </w:p>
        </w:tc>
        <w:tc>
          <w:tcPr>
            <w:tcW w:w="1200" w:type="dxa"/>
            <w:vAlign w:val="bottom"/>
            <w:gridSpan w:val="2"/>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-1182370</wp:posOffset>
            </wp:positionV>
            <wp:extent cx="71323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-908050</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-633730</wp:posOffset>
            </wp:positionV>
            <wp:extent cx="713232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40" w:space="720"/>
            <w:col w:w="5080"/>
          </w:cols>
          <w:pgMar w:left="320" w:top="96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4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101,890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operating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1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“adjusted operating (loss) income” to “(loss) income before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(21,472 )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(24,528 )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(31,304 )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(21,612 )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(5,624 )</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available-for-sale debt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(561 )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(320 )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(887 )</w:t>
            </w: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(51,956 )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(174,085 )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4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35,649</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14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-4439920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-4439920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-2211070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-2211070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-1079500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Precision diagnostics</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167,745</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Anatomic pathology</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BioPharma services</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tc>
        <w:tc>
          <w:tcPr>
            <w:tcW w:w="18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by segment:</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1,131,117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88,847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259,132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1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foreign</w:t>
            </w: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280" w:type="dxa"/>
            <w:vAlign w:val="bottom"/>
          </w:tcPr>
          <w:p>
            <w:pPr>
              <w:spacing w:after="0"/>
              <w:rPr>
                <w:sz w:val="24"/>
                <w:szCs w:val="24"/>
                <w:color w:val="auto"/>
              </w:rPr>
            </w:pPr>
          </w:p>
        </w:tc>
        <w:tc>
          <w:tcPr>
            <w:tcW w:w="20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F-26</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-6291580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-6274435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-6291580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-6274435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-6291580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-6274435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-5305425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-5305425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-3625215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-3625215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-2630805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-2630805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-1224915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-1224915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-916305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-933450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-916305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72,617</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foreign</w:t>
            </w: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Borders>
              <w:top w:val="single" w:sz="8" w:color="CFF0FC"/>
            </w:tcBorders>
          </w:tcPr>
          <w:p>
            <w:pPr>
              <w:spacing w:after="0"/>
              <w:rPr>
                <w:sz w:val="18"/>
                <w:szCs w:val="18"/>
                <w:color w:val="auto"/>
              </w:rPr>
            </w:pP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-316865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-316865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December 31, 2024, consisted of $2.9 million of notes payable related to an installment sale contract the Company entered in February 2022 for a building. The notes payable related to the installment sale are due in February 2030, and the interest rate is 1.08%. The current portion and noncurrent portion are $0.4 million and $2.5 million, respectively, and the noncurrent portion is included in the other long-term liabilities in the accompanying Consolidated Balance Sheets. The Company also had notes payable to Xilong Scientific Co., which were paid off in 2024, and had an interest rate of 4.97%. The interest expenses in 2024 and 2023 were not significant, and was $0.3 million in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certain purchase commitments with its vendors, which primarily consist of services, reagent and supplies, computer software, and medical lab equipment. As of December 31, 2024, the Company had purchase obligations of $40.6 million, of which $31.6 million is payable within 12 months, and the remainder, $9.0 million, is payable within the next five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 to other laboratories in the industry, the Company is currently being audited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is working with HRSA’s auditors to resolve any issues related to its audit, including any reimbursed amounts that may need to be returned to HRSA. The Company has also received a CID issued by the DOJ pursuant to the False Claims Act related to the DOJ’s investigation as to whether the Company submitted or caused to be submitted false claims to the Uninsured Program.</w:t>
      </w:r>
    </w:p>
    <w:p>
      <w:pPr>
        <w:spacing w:after="0" w:line="18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has received, and in connection with the HRSA audit. The Company cannot currently predict when these CIDs and HRSA audit matters will be resolved, the reasonable or likely outcome of these matters, or their potential impact, which may materially and adversely affect the Company’s business, prospects, and financial condition. These matters are not formal claims, and discussions and investigations remain ongoing. As such, the Company cannot reasonably estimate the loss or range of loss, if any, that may result from any material government investigations, audits, and reviews in which it is currently involved, given the inherent difficulty in predicting regulatory action, fines and penalties, if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ind w:right="180"/>
        <w:spacing w:after="0" w:line="282" w:lineRule="auto"/>
        <w:rPr>
          <w:sz w:val="20"/>
          <w:szCs w:val="20"/>
          <w:color w:val="auto"/>
        </w:rPr>
      </w:pPr>
      <w:r>
        <w:rPr>
          <w:rFonts w:ascii="Times New Roman" w:cs="Times New Roman" w:eastAsia="Times New Roman" w:hAnsi="Times New Roman"/>
          <w:sz w:val="18"/>
          <w:szCs w:val="18"/>
          <w:color w:val="auto"/>
        </w:rPr>
        <w:t>any, and the various remedies and levels of judicial review available to the Company in the event of an adverse finding. As a result, the Company has not recorded any liability related to these CIDs or audit matters.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and as previously disclosed, the SEC is conducting a non-public formal investigation, which relates to (i) the matters raised in the requests for the CID regarding allegations of medically unnecessary laboratory testing, improper billing for laboratory testing, and remuneration received or provided in violation of the Anti-Kickback Statute and the Stark Law and (ii) the Company’s Exchange Act reports filed for 2018 through 2020. On May 6, 2024, the SEC staff advised the Company that the SEC staff made a preliminary determination to recommend that the SEC file an enforcement action against the Company based on a corporate negligence theory, which, if authorized, would allege violations of Sections 17(a)(2) and 17(a)(3) of the Securities Act of 1933, as amended, Sections 13(a), 13(b)(2)(A) and 13(b)(2)(B) of the Exchange Act, and Rules 13a-1, 13a-13, and 12b-20 thereunder. The Company has fully cooperated with the SEC and its requests, and the SEC are continuing to communicate regarding this matter. While the Company does not believe that any enforcement recommendation is warranted and denies all liability, the Company has recorded a $1.0 million potential liability with respect to this matter. While the Company believes this amount is a reasonable and probable estimate, the actual amount of liability, if any, may be materially higher than this estimate, as discussions are ongoing, and there is no formal settlement or final resolution of this matter at this time.</w:t>
      </w:r>
    </w:p>
    <w:p>
      <w:pPr>
        <w:spacing w:after="0" w:line="1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relation to a recent advisory opinion issued by the Office of Inspector General of the Department of Health and Human Services, or the OIG, the Company’s subsidiary, Symphony Buyer, Inc., or Inform Diagnostics, initiated a voluntary disclosure process with the appropriate government contact. The Company had previously estimated and recorded $6.9 million as a liability in its financial statements in connection with this voluntary disclosure. In December 2024, the Company entered into a settlement agreement with the DOJ pursuant to which it agreed to pay and paid $3.0 million in resolution of the matters directly related to this voluntary disclosure.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of which, some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Alpharetta, Georgia. The Company is also in the process of obtaining NATA accreditation in Dulwich, Australia.</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December 31, 2024 and 2023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4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3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3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3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3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0"/>
                <w:szCs w:val="20"/>
                <w:color w:val="auto"/>
              </w:rPr>
            </w:pPr>
          </w:p>
        </w:tc>
      </w:tr>
      <w:tr>
        <w:trPr>
          <w:trHeight w:val="630"/>
        </w:trPr>
        <w:tc>
          <w:tcPr>
            <w:tcW w:w="4060" w:type="dxa"/>
            <w:vAlign w:val="bottom"/>
          </w:tcPr>
          <w:p>
            <w:pPr>
              <w:spacing w:after="0"/>
              <w:rPr>
                <w:sz w:val="24"/>
                <w:szCs w:val="24"/>
                <w:color w:val="auto"/>
              </w:rPr>
            </w:pPr>
          </w:p>
        </w:tc>
        <w:tc>
          <w:tcPr>
            <w:tcW w:w="30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F-28</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5.95 years</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 years</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-1279525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-1279525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gridSpan w:val="2"/>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10"/>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top w:val="single" w:sz="8" w:color="CFF0FC"/>
            </w:tcBorders>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(1,088 )</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10"/>
        </w:trPr>
        <w:tc>
          <w:tcPr>
            <w:tcW w:w="68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FF0FC"/>
            </w:tcBorders>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-453390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previously leased out space in buildings it owns to third-party tenants under noncancelable operating leases. As of December 31, 2024, there were no noncancelable operating leases remaining. Lease income primarily represents fixed lease payments from tenants recognized on a straight-line basis over the application lease term. Variable lease income represents tenant payments for real estate taxes, insurance and maintenance.</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lease income was included in other income, net, in the accompanying Consolidated Statements of Operations. An insignificant amount was recognized in the year ended December 31, 2024. For years ended December 31, 2023 and 2022, $0.2 million and $0.3 million were recognized, respectively. There are no future fixed lease payments from tenants expected, as there were no remaining noncancelable operating leases as of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120" w:type="dxa"/>
            <w:vAlign w:val="bottom"/>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8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Pr>
          <w:p>
            <w:pPr>
              <w:spacing w:after="0"/>
              <w:rPr>
                <w:sz w:val="18"/>
                <w:szCs w:val="18"/>
                <w:color w:val="auto"/>
              </w:rPr>
            </w:pPr>
          </w:p>
        </w:tc>
      </w:tr>
      <w:tr>
        <w:trPr>
          <w:trHeight w:val="24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4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actual tax (expense) benefit realized from tax deductions related to awards vested or exercised were ($3.4) million, ($2.7) million and $2.1 million for the years ended December 31,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options to acquire shares of the Company’s common stock in the years ended December 31, 2024,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1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1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3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80" w:hanging="512"/>
        <w:spacing w:after="0" w:line="298" w:lineRule="auto"/>
        <w:tabs>
          <w:tab w:leader="none" w:pos="5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intrinsic value is calculated as the difference between (i) the exercise price of options and (ii) the market value of the Company’s common stock as of the applicable date.</w:t>
      </w:r>
    </w:p>
    <w:p>
      <w:pPr>
        <w:spacing w:after="0" w:line="160"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2024, 2023, and 2022 was $0.3 million, $0.2 million and $0.1 million, respectively. As of December 31, 2024, the remaining unrecognized compensation expense related to all outstanding option awards was $0.5 million and is expected to be recognized over a weighted-average period of 2.2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RSUs are awards that entitle the holder to receive shares of the Company’s common stock upon satisfaction of vesting conditions. Each RSU represents the contingent right to receive one share of the Company’s common stock upon vesting and settlement.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1" w:name="page132"/>
    <w:bookmarkEnd w:id="131"/>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RSUs relating to shares of the Company’s common stock in the years ended December 31, 2024,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48"/>
        </w:trPr>
        <w:tc>
          <w:tcPr>
            <w:tcW w:w="6280" w:type="dxa"/>
            <w:vAlign w:val="bottom"/>
          </w:tcPr>
          <w:p>
            <w:pPr>
              <w:spacing w:after="0"/>
              <w:rPr>
                <w:sz w:val="12"/>
                <w:szCs w:val="12"/>
                <w:color w:val="auto"/>
              </w:rPr>
            </w:pPr>
          </w:p>
        </w:tc>
        <w:tc>
          <w:tcPr>
            <w:tcW w:w="164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6280" w:type="dxa"/>
            <w:vAlign w:val="bottom"/>
          </w:tcPr>
          <w:p>
            <w:pPr>
              <w:spacing w:after="0"/>
              <w:rPr>
                <w:sz w:val="15"/>
                <w:szCs w:val="15"/>
                <w:color w:val="auto"/>
              </w:rPr>
            </w:pPr>
          </w:p>
        </w:tc>
        <w:tc>
          <w:tcPr>
            <w:tcW w:w="1640" w:type="dxa"/>
            <w:vAlign w:val="bottom"/>
            <w:tcBorders>
              <w:bottom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1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(699 )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1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(1,066 )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1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(1,004 )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RSU awards granted in the years ended December 31, 2024, 2023, and 2022 will result in aggregate equity-based compensation expense of $26.9 million, $29.3 million and $94.8 million, respectively, to be recognized over the vesting periods from the grant date of each award granted in the period. As of December 31, 2024, the remaining unrecognized compensation expense related to all outstanding RSU awards was $64.4 million and is expected to be recognized over a weighted-average period of 2.2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 for Option Awards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spacing w:after="0" w:line="52" w:lineRule="exact"/>
        <w:rPr>
          <w:sz w:val="20"/>
          <w:szCs w:val="20"/>
          <w:color w:val="auto"/>
        </w:rPr>
      </w:pPr>
    </w:p>
    <w:p>
      <w:pPr>
        <w:ind w:left="1020" w:right="58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equity-based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determines the expected term assumption based on the vesting terms, exercise terms and contractual terms of the options.</w:t>
      </w:r>
    </w:p>
    <w:p>
      <w:pPr>
        <w:spacing w:after="0" w:line="63"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determines the risk-free interest rate by using the equivalent to the expected term based on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yield curve in effect as of the date of grant.</w:t>
      </w:r>
    </w:p>
    <w:p>
      <w:pPr>
        <w:spacing w:after="0" w:line="63" w:lineRule="exact"/>
        <w:rPr>
          <w:rFonts w:ascii="Times New Roman" w:cs="Times New Roman" w:eastAsia="Times New Roman" w:hAnsi="Times New Roman"/>
          <w:sz w:val="18"/>
          <w:szCs w:val="18"/>
          <w:color w:val="auto"/>
        </w:rPr>
      </w:pPr>
    </w:p>
    <w:p>
      <w:pPr>
        <w:ind w:left="1020" w:right="22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assumed dividend yield is based on the Company’s expectation that it will not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consistent with its history of not paying dividends.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calculates expected volatility based on historical volatility data of its stock that is publicly traded.</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Rate. </w:t>
      </w:r>
      <w:r>
        <w:rPr>
          <w:rFonts w:ascii="Times New Roman" w:cs="Times New Roman" w:eastAsia="Times New Roman" w:hAnsi="Times New Roman"/>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to Employees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weighted-average assumptions used in the Black-Scholes option-pricing model to estimate the fair value of options to acquire shares of the Company’s common stock granted to employees during the years ended December 31, 2024, 2023, and 2022.</w:t>
      </w:r>
    </w:p>
    <w:p>
      <w:pPr>
        <w:spacing w:after="0" w:line="20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7620</wp:posOffset>
            </wp:positionV>
            <wp:extent cx="38658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10"/>
        </w:trPr>
        <w:tc>
          <w:tcPr>
            <w:tcW w:w="6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1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4.3 %</w:t>
            </w:r>
          </w:p>
        </w:tc>
        <w:tc>
          <w:tcPr>
            <w:tcW w:w="1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6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gridSpan w:val="3"/>
            <w:shd w:val="clear" w:color="auto" w:fill="CFF0FC"/>
          </w:tcPr>
          <w:p>
            <w:pPr>
              <w:jc w:val="right"/>
              <w:ind w:right="15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82.2 %</w:t>
            </w:r>
          </w:p>
        </w:tc>
        <w:tc>
          <w:tcPr>
            <w:tcW w:w="1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87.3 %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88.7 %</w:t>
            </w:r>
          </w:p>
        </w:tc>
      </w:tr>
      <w:tr>
        <w:trPr>
          <w:trHeight w:val="630"/>
        </w:trPr>
        <w:tc>
          <w:tcPr>
            <w:tcW w:w="496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F-31</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on Grant Dates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(Benefit from) provision for income taxes consists of United States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income (loss) before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(loss) income before income taxes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(46,813 )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(147,464 )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loss before income taxes</w:t>
            </w: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(26,621 )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(5,381 )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(51,956 )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(174,085 )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(Benefit from) provision for income taxes consisted of the following:</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(2,107 )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(4,722 )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(4,400 )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(10,312 )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(10,313 )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(12,771 )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(3,763 )</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(4,517 )</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(188 )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(3,736 )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(8,280 )</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(benefit from) provision for income taxes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(8,136 )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-3453765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-3436620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-3453765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-3436620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-3436620</wp:posOffset>
            </wp:positionV>
            <wp:extent cx="774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-1079500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auto"/>
        </w:rPr>
        <w:t>Reconciliation of the difference between the federal statutory income tax rate and the effective income tax rate is as follows:</w:t>
      </w:r>
    </w:p>
    <w:p>
      <w:pPr>
        <w:spacing w:after="0" w:line="27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7620</wp:posOffset>
            </wp:positionV>
            <wp:extent cx="34201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15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09"/>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-6.79 %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compensation - 162(m)</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-10.62 %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state tax refunds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return to provision</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-2.07 %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-0.21 %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return to provision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-0.78 %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6.95 %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IRA tax credit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Stranded tax effect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NOL carryforward</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0.11 %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-0.12 %</w:t>
            </w: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-13.29 %</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-12.20 %</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0.12 %</w:t>
            </w:r>
          </w:p>
        </w:tc>
      </w:tr>
      <w:tr>
        <w:trPr>
          <w:trHeight w:val="20"/>
        </w:trPr>
        <w:tc>
          <w:tcPr>
            <w:tcW w:w="5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16.11 %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-0.69 %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22.70 %</w:t>
            </w:r>
          </w:p>
        </w:tc>
      </w:tr>
      <w:tr>
        <w:trPr>
          <w:trHeight w:val="20"/>
        </w:trPr>
        <w:tc>
          <w:tcPr>
            <w:tcW w:w="5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-170815</wp:posOffset>
            </wp:positionV>
            <wp:extent cx="1200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1200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elements of the deferred tax assets (liabilities). Net deferred tax assets are included in other long-term assets in the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020" w:type="dxa"/>
            <w:vAlign w:val="bottom"/>
          </w:tcPr>
          <w:p>
            <w:pPr>
              <w:spacing w:after="0"/>
              <w:rPr>
                <w:sz w:val="17"/>
                <w:szCs w:val="17"/>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7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vacation and other accrued expenses</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Excess tax basis in FF Gene Biotech net assets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gain/loss on available-for-sale debt securities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Section 174 research &amp; experimental expenditures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loss in investment</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(22,702 )</w:t>
            </w:r>
          </w:p>
        </w:tc>
        <w:tc>
          <w:tcPr>
            <w:tcW w:w="6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(15,900 )</w:t>
            </w:r>
          </w:p>
        </w:tc>
      </w:tr>
      <w:tr>
        <w:trPr>
          <w:trHeight w:val="209"/>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34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100" w:type="dxa"/>
            <w:vAlign w:val="bottom"/>
            <w:tcBorders>
              <w:top w:val="single" w:sz="8" w:color="CFF0FC"/>
            </w:tcBorders>
          </w:tcPr>
          <w:p>
            <w:pPr>
              <w:spacing w:after="0"/>
              <w:rPr>
                <w:sz w:val="18"/>
                <w:szCs w:val="18"/>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3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Pr>
          <w:p>
            <w:pPr>
              <w:spacing w:after="0"/>
              <w:rPr>
                <w:sz w:val="18"/>
                <w:szCs w:val="18"/>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(6,370 )</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(7,962 )</w:t>
            </w: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-1439545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-1156335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-316230</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$31.5 million estimated federal net operating loss, or NOL, carryforwards and estimated state NOL carryforwards of $82.6 million. The Company’s state NOLs are scheduled to begin expiring in 2025.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4" w:name="page135"/>
    <w:bookmarkEnd w:id="134"/>
    <w:p>
      <w:pPr>
        <w:ind w:right="20"/>
        <w:spacing w:after="0" w:line="282" w:lineRule="auto"/>
        <w:rPr>
          <w:sz w:val="20"/>
          <w:szCs w:val="20"/>
          <w:color w:val="auto"/>
        </w:rPr>
      </w:pPr>
      <w:r>
        <w:rPr>
          <w:rFonts w:ascii="Times New Roman" w:cs="Times New Roman" w:eastAsia="Times New Roman" w:hAnsi="Times New Roman"/>
          <w:sz w:val="18"/>
          <w:szCs w:val="18"/>
          <w:color w:val="auto"/>
        </w:rPr>
        <w:t>Company also has foreign NOL carryforwards of $11.0 million which are scheduled to expire from 2025 through 2029. Utilization of our net operating loss carryforwards may be subject to annual limitations due to ownership changes as imposed by the Internal Revenue Code and similar state provisions.</w:t>
      </w:r>
    </w:p>
    <w:p>
      <w:pPr>
        <w:spacing w:after="0" w:line="16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ASC 740-10-30-5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and, accordingly, has established a full valuation allowance of $22.7 million on its deferred tax assets as of December 31, 2024. The Company maintained a full valuation allowance of $15.9 million on its deferred tax assets as of December 31, 2023. The increase in the valuation allowance of $6.8 million for the year ended December 31, 2024 was primarily due to the increase in capitalized Section 174 expenditures.</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enacted model rules for a new global minimum tax framework (“BEPS Pillar II”). Various jurisdictions have enacted, or are in the process of enacting, legislation on these rules. We are closely monitoring developments and are currently evaluating the potential impact in each jurisdiction in which we operate.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taxation by the United States government and certain states in which the Company’s activities give rise to an income tax filing requirement. The Company does not have any significant income tax filing requirements in any foreign jurisdiction. The Company’s tax returns are subject to statutes of limitations that vary by jurisdiction. As of December 31, 2024, the Company remains subject to income tax examinations in the United States, and various states for tax years 2020 through 2024. However, due to the Company’s NOL carryforwards in various jurisdictions, tax authorities have the ability to adjust carryforwards related to closed years until the statute expires on the year(s) in which the NOL carryforwards are utilized.</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and 2021 tax years. While the timing of the conclusion of the examination is uncertain, the Company believes that adequate amounts have been reserved for adjustments that may result.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r>
      <w:tr>
        <w:trPr>
          <w:trHeight w:val="210"/>
        </w:trPr>
        <w:tc>
          <w:tcPr>
            <w:tcW w:w="5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prior year positions</w:t>
            </w: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(3,845 )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20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20" w:type="dxa"/>
            <w:vAlign w:val="bottom"/>
            <w:shd w:val="clear" w:color="auto" w:fill="CFF0FC"/>
          </w:tcPr>
          <w:p>
            <w:pPr>
              <w:spacing w:after="0"/>
              <w:rPr>
                <w:sz w:val="18"/>
                <w:szCs w:val="18"/>
                <w:color w:val="auto"/>
              </w:rPr>
            </w:pPr>
          </w:p>
        </w:tc>
      </w:tr>
      <w:tr>
        <w:trPr>
          <w:trHeight w:val="209"/>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top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tcBorders>
              <w:top w:val="single" w:sz="8" w:color="CFF0FC"/>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$4.2 million of gross unrecognized tax benefits, of which, $2.5 million of unrecognized tax benefits would affect the effective tax rate if recognized. The Company has accrued $0.4 million and $0.1 million for interest at December 31, 2024 and 2023, respectively. Although it is possible that the amount of unrecognized benefits with respect to our uncertain tax positions will increase or decrease in the next 12 months, the Company does not expect material changes.</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$40.0 million, $12.5 million, and $0.3 million in income tax refunds in 2024, 2023, and 2022, respectively. The income tax refunds received, which were due to overpayment in prior years, were not netted in the income tax paid amounts included in the supplemental disclosure in the accompanying Consolidated Statements of Cash Flows.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2024, the Company purchased $27.1 million worth of Investment Tax Credits, or ITCs, under the transferability provisions of the Inflation Reduction Act of 2022 for $24.6 million in cash. The $2.5 million difference between the purchase price and the face value of the credits has been recorded as an increase to the Company’s income tax benefit for the period. The $24.6 million cash payment was included in the income tax paid amounts included in the supplemental disclosure in the accompanying Consolidated Statements of Cash Flows. The Company has utilized $0.4 million of the acquired credits on its 2023 tax return and carried back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ind w:right="280"/>
        <w:spacing w:after="0" w:line="282" w:lineRule="auto"/>
        <w:rPr>
          <w:sz w:val="20"/>
          <w:szCs w:val="20"/>
          <w:color w:val="auto"/>
        </w:rPr>
      </w:pPr>
      <w:r>
        <w:rPr>
          <w:rFonts w:ascii="Times New Roman" w:cs="Times New Roman" w:eastAsia="Times New Roman" w:hAnsi="Times New Roman"/>
          <w:sz w:val="18"/>
          <w:szCs w:val="18"/>
          <w:color w:val="auto"/>
        </w:rPr>
        <w:t>remainder of $26.7 million to its 2020 tax year and filed a request for a refund. The Company has received the full amount of $26.7 million of ITCs that were carried back to the 2020 tax year in cash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income (loss) per share computations: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56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r>
      <w:tr>
        <w:trPr>
          <w:trHeight w:val="223"/>
        </w:trPr>
        <w:tc>
          <w:tcPr>
            <w:tcW w:w="5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(42,708 )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(167,825 )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120" w:type="dxa"/>
            <w:vAlign w:val="bottom"/>
            <w:shd w:val="clear" w:color="auto" w:fill="CFF0FC"/>
          </w:tcPr>
          <w:p>
            <w:pPr>
              <w:spacing w:after="0"/>
              <w:rPr>
                <w:sz w:val="22"/>
                <w:szCs w:val="22"/>
                <w:color w:val="auto"/>
              </w:rPr>
            </w:pPr>
          </w:p>
        </w:tc>
      </w:tr>
      <w:tr>
        <w:trPr>
          <w:trHeight w:val="197"/>
        </w:trPr>
        <w:tc>
          <w:tcPr>
            <w:tcW w:w="566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10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r>
      <w:tr>
        <w:trPr>
          <w:trHeight w:val="203"/>
        </w:trPr>
        <w:tc>
          <w:tcPr>
            <w:tcW w:w="5660" w:type="dxa"/>
            <w:vAlign w:val="bottom"/>
            <w:shd w:val="clear" w:color="auto" w:fill="CFF0FC"/>
          </w:tcPr>
          <w:p>
            <w:pPr>
              <w:ind w:left="120"/>
              <w:spacing w:after="0" w:line="202" w:lineRule="exact"/>
              <w:rPr>
                <w:sz w:val="20"/>
                <w:szCs w:val="20"/>
                <w:color w:val="auto"/>
              </w:rPr>
            </w:pPr>
            <w:r>
              <w:rPr>
                <w:rFonts w:ascii="Times New Roman" w:cs="Times New Roman" w:eastAsia="Times New Roman" w:hAnsi="Times New Roman"/>
                <w:sz w:val="18"/>
                <w:szCs w:val="18"/>
                <w:color w:val="auto"/>
              </w:rPr>
              <w:t>Contingently issuable shares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17"/>
                <w:szCs w:val="17"/>
                <w:color w:val="auto"/>
              </w:rPr>
            </w:pPr>
          </w:p>
        </w:tc>
      </w:tr>
      <w:tr>
        <w:trPr>
          <w:trHeight w:val="209"/>
        </w:trPr>
        <w:tc>
          <w:tcPr>
            <w:tcW w:w="5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120" w:type="dxa"/>
            <w:vAlign w:val="bottom"/>
            <w:tcBorders>
              <w:top w:val="single" w:sz="8" w:color="CFF0FC"/>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FF0FC"/>
          </w:tcPr>
          <w:p>
            <w:pPr>
              <w:spacing w:after="0"/>
              <w:rPr>
                <w:sz w:val="18"/>
                <w:szCs w:val="18"/>
                <w:color w:val="auto"/>
              </w:rPr>
            </w:pPr>
          </w:p>
        </w:tc>
      </w:tr>
      <w:tr>
        <w:trPr>
          <w:trHeight w:val="234"/>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-1597025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-1579880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-1597025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-1579880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-1597025</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-1579880</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-1296670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-1279525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-1296670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-1279525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-1296670</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-730885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-730885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income (loss) per share because their effect would have been anti-dilutive:</w:t>
      </w:r>
    </w:p>
    <w:p>
      <w:pPr>
        <w:spacing w:after="0" w:line="2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34804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92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0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6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r>
      <w:tr>
        <w:trPr>
          <w:trHeight w:val="243"/>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5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bl>
    <w:p>
      <w:pPr>
        <w:spacing w:after="0" w:line="19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years ended December 31, 2024 and 2023, the Company had outstanding stock options and restricted stock units that were excluded from the weighted-average share calculation for continuing operations due to the Company’s net loss positions. In the year ended December 31, 2023, the Company also had contingently issuable shares for shares held back in connection with the business combination of Fulgent Pharma, or Pharma Hold Back Shares. In May 2024, the Company released the remaining Pharma Hold Back Shares such that no shares remain contingently issuable in connection with the business combination of Fulgent Pharma.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13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 (k)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$3.8 million, $3.2 million and $2.5 million in the years ended December 31, 2024, 2023, and 2022,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an insignificant amount, $0.1 million and $1.5 million in revenue in the years ended December 31, 2024, 2023, and 2022, respectively. As of December 31, 2024 and 2023, insignificant amounts were owed to the Company by AHMC,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which is included in trade accounts receivable, net, in the accompanying Consolidated Balance Sheets, in connection with this relationship.</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Ming Hsieh, is the owner of PTJ Associates Inc., or PTJ. PTJ provides flight services to the Company on an arms-length basis. In the years ended December 31, 2024, 2023, and 2022 the Company incurred zero, zero and $0.2 million, respectively, in expenses for flights between California and Texas to transport employees and supplies. As of December 31, 2024 and 2023, no amount was owed to PTJ by the Company.</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Ming Hsieh is also on the board of directors and an approximately 20% owner of ANP Technologies, Inc., or ANP, from which the Company entered into certain drug-related licensing and development service agreements. The President and Chief Scientific Officer of Fulgent Pharma, Ray Yin, is the Founder, President, and Chief Technology Officer of ANP. The Company incurred $2.1 million, $2.4 million and $1.2 million, in expenses in the years ended December 31, 2024, 2023, and 2022, respectively, related to the licensing and development services and purchase of equipment. As of December 31, 2024 and 2023, $0.2 million and zero, respectively, were owed to ANP by the Company in connection with these relationships. The Company also entered into an employee service agreement with ANP in April 2023, $0.1 million was recognized in revenue in each of the years ended December 31, 2024 and 2023, and insignificant amounts were owed by ANP in connection with the employee service agreement as of December 31, 2024 and 2023,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 Diagnostics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April 26, 2022, the Company completed the acquisition of 100% of the outstanding equity of Inform Diagnostics, a leading national independent pathology laboratory based in Irving, Texas. Under the terms of the Agreement and Plan of Merger, dated April 16, 2022, or the Inform Merger Agreement, the total purchase price payable to the securityholders of Inform Diagnostics was approximately $170 million, as adjusted for closing cash, closing indebtedness, closing working capital, closing transaction expenses and other transaction matters. With the addition of Inform Diagnostics, the Company will further expand the Company’s genomic testing footprint and extend its test menu into breast pathology, gastrointestinal pathology, dermatopathology, urologic pathology, neuropathology, and hematopathology.</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financial results of Inform Diagnostics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84"/>
        </w:trPr>
        <w:tc>
          <w:tcPr>
            <w:tcW w:w="9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r>
      <w:tr>
        <w:trPr>
          <w:trHeight w:val="39"/>
        </w:trPr>
        <w:tc>
          <w:tcPr>
            <w:tcW w:w="9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net of cash received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137,755</w:t>
            </w:r>
          </w:p>
        </w:tc>
        <w:tc>
          <w:tcPr>
            <w:tcW w:w="100" w:type="dxa"/>
            <w:vAlign w:val="bottom"/>
          </w:tcPr>
          <w:p>
            <w:pPr>
              <w:spacing w:after="0"/>
              <w:rPr>
                <w:sz w:val="18"/>
                <w:szCs w:val="18"/>
                <w:color w:val="auto"/>
              </w:rPr>
            </w:pPr>
          </w:p>
        </w:tc>
      </w:tr>
      <w:tr>
        <w:trPr>
          <w:trHeight w:val="243"/>
        </w:trPr>
        <w:tc>
          <w:tcPr>
            <w:tcW w:w="9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(15,024 )</w:t>
            </w: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 operating</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ROU assets - finance</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(12,653 )</w:t>
            </w: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(1,183 )</w:t>
            </w: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(4,449 )</w:t>
            </w:r>
          </w:p>
        </w:tc>
      </w:tr>
      <w:tr>
        <w:trPr>
          <w:trHeight w:val="210"/>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71,845</w:t>
            </w:r>
          </w:p>
        </w:tc>
        <w:tc>
          <w:tcPr>
            <w:tcW w:w="100" w:type="dxa"/>
            <w:vAlign w:val="bottom"/>
          </w:tcPr>
          <w:p>
            <w:pPr>
              <w:spacing w:after="0"/>
              <w:rPr>
                <w:sz w:val="18"/>
                <w:szCs w:val="18"/>
                <w:color w:val="auto"/>
              </w:rPr>
            </w:pPr>
          </w:p>
        </w:tc>
      </w:tr>
      <w:tr>
        <w:trPr>
          <w:trHeight w:val="249"/>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94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F-36</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9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goodwill of $71.8 million arising from the acquisition is attributed to the expected synergies, assembled workforce, other benefits that will be potentially generated from the combination and deferred tax. The goodwill recognized is not deductible for tax purposes. The goodwill was subsequently fully impaired in December 2023. Refer to Note 17. </w:t>
      </w:r>
      <w:r>
        <w:rPr>
          <w:rFonts w:ascii="Times New Roman" w:cs="Times New Roman" w:eastAsia="Times New Roman" w:hAnsi="Times New Roman"/>
          <w:sz w:val="18"/>
          <w:szCs w:val="18"/>
          <w:i w:val="1"/>
          <w:iCs w:val="1"/>
          <w:color w:val="auto"/>
        </w:rPr>
        <w:t>Goodwill and Intangible Assets for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identifiable intangible assets acquired consisted of $54.0 million customer relationships with an estimated amortization life of 14 years, $2.7 million trade name with an estimated amortization life of seven years, and $0.4 million in-place lease intangible asset to be amortized over the remaining lease term of five years.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the customer relationship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fair value of in-place lease intangible asset was estimated using the discounted cash flow under the income approach.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spacing w:after="0" w:line="19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Revenue and operating loss from the Inform Diagnostics acquisition since the acquisition date were $83.6 million and $17.0 million, respectively, for year ended December 31, 2022, which are included in the accompanying Consolidated Statements of Operating.</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of Inform Diagnostics consisted primarily of legal, regulatory and financial advisory fees of approximately $6.6 million for the year ended December 31, 2022. These transaction costs were expensed as incurred as general and administrative expense in the respective period.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Fulgent and Inform Diagnostics as if the companies had been combined as of the beginning of 2021. The pro forma financial information has been adjusted for the following:</w:t>
      </w:r>
    </w:p>
    <w:p>
      <w:pPr>
        <w:spacing w:after="0" w:line="162"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Acquisition-related costs - Acquisition-related costs incurred by both Fulgent and Inform Diagnostics were excluded from the net income attributable to Fulgent, and total costs were $9.6 million for the year ended December 31, 2022.</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adjustments to the net income attributable to Fulgent were $0.8 million for the year ended December 31, 2022. Other adjustments to revenue were $1.0 million for or the year ended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9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659,386</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Fulgent</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140,288</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Fulgent</w:t>
            </w:r>
          </w:p>
        </w:tc>
        <w:tc>
          <w:tcPr>
            <w:tcW w:w="4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18"/>
                <w:szCs w:val="18"/>
                <w:color w:val="auto"/>
              </w:rPr>
            </w:pPr>
          </w:p>
        </w:tc>
      </w:tr>
      <w:tr>
        <w:trPr>
          <w:trHeight w:val="234"/>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Fulgent</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Fulgent Pharma Holdings, Inc</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November 7, 2022, the Company completed the acquisition of 100% of the outstanding equity of Fulgent Pharma, a clinical-stage, therapeutic development company focused on perfecting drug candidates for treating a broad range of cancers. Under the terms of the Agreement and Plan of Merger, dated November 7, 2022, or the Pharma Merger Agreement, the total merger consideration was paid in a combination of cash, the Company’s common stock, or the Stock Consideration, and assumed RSUs subject to customary adjustments for closing cash, closing indebtedness, transaction expenses and other transaction matters. A portion of the Stock Consideration was held back for a duration of time after the closing of the transaction to satisfy certain indemnification obligations of the Pharma Stockholders as described in the Pharma Merger Agreement. The RSUs are subject to vesting over the four-year period immediately following the date of their original grant, subject to the holder’s continuing service. The integrated companies plan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ind w:right="380"/>
        <w:spacing w:after="0" w:line="282" w:lineRule="auto"/>
        <w:rPr>
          <w:sz w:val="20"/>
          <w:szCs w:val="20"/>
          <w:color w:val="auto"/>
        </w:rPr>
      </w:pPr>
      <w:r>
        <w:rPr>
          <w:rFonts w:ascii="Times New Roman" w:cs="Times New Roman" w:eastAsia="Times New Roman" w:hAnsi="Times New Roman"/>
          <w:sz w:val="18"/>
          <w:szCs w:val="18"/>
          <w:color w:val="auto"/>
        </w:rPr>
        <w:t>offer a vertically integrated solution to combat cancer with the potential to unlock significant long-term upsides for both the therapeutic and diagnostic businesses, while effectively managing risk.</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financial results of Fulgent Pharma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spacing w:after="0" w:line="176"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goodwill of $22.1 million arising from the acquisition is attributed to Fulgent Pharma’s rights to intellectual property, expected synergies, assembled workforce, and other benefits that will potentially be generated from the combination and deferred tax. The goodwill recognized is not deductible for tax purposes.</w:t>
      </w:r>
    </w:p>
    <w:p>
      <w:pPr>
        <w:spacing w:after="0" w:line="176"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identified intangible assets acquired consisted of $64.6 million in IPR&amp;D. Fulgent Pharma has developed a novel nanoencapsulation and targeted therapy platform, which is designed to improve the therapeutic window and pharmacokinetic profile of new and existing cancer drugs. The lead drug candidate, FID-007, is currently being investigated in the United States to treat patients diagnosed with various cancers including H&amp;N, ampullary, and pancreatic cancer. The Company has released preliminary data and completed enrollment for a Phase 1/1b dose escalation/expansion clinical trial for evaluation of FID-007 in treating patients diagnosed with advanced solid tumors. In this trial and to date, the Company has observed FID-007 to have a manageable safety profile and observed preliminary evidence of anti-tumor activity in heavily pre-treated patients across various tumor types. The fair value of the IPR&amp;D was estimated using MPEEM. The method involves forecasting after-tax operating income from existing clients, subtracting the portions attributable to a contributory asset, and discounting the remaining earnings to present value. The useful life of IPR&amp;D is indefinite.</w:t>
      </w:r>
    </w:p>
    <w:p>
      <w:pPr>
        <w:spacing w:after="0" w:line="19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Revenue and operating loss from the Fulgent Pharma acquisition since the acquisition date are zero and $0.8 million, respectively, which are included in the accompanying Consolidated Statements of Operations, for the year ended December 31, 2022.</w:t>
      </w:r>
    </w:p>
    <w:p>
      <w:pPr>
        <w:spacing w:after="0" w:line="162"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of Fulgent Pharma consisted primarily of legal, regulatory and financial advisory fees of approximately $1.4 million for the year ended December 31, 2022. These transaction costs were expensed as incurred as general and administrative expense in the respective period.</w:t>
      </w:r>
    </w:p>
    <w:p>
      <w:pPr>
        <w:spacing w:after="0" w:line="176"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$5.0 million restricted cash received represents cash consideration payable pursuant to the share transfer agreement Fulgent Pharma entered prior to Fulgent Pharma acquisition date. The cash consideration was not paid as of Fulgent Pharma acquisition date and was included in noncurrent or non-operating liabilities in above table, and the cash consideration was subsequently paid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March 2022, the Company’s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year ended December 31, 2024, the Company repurchased 10,000 shares of its common stock at an aggregate cost of $0.2 million under the stock repurchase program. During the year ended December 31, 2023, the Company repurchased 1.0 million shares of its common stock at an aggregate cost of $25.1 million under the stock repurchase program. During the year ended December 31, 2022, the Company repurchased 1.8 million shares of its common stock at an aggregate cost of $74.3 million under the stock repurchase program. As of December 31, 2024, a total of approximately $150.5 million remained available for future repurchases of its common stock under the stock repurchase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net of impairment, by reporting unit for the years ended December 31, 2024 and 2023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960" w:type="dxa"/>
            <w:vAlign w:val="bottom"/>
            <w:tcBorders>
              <w:bottom w:val="single" w:sz="8" w:color="auto"/>
            </w:tcBorders>
            <w:gridSpan w:val="5"/>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Therapeutic Development</w:t>
            </w:r>
          </w:p>
        </w:tc>
        <w:tc>
          <w:tcPr>
            <w:tcW w:w="100" w:type="dxa"/>
            <w:vAlign w:val="bottom"/>
          </w:tcPr>
          <w:p>
            <w:pPr>
              <w:spacing w:after="0"/>
              <w:rPr>
                <w:sz w:val="15"/>
                <w:szCs w:val="15"/>
                <w:color w:val="auto"/>
              </w:rPr>
            </w:pPr>
          </w:p>
        </w:tc>
      </w:tr>
      <w:tr>
        <w:trPr>
          <w:trHeight w:val="223"/>
        </w:trPr>
        <w:tc>
          <w:tcPr>
            <w:tcW w:w="29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9"/>
                <w:szCs w:val="19"/>
                <w:color w:val="auto"/>
              </w:rPr>
            </w:pPr>
          </w:p>
        </w:tc>
      </w:tr>
      <w:tr>
        <w:trPr>
          <w:trHeight w:val="142"/>
        </w:trPr>
        <w:tc>
          <w:tcPr>
            <w:tcW w:w="2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5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120,972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5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(120,234 )</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(738 )</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1580" w:type="dxa"/>
            <w:vAlign w:val="bottom"/>
            <w:tcBorders>
              <w:top w:val="single" w:sz="8" w:color="auto"/>
              <w:bottom w:val="single" w:sz="8" w:color="auto"/>
            </w:tcBorders>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top w:val="single" w:sz="8" w:color="CFF0FC"/>
            </w:tcBorders>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F-38</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-1079500</wp:posOffset>
            </wp:positionV>
            <wp:extent cx="774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-1079500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-1079500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9" w:name="page140"/>
    <w:bookmarkEnd w:id="139"/>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 The Company tests for goodwill impairment at the reporting unit level on December 31st of each year and more frequently if events or circumstances indicate a potential impairment.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2023, the Company witnessed a continued decline in its share price and market capitalization which prompted a quantitative impairment analysis as of December 31, 2023, which led to the full impairment of the laboratory services goodwill.</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performed an updated valuation for the fair values of its therapeutic development reporting unit and IPR&amp;D due to significant developments in its clinical pipeline. FID-007 was previously in clinical Phase 1/1b as of the prior reporting period. The Company has released preliminary results for a Phase 1/1b clinical trial of FID-007 in patients diagnosed with advanced solid tumors and has begun enrollment of a Phase 2 clinical trial evaluating FID-007 in patients diagnosed with recurrent or metastatic H&amp;N squamous cell carcinoma. The Company has also received clearance from the FDA to commence a Phase 1/1b clinical trial evaluating FID-022, a candidate using the same nano-drug delivery platform, in patients diagnosed with certain cancers. These advancements led to a revised assessment of the probability of success for each molecule, and resulted in an increase to estimated revenue projections.</w:t>
      </w:r>
    </w:p>
    <w:p>
      <w:pPr>
        <w:spacing w:after="0" w:line="18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fair value of the Company’s therapeutic development reporting unit was calculated using the income approach weighted at 100% with a WACC of 36%. The fair value of the IPR&amp;D was appraised using the income approach known as multi-period excess earnings method with a WACC of 36%.</w:t>
      </w:r>
    </w:p>
    <w:p>
      <w:pPr>
        <w:spacing w:after="0" w:line="140"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Due to these changes, the fair values of the Company’s therapeutic development reporting unit and IPR&amp;D increased significantly, and are now substantially higher than the carrying value recorded. The fair value of this reporting unit was $201.4 million and exceeded the carrying value of $54.8 million by approximately 268%, and the fair value of IPR&amp;D was $202.7 million and exceeded the carrying value of $64.6 million by approximately 214%.</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drug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drug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December 31,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80" w:type="dxa"/>
            <w:vAlign w:val="bottom"/>
          </w:tcPr>
          <w:p>
            <w:pPr>
              <w:spacing w:after="0"/>
              <w:rPr>
                <w:sz w:val="16"/>
                <w:szCs w:val="16"/>
                <w:color w:val="auto"/>
              </w:rPr>
            </w:pPr>
          </w:p>
        </w:tc>
        <w:tc>
          <w:tcPr>
            <w:tcW w:w="14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(19,079 )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(12,586 )</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(1,859 )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(1,401 )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(1,271 )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-3805555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-3248025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-2691130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-2133600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-1019810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 of Fulgent Pharma in 2022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$8.0 million, $7.8 million and $6.5 million in 2024, 2023, and 2022, respectively.</w:t>
      </w:r>
    </w:p>
    <w:p>
      <w:pPr>
        <w:spacing w:after="0" w:line="22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December 31, 2024, and assuming no subsequent impairment of the underlying assets, the annual amortization expense for intangible assets is expected to be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3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18"/>
                <w:szCs w:val="18"/>
                <w:color w:val="auto"/>
              </w:rPr>
            </w:pPr>
          </w:p>
        </w:tc>
      </w:tr>
      <w:tr>
        <w:trPr>
          <w:trHeight w:val="21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Pr>
          <w:p>
            <w:pPr>
              <w:spacing w:after="0"/>
              <w:rPr>
                <w:sz w:val="18"/>
                <w:szCs w:val="18"/>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462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F-40</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1" w:name="page142"/>
    <w:bookmarkEnd w:id="14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From January 1, 2025 through February 28, 2025, the Company repurchased 0.2 million shares of its common stock for an aggregate cost of $3.1 million at an average price of $16.61 per share under the stock repurchase program approved in March 2022. See Note 16, </w:t>
      </w: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As of February 28, 2025, a total of $147.4 million remained available for future repurchases of its common stock under the stock repurchase program.</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FULGENT GENETICS, INC.’S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Fulgent Genetics, Inc. has one class of securities registered under Section 12 of the Securities Exchange Act of 1934, as amended, or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$0.0001 par value per share, or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all references to “we” or “us” in this Exhibit 4.2 refer to Fulgent Genetics,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Certificate of Incorporation, as amended, or the Certificate, as well as our Bylaws, and the applicable provisions of the Delaware General Corporation Law, or the DGCL. The following description is only a summary and it may not contain all the information that is important to you. This information is qualified entirely by reference to the applicable provisions of our Certificate and Bylaws, which are exhibits to this report, and the DGCL.</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the date of this report, our certificate of incorporation authorizes us to issue 50,000,000 shares of common stock, par value $0.0001 per share, and 1,000,000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our stockholders. The holders of our common stock do not have any cumulative voting rights. Because of this absence of cumulative voting, the holders of a majority of the shares of common stock entitled to vote in any election of directors have the power to elect all of the directors standing for election, if they should so choose. Holders of our common stock are entitled to receive ratably any dividends that may be declared by our board of directors from time to time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of the outstanding shares of our common stock, as well as any shares of common stock issuable upon the conversion of any securities convertible into our common stock, are (or will be upon issuance) fully paid and non-assessable.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Blank Check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authorized, subject to the limitations imposed by Delaware law, to issue up to 1,000,000 shares of preferred stock, par value</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$0.0001 per share, in one or more series, without stockholder approval. Our board of directors may fix the rights, preferences, privileges and restrictions of our authorized shares of preferred stock in one or more series and authorize their issuance without the approval of our stockholders. These rights, preferences, privileges and restrictions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our company or other corporate action. As of the date of the filing of this report, no shares of preferred stock will be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Certain provisions of Delaware law, our Certificate and/or our Bylaws may have the effect of delaying, deferring or discouraging another person from acquiring control of our company,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31"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ind w:left="760" w:right="600" w:hanging="365"/>
        <w:spacing w:after="0" w:line="260"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760" w:right="160" w:hanging="365"/>
        <w:spacing w:after="0" w:line="258"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760" w:right="380" w:hanging="365"/>
        <w:spacing w:after="0" w:line="266"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60" w:hanging="365"/>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right="440" w:hanging="365"/>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760" w:right="600" w:hanging="365"/>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760" w:right="220" w:hanging="365"/>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Certificate and Bylaws include a number of provisions that may discourage or delay attempts to take over our company or effect change to our management. 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We believe the benefits of these provisions, including increased protection of our potential ability to negotiate with the proponent of an unfriendly or unsolicited proposal to acquire or restructure our company, outweigh the disadvantages of discouraging takeover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 Rights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Because our Certificate does not provide for cumulative voting rights, stockholders holding a majority of our outstanding voting power will be able to elect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Number of Directors; Vacancies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Bylaws provide that directors may be removed by our stockholders upon the vote of a majority of our outstanding common stock, voting together as a single class, and subject to any rights of holders of any series of preferred stock that we may issue in the future, and that any such removal may be made with or without cause. Further, subject to any rights of holders of any series of preferred stock that we may issue in the future, the authorized number of directors may be changed only by the board of directors. Vacancies and newly created directorships on the board of directors may, except as otherwise required by law or determined by the board of directors, only be filled by a majority vote of the directors then serving on the board of directors, even though less than a quorum. These provisions will make it difficult for stockholders to remove directors and will prevent a stockholder from increasing the size of our board of directors and gaining control of our board of directors by filling the resulting vacancies with its own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Actions; Special Meetings of Stockholders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Certificate and Bylaws provide that all stockholder actions must be effected at a duly called meeting of stockholders, thereby eliminating the right of stockholders to act by written consent without a meeting. Our Bylaws also provide that special meetings of stockholders may only be called by the Chairman of our board of directors, our President or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Bylaws provide advance notice procedures that must be followed by stockholders seeking to bring business before an annual meeting of our stockholders or to nominate candidates for election as directors at any meeting of our stockholders, which will require any such notice to be delivered to us at a specified time and in a specified form and contain certain specified information. These provisions may preclude our stockholders from bringing matters before our meetings of stockholders or from making nominations for directors at our meetings of stockholders if they do not comply with these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enables our board of directors to render more difficult or to discourage an attempt to obtain control of our company by means of a merger, tender offer, proxy contest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62" w:lineRule="exact"/>
        <w:rPr>
          <w:sz w:val="20"/>
          <w:szCs w:val="20"/>
          <w:color w:val="auto"/>
        </w:rPr>
      </w:pPr>
    </w:p>
    <w:p>
      <w:pPr>
        <w:ind w:left="760" w:hanging="365"/>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left="760" w:hanging="365"/>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our Certificate and Bylaws require us to indemnify our directors and officers to the maximum extent permitted by the DGCL and allow us to indemnify other employees and agents as set forth in the DGCL. These documents further provide that we shall pay expenses (including attorneys’ fees) incurred by an director or officer in defending any civil, criminal, administrative or investigative action, suit or proceeding for which such director or officer may be entitled to indemnification in advance of the final disposition of such action, suit or proceeding, upon receipt of an undertaking by or on behalf of such director or officer to repay such amount if it shall ultimately be determined that he or she is not entitled to be indemnified by us.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separate indemnification agreements with each of our directors which provide these individuals with indemnification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and reasonably incurred by such director and officer in any action or proceeding arising out of his or her service to us or any of our subsidiaries or any other company or enterprise to which the individual provides services at our request. Subject to certain limitations, these indemnification agreements also require us to advance expenses incurred by our directors and officers for the defense of any action for which indemnification is required or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Bylaws and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telephone number is 1(800) 662-7232.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“FLGT.”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63"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FULGENT GENETICS, INC. INSIDER TRADING</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Adopted: September 16, 2016</w:t>
      </w:r>
    </w:p>
    <w:p>
      <w:pPr>
        <w:spacing w:after="0" w:line="2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Last Revised and Approved: February 26, 2024</w:t>
      </w:r>
    </w:p>
    <w:p>
      <w:pPr>
        <w:spacing w:after="0" w:line="220" w:lineRule="exact"/>
        <w:rPr>
          <w:sz w:val="20"/>
          <w:szCs w:val="20"/>
          <w:color w:val="auto"/>
        </w:rPr>
      </w:pPr>
    </w:p>
    <w:p>
      <w:pPr>
        <w:ind w:left="9" w:right="260"/>
        <w:spacing w:after="0" w:line="258" w:lineRule="auto"/>
        <w:rPr>
          <w:sz w:val="20"/>
          <w:szCs w:val="20"/>
          <w:color w:val="auto"/>
        </w:rPr>
      </w:pPr>
      <w:r>
        <w:rPr>
          <w:rFonts w:ascii="Times New Roman" w:cs="Times New Roman" w:eastAsia="Times New Roman" w:hAnsi="Times New Roman"/>
          <w:sz w:val="18"/>
          <w:szCs w:val="18"/>
          <w:color w:val="auto"/>
        </w:rPr>
        <w:t>This Insider Trading Policy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provides guidelines concerning transactions in the securities of Fulgent Genetics,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 The Company’s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sz w:val="20"/>
          <w:szCs w:val="20"/>
          <w:color w:val="auto"/>
        </w:rPr>
      </w:pPr>
    </w:p>
    <w:p>
      <w:pPr>
        <w:ind w:left="529" w:hanging="529"/>
        <w:spacing w:after="0"/>
        <w:tabs>
          <w:tab w:leader="none" w:pos="529"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the Policy</w:t>
      </w:r>
    </w:p>
    <w:p>
      <w:pPr>
        <w:spacing w:after="0" w:line="270" w:lineRule="exact"/>
        <w:rPr>
          <w:sz w:val="20"/>
          <w:szCs w:val="20"/>
          <w:color w:val="auto"/>
        </w:rPr>
      </w:pPr>
    </w:p>
    <w:p>
      <w:pPr>
        <w:ind w:left="9" w:right="160"/>
        <w:spacing w:after="0" w:line="261" w:lineRule="auto"/>
        <w:rPr>
          <w:sz w:val="20"/>
          <w:szCs w:val="20"/>
          <w:color w:val="auto"/>
        </w:rPr>
      </w:pPr>
      <w:r>
        <w:rPr>
          <w:rFonts w:ascii="Times New Roman" w:cs="Times New Roman" w:eastAsia="Times New Roman" w:hAnsi="Times New Roman"/>
          <w:sz w:val="18"/>
          <w:szCs w:val="18"/>
          <w:color w:val="auto"/>
        </w:rPr>
        <w:t>This Policy applies to all officers of the Company and its subsidiaries, all members of the Board, and all employees of the Company and its subsidiaries. The Company may also determine that other persons should be subject to this Policy, such as contractors or consultants who have access to material nonpublic information. This Policy also applies to your family members, other members of your household, and entities controlled by you, as described below.</w:t>
      </w:r>
    </w:p>
    <w:p>
      <w:pPr>
        <w:spacing w:after="0" w:line="176" w:lineRule="exact"/>
        <w:rPr>
          <w:sz w:val="20"/>
          <w:szCs w:val="20"/>
          <w:color w:val="auto"/>
        </w:rPr>
      </w:pPr>
    </w:p>
    <w:p>
      <w:pPr>
        <w:ind w:left="509" w:hanging="509"/>
        <w:spacing w:after="0"/>
        <w:tabs>
          <w:tab w:leader="none" w:pos="509"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Subject to the Policy</w:t>
      </w:r>
    </w:p>
    <w:p>
      <w:pPr>
        <w:spacing w:after="0" w:line="270" w:lineRule="exact"/>
        <w:rPr>
          <w:sz w:val="20"/>
          <w:szCs w:val="20"/>
          <w:color w:val="auto"/>
        </w:rPr>
      </w:pPr>
    </w:p>
    <w:p>
      <w:pPr>
        <w:ind w:left="9" w:right="120"/>
        <w:spacing w:after="0" w:line="261"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76" w:lineRule="exact"/>
        <w:rPr>
          <w:sz w:val="20"/>
          <w:szCs w:val="20"/>
          <w:color w:val="auto"/>
        </w:rPr>
      </w:pPr>
    </w:p>
    <w:p>
      <w:pPr>
        <w:ind w:left="529" w:hanging="529"/>
        <w:spacing w:after="0"/>
        <w:tabs>
          <w:tab w:leader="none" w:pos="52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70" w:lineRule="exact"/>
        <w:rPr>
          <w:sz w:val="20"/>
          <w:szCs w:val="20"/>
          <w:color w:val="auto"/>
        </w:rPr>
      </w:pPr>
    </w:p>
    <w:p>
      <w:pPr>
        <w:ind w:left="9" w:right="340"/>
        <w:spacing w:after="0" w:line="254" w:lineRule="auto"/>
        <w:rPr>
          <w:sz w:val="20"/>
          <w:szCs w:val="20"/>
          <w:color w:val="auto"/>
        </w:rPr>
      </w:pPr>
      <w:r>
        <w:rPr>
          <w:rFonts w:ascii="Times New Roman" w:cs="Times New Roman" w:eastAsia="Times New Roman" w:hAnsi="Times New Roman"/>
          <w:sz w:val="18"/>
          <w:szCs w:val="18"/>
          <w:color w:val="auto"/>
        </w:rPr>
        <w:t>Anyone subject to this Policy has ethical and legal obligations to maintain the confidentiality of information about the Company and to not engage in transactions in Company Securities while in possession of material nonpublic information. You are responsible for making sure that you comply with this Policy, and that any family member, household member, or entity whose transactions are subject to this Policy, as discussed below, also complies with this Policy. In all cases, the responsibility for determining whether you are in possession of material nonpublic information rests with you, and any action on the part of the Company, the Designated Trading Officer or any other officer, director, or employee pursuant to this Policy (or otherwise) does not in any way constitute legal advice or insulate you from liability under applicable securities laws. You could be subject to severe legal penalties and disciplinary action by the Company or regulatory agencies for any conduct prohibited by this Policy or applicable securities laws, as described below in more detail under the heading “Consequences of Violations.”</w:t>
      </w:r>
    </w:p>
    <w:p>
      <w:pPr>
        <w:spacing w:after="0" w:line="242" w:lineRule="exact"/>
        <w:rPr>
          <w:sz w:val="20"/>
          <w:szCs w:val="20"/>
          <w:color w:val="auto"/>
        </w:rPr>
      </w:pPr>
    </w:p>
    <w:p>
      <w:pPr>
        <w:ind w:left="9"/>
        <w:spacing w:after="0"/>
        <w:tabs>
          <w:tab w:leader="none" w:pos="488"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Administration of the Policy</w:t>
      </w:r>
    </w:p>
    <w:p>
      <w:pPr>
        <w:spacing w:after="0" w:line="270" w:lineRule="exact"/>
        <w:rPr>
          <w:sz w:val="20"/>
          <w:szCs w:val="20"/>
          <w:color w:val="auto"/>
        </w:rPr>
      </w:pPr>
    </w:p>
    <w:p>
      <w:pPr>
        <w:ind w:left="9" w:right="560"/>
        <w:spacing w:after="0" w:line="266" w:lineRule="auto"/>
        <w:rPr>
          <w:sz w:val="20"/>
          <w:szCs w:val="20"/>
          <w:color w:val="auto"/>
        </w:rPr>
      </w:pPr>
      <w:r>
        <w:rPr>
          <w:rFonts w:ascii="Times New Roman" w:cs="Times New Roman" w:eastAsia="Times New Roman" w:hAnsi="Times New Roman"/>
          <w:sz w:val="18"/>
          <w:szCs w:val="18"/>
          <w:color w:val="auto"/>
        </w:rPr>
        <w:t>Paul Kim shall serve as the Designated Trading Officer for the purposes of this Policy, and in his absence, another employee designated by the Designated Trading Officer shall be responsible for administration of this Policy. All determinations and interpretations by the Designated Trading Officer shall be final and not subject to further review.</w:t>
      </w:r>
    </w:p>
    <w:p>
      <w:pPr>
        <w:spacing w:after="0" w:line="172" w:lineRule="exact"/>
        <w:rPr>
          <w:sz w:val="20"/>
          <w:szCs w:val="20"/>
          <w:color w:val="auto"/>
        </w:rPr>
      </w:pPr>
    </w:p>
    <w:p>
      <w:pPr>
        <w:ind w:left="529" w:hanging="529"/>
        <w:spacing w:after="0"/>
        <w:tabs>
          <w:tab w:leader="none" w:pos="52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56" w:lineRule="exact"/>
        <w:rPr>
          <w:sz w:val="20"/>
          <w:szCs w:val="20"/>
          <w:color w:val="auto"/>
        </w:rPr>
      </w:pPr>
    </w:p>
    <w:p>
      <w:pPr>
        <w:ind w:left="9" w:right="100"/>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no director, officer, or other employee of the Company (or any other person designated by this Policy or by the Designated Trading Officer as subject to this Policy) who is aware of material nonpublic information relating to the Company may, directly, or indirectly through family members or other persons or entities:</w:t>
      </w:r>
    </w:p>
    <w:p>
      <w:pPr>
        <w:spacing w:after="0" w:line="284" w:lineRule="exact"/>
        <w:rPr>
          <w:sz w:val="20"/>
          <w:szCs w:val="20"/>
          <w:color w:val="auto"/>
        </w:rPr>
      </w:pPr>
    </w:p>
    <w:p>
      <w:pPr>
        <w:ind w:left="909" w:right="20" w:hanging="503"/>
        <w:spacing w:after="0" w:line="282" w:lineRule="auto"/>
        <w:tabs>
          <w:tab w:leader="none" w:pos="9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“Transactions Not Involving a Purchase or Sale,” and “Rule 10b5-1 Plans;”</w:t>
      </w:r>
    </w:p>
    <w:p>
      <w:pPr>
        <w:spacing w:after="0" w:line="53" w:lineRule="exact"/>
        <w:rPr>
          <w:rFonts w:ascii="Times New Roman" w:cs="Times New Roman" w:eastAsia="Times New Roman" w:hAnsi="Times New Roman"/>
          <w:sz w:val="18"/>
          <w:szCs w:val="18"/>
          <w:color w:val="auto"/>
        </w:rPr>
      </w:pPr>
    </w:p>
    <w:p>
      <w:pPr>
        <w:ind w:left="909" w:hanging="503"/>
        <w:spacing w:after="0"/>
        <w:tabs>
          <w:tab w:leader="none" w:pos="9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117" w:lineRule="exact"/>
        <w:rPr>
          <w:rFonts w:ascii="Times New Roman" w:cs="Times New Roman" w:eastAsia="Times New Roman" w:hAnsi="Times New Roman"/>
          <w:sz w:val="18"/>
          <w:szCs w:val="18"/>
          <w:color w:val="auto"/>
        </w:rPr>
      </w:pPr>
    </w:p>
    <w:p>
      <w:pPr>
        <w:ind w:left="909" w:right="100" w:hanging="503"/>
        <w:spacing w:after="0" w:line="261" w:lineRule="auto"/>
        <w:tabs>
          <w:tab w:leader="none" w:pos="9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w:t>
      </w:r>
    </w:p>
    <w:p>
      <w:pPr>
        <w:jc w:val="center"/>
        <w:ind w:right="9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473075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9"/>
          </w:cols>
          <w:pgMar w:left="431" w:top="765" w:right="339" w:bottom="1440" w:gutter="0" w:footer="0" w:header="0"/>
        </w:sectPr>
      </w:pPr>
    </w:p>
    <w:bookmarkStart w:id="147" w:name="page148"/>
    <w:bookmarkEnd w:id="147"/>
    <w:p>
      <w:pPr>
        <w:ind w:left="900" w:right="600"/>
        <w:spacing w:after="0" w:line="282" w:lineRule="auto"/>
        <w:rPr>
          <w:sz w:val="20"/>
          <w:szCs w:val="20"/>
          <w:color w:val="auto"/>
        </w:rPr>
      </w:pPr>
      <w:r>
        <w:rPr>
          <w:rFonts w:ascii="Times New Roman" w:cs="Times New Roman" w:eastAsia="Times New Roman" w:hAnsi="Times New Roman"/>
          <w:sz w:val="18"/>
          <w:szCs w:val="18"/>
          <w:color w:val="auto"/>
        </w:rPr>
        <w:t>investors, and expert consulting firms, unless any such disclosure is made in accordance with the Company’s policies regarding the protection or authorized external disclosure of information regarding the Company; or</w:t>
      </w:r>
    </w:p>
    <w:p>
      <w:pPr>
        <w:spacing w:after="0" w:line="54" w:lineRule="exact"/>
        <w:rPr>
          <w:sz w:val="20"/>
          <w:szCs w:val="20"/>
          <w:color w:val="auto"/>
        </w:rPr>
      </w:pPr>
    </w:p>
    <w:p>
      <w:pPr>
        <w:ind w:left="900" w:hanging="50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otherwise may be necessary or justifiable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68"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 in making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307" w:lineRule="exact"/>
        <w:rPr>
          <w:sz w:val="20"/>
          <w:szCs w:val="20"/>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 and</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23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When Information is Considered Public</w:t>
      </w:r>
      <w:r>
        <w:rPr>
          <w:rFonts w:ascii="Times New Roman" w:cs="Times New Roman" w:eastAsia="Times New Roman" w:hAnsi="Times New Roman"/>
          <w:sz w:val="18"/>
          <w:szCs w:val="18"/>
          <w:color w:val="auto"/>
        </w:rPr>
        <w:t>. Information that has not been disclosed to the public is generally considered to be nonpublic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473075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093" w:right="499" w:bottom="1440" w:gutter="0" w:footer="0" w:header="0"/>
        </w:sectPr>
      </w:pPr>
    </w:p>
    <w:bookmarkStart w:id="148" w:name="page149"/>
    <w:bookmarkEnd w:id="148"/>
    <w:p>
      <w:pPr>
        <w:ind w:left="9" w:right="240"/>
        <w:spacing w:after="0" w:line="282" w:lineRule="auto"/>
        <w:rPr>
          <w:sz w:val="20"/>
          <w:szCs w:val="20"/>
          <w:color w:val="auto"/>
        </w:rPr>
      </w:pPr>
      <w:r>
        <w:rPr>
          <w:rFonts w:ascii="Times New Roman" w:cs="Times New Roman" w:eastAsia="Times New Roman" w:hAnsi="Times New Roman"/>
          <w:sz w:val="18"/>
          <w:szCs w:val="18"/>
          <w:color w:val="auto"/>
        </w:rPr>
        <w:t>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62" w:lineRule="exact"/>
        <w:rPr>
          <w:sz w:val="20"/>
          <w:szCs w:val="20"/>
          <w:color w:val="auto"/>
        </w:rPr>
      </w:pPr>
    </w:p>
    <w:p>
      <w:pPr>
        <w:ind w:left="9"/>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79" w:lineRule="exact"/>
        <w:rPr>
          <w:sz w:val="20"/>
          <w:szCs w:val="20"/>
          <w:color w:val="auto"/>
        </w:rPr>
      </w:pPr>
    </w:p>
    <w:p>
      <w:pPr>
        <w:ind w:left="9"/>
        <w:spacing w:after="0"/>
        <w:tabs>
          <w:tab w:leader="none" w:pos="528"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Transactions by Family Members and Others</w:t>
      </w:r>
    </w:p>
    <w:p>
      <w:pPr>
        <w:spacing w:after="0" w:line="270" w:lineRule="exact"/>
        <w:rPr>
          <w:sz w:val="20"/>
          <w:szCs w:val="20"/>
          <w:color w:val="auto"/>
        </w:rPr>
      </w:pPr>
    </w:p>
    <w:p>
      <w:pPr>
        <w:ind w:left="9" w:right="140"/>
        <w:spacing w:after="0" w:line="254"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but not limited to, a spouse, a partner,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Transactions by Entities that You Influence or Control</w:t>
      </w:r>
    </w:p>
    <w:p>
      <w:pPr>
        <w:spacing w:after="0" w:line="270" w:lineRule="exact"/>
        <w:rPr>
          <w:sz w:val="20"/>
          <w:szCs w:val="20"/>
          <w:color w:val="auto"/>
        </w:rPr>
      </w:pPr>
    </w:p>
    <w:p>
      <w:pPr>
        <w:ind w:left="9" w:right="80"/>
        <w:spacing w:after="0" w:line="266"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w:t>
      </w:r>
    </w:p>
    <w:p>
      <w:pPr>
        <w:spacing w:after="0" w:line="172" w:lineRule="exact"/>
        <w:rPr>
          <w:sz w:val="20"/>
          <w:szCs w:val="20"/>
          <w:color w:val="auto"/>
        </w:rPr>
      </w:pPr>
    </w:p>
    <w:p>
      <w:pPr>
        <w:ind w:left="9"/>
        <w:spacing w:after="0"/>
        <w:tabs>
          <w:tab w:leader="none" w:pos="488"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Transactions Under Company Plans</w:t>
      </w:r>
    </w:p>
    <w:p>
      <w:pPr>
        <w:spacing w:after="0" w:line="2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3" w:lineRule="exact"/>
        <w:rPr>
          <w:sz w:val="20"/>
          <w:szCs w:val="20"/>
          <w:color w:val="auto"/>
        </w:rPr>
      </w:pPr>
    </w:p>
    <w:p>
      <w:pPr>
        <w:ind w:left="9" w:right="120" w:firstLine="749"/>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Stock Option Exercises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Policy does not apply to the exercise of an employee stock option acquired pursuant to the Company’s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plans where you continue to hold all of the shares as to which the option was exercised. This Policy also does not apply to the exercise of a stock withholding or tax withholding right pursuant to which a person has elected to have the Company withhold shares subject to an option to pay the option exercise price or to satisfy tax withholding requirements. This Policy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apply, however, to any sale of stock as part of a broker-assisted cashless exercise of an option, or any other market sale for the purpose of generating the cash needed to pay the exercise price of an option or tax withholding requirements associated with that exercise.</w:t>
      </w:r>
    </w:p>
    <w:p>
      <w:pPr>
        <w:spacing w:after="0" w:line="182" w:lineRule="exact"/>
        <w:rPr>
          <w:sz w:val="20"/>
          <w:szCs w:val="20"/>
          <w:color w:val="auto"/>
        </w:rPr>
      </w:pPr>
    </w:p>
    <w:p>
      <w:pPr>
        <w:ind w:left="9" w:right="80" w:firstLine="749"/>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restricted stock units (RSUs), or the exercise of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right pursuant to which you elect to have the Company withhold shares of stock to satisfy tax withholding requirements upon the vesting of any restricted stock or RSUs. The Policy does apply, however, to any market sale of restricted stock of Company Securities to satisfy such tax obligations.</w:t>
      </w:r>
    </w:p>
    <w:p>
      <w:pPr>
        <w:spacing w:after="0" w:line="180" w:lineRule="exact"/>
        <w:rPr>
          <w:sz w:val="20"/>
          <w:szCs w:val="20"/>
          <w:color w:val="auto"/>
        </w:rPr>
      </w:pPr>
    </w:p>
    <w:p>
      <w:pPr>
        <w:ind w:left="9" w:right="240" w:firstLine="74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subject to this Policy.</w:t>
      </w:r>
    </w:p>
    <w:p>
      <w:pPr>
        <w:spacing w:after="0" w:line="210" w:lineRule="exact"/>
        <w:rPr>
          <w:sz w:val="20"/>
          <w:szCs w:val="20"/>
          <w:color w:val="auto"/>
        </w:rPr>
      </w:pPr>
    </w:p>
    <w:p>
      <w:pPr>
        <w:ind w:left="529" w:hanging="529"/>
        <w:spacing w:after="0"/>
        <w:tabs>
          <w:tab w:leader="none" w:pos="529"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Not Involving a Purchase or Sale</w:t>
      </w:r>
    </w:p>
    <w:p>
      <w:pPr>
        <w:spacing w:after="0" w:line="270" w:lineRule="exact"/>
        <w:rPr>
          <w:sz w:val="20"/>
          <w:szCs w:val="20"/>
          <w:color w:val="auto"/>
        </w:rPr>
      </w:pPr>
    </w:p>
    <w:p>
      <w:pPr>
        <w:ind w:left="9" w:right="420"/>
        <w:spacing w:after="0" w:line="282" w:lineRule="auto"/>
        <w:rPr>
          <w:sz w:val="20"/>
          <w:szCs w:val="20"/>
          <w:color w:val="auto"/>
        </w:rPr>
      </w:pPr>
      <w:r>
        <w:rPr>
          <w:rFonts w:ascii="Times New Roman" w:cs="Times New Roman" w:eastAsia="Times New Roman" w:hAnsi="Times New Roman"/>
          <w:sz w:val="18"/>
          <w:szCs w:val="18"/>
          <w:color w:val="auto"/>
        </w:rPr>
        <w:t>Bona fide gifts of securities are not transactions subject to this Policy. Further, transactions in mutual funds that are invested in Company Securities are not transactions subject to this Policy.</w:t>
      </w:r>
    </w:p>
    <w:p>
      <w:pPr>
        <w:spacing w:after="0" w:line="158" w:lineRule="exact"/>
        <w:rPr>
          <w:sz w:val="20"/>
          <w:szCs w:val="20"/>
          <w:color w:val="auto"/>
        </w:rPr>
      </w:pPr>
    </w:p>
    <w:p>
      <w:pPr>
        <w:ind w:left="9"/>
        <w:spacing w:after="0"/>
        <w:tabs>
          <w:tab w:leader="none" w:pos="488"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u w:val="single" w:color="auto"/>
          <w:color w:val="auto"/>
        </w:rPr>
        <w:t>Special and Prohibited Transactions</w:t>
      </w:r>
    </w:p>
    <w:p>
      <w:pPr>
        <w:spacing w:after="0" w:line="270" w:lineRule="exact"/>
        <w:rPr>
          <w:sz w:val="20"/>
          <w:szCs w:val="20"/>
          <w:color w:val="auto"/>
        </w:rPr>
      </w:pPr>
    </w:p>
    <w:p>
      <w:pPr>
        <w:jc w:val="both"/>
        <w:ind w:left="9" w:right="160"/>
        <w:spacing w:after="0" w:line="257"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it is the Company’s policy that any persons covered by this Policy may not engage in any of the following transactions without the requisite consent and should consider the Company’s preferences as described below:</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473075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9"/>
          </w:cols>
          <w:pgMar w:left="431" w:top="985" w:right="419" w:bottom="1440" w:gutter="0" w:footer="0" w:header="0"/>
        </w:sectPr>
      </w:pPr>
    </w:p>
    <w:bookmarkStart w:id="149" w:name="page150"/>
    <w:bookmarkEnd w:id="149"/>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Short-Term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trading of Company Securities may be distracting to the person and may unduly focus the person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short-term stock market performance instead of the Company’s long-term business objectives. For these reasons, any director or executive officer of the Company who purchases or sells Company Securities in the open market, including the purchase or sale of publicly-traded puts or call options or other derivative options covering Company Securities may not engage in an opposite way open market transaction (i.e. a sell or purchase in Company Securities of the same class) during the six months following the original transaction. As noted below, directors and executive officers are also required to file reports with the Securities and Exchange Commission concerning their transactions in Company securities.</w:t>
      </w:r>
    </w:p>
    <w:p>
      <w:pPr>
        <w:spacing w:after="0" w:line="18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Short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sales of Company Securities (i.e., the sale of a security that the seller does not own) may evidence an expectation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except with the prior written consent of the Designated Trading Officer (or, with respect to the Designated Trading Officer or Chief Executive Officer (each as defined below), by the Chairperson of the Audit Committee). In addition, Section 16(c) of the Exchange Act generally prohibits officers and directors from engaging in short sales. (Short sales arising from certain types of hedging transactions are governed by the paragraph below captioned “Hedging Transactions.”)</w:t>
      </w:r>
    </w:p>
    <w:p>
      <w:pPr>
        <w:spacing w:after="0" w:line="196"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Publicly-Traded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the relatively short term of publicly-traded options, transactions in options may create the appearance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director, officer, or employee is trading based on material nonpublic information and may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except with the prior written consent of the Designated Trading Officer (or, with respect to the Designated Trading Officer or Chief Executive Officer (each as defined below), by the Chairperson of the Audit Committee). If you wish to engage is any such derivative securities transaction you must first submit the proposed transaction for approval by the Designated Trading Officer (or the Chairperson of the Audit Committee) at least two weeks prior to the proposed transaction and give a justification for the proposed transaction in that pre-clearance submission. (Option positions arising from certain types of hedging transactions are governed by the next paragraph below.)</w:t>
      </w:r>
    </w:p>
    <w:p>
      <w:pPr>
        <w:spacing w:after="0" w:line="188"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Hedging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or monetization transactions can be accomplished through a number of possible mechanisms,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use of financial instruments such as prepaid variable forwards, equity swaps, collars and exchange funds. Such hedging transactions may permit a person to continue to own Company Securities obtained through employee benefit plans or otherwise, but without the full risks and rewards of ownership. When that occurs, the director, officer or employee may no longer have the same objectives as the Company’s other shareholders. Directors and officers may only engage in any such transactions with the prior written consent of the Designated Trading Officer (or, with respect to the Designated Trading Officer or Chief Executive Officer (each as defined below), by the Chairperson of the Audit Committee). Any person wishing to enter into such an arrangement must first submit the proposed transaction for approval by the Designated Trading Officer (or, as applicable, by the Chairperson of the Audit Committee) at least two weeks prior to the proposed transaction and must set forth a justification for the proposed transaction as part of that request.</w:t>
      </w:r>
    </w:p>
    <w:p>
      <w:pPr>
        <w:spacing w:after="0" w:line="18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Margin Accounts and Pledged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in a margin account as collateral for a margin loan may be sold by the broker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customer’s consent if the customer fails to meet a margin call. Similarly, securities pledged (or hypothecated) as collateral for a loan may be sold in foreclosure if the borrower defaults on the loan. In the event a margin sale or foreclosure sale occurs at a time when the pledgor is aware of material nonpublic information or otherwise is not permitted to trade in Company Securities, directors and officers may only hold Company Securities in a margin account or otherwise pledge Company Securities as collateral for a loan with the prior written consent of the Designated Trading Officer (or, with respect to the Designated Trading Officer or Chief Executive Officer (each as defined below), by the Chairperson of the Audit Committee). (Pledges of Company Securities arising from certain types of hedging transactions are governed by the paragraph above captioned “Hedging Transactions.”)</w:t>
      </w:r>
    </w:p>
    <w:p>
      <w:pPr>
        <w:spacing w:after="0" w:line="18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Broker Standing and Limit Orders.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and limit orders (except standing and limit orders under approved Rule 10b5-1 Plans,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w:t>
      </w:r>
    </w:p>
    <w:p>
      <w:pPr>
        <w:spacing w:after="0" w:line="1"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material nonpublic information. The Company therefore discourages placing standing or limit orders on Company Securities other than under a Rule 10b5-1 Plan. If a person subject to this Policy determines that they must use a standing order or limit order that is not part of a 10b5-1 Plan, the order should be limited to short duration and should otherwise comply with the restrictions and procedures outlined below under the heading “Additional Procedures.”</w:t>
      </w:r>
    </w:p>
    <w:p>
      <w:pPr>
        <w:spacing w:after="0" w:line="1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u w:val="single" w:color="auto"/>
          <w:color w:val="auto"/>
        </w:rPr>
        <w:t>Additional Procedures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473075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199" w:right="419" w:bottom="1440" w:gutter="0" w:footer="0" w:header="0"/>
        </w:sectPr>
      </w:pPr>
    </w:p>
    <w:bookmarkStart w:id="150" w:name="page151"/>
    <w:bookmarkEnd w:id="150"/>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Pre-Clearance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All executive officers subject to Section 16(a) of the Exchange Act, the corporate controller, the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financial planning and analysis, and employees at the vice-president level and higher, and any other employee the Designated Trading Officer advises is subject to this Policy, as well as the Family Members and Controlled Entities of such persons, may not engage in any transaction in Company Securities without first obtaining pre-clearance of the transaction from the Designated Trading Officer </w:t>
      </w:r>
      <w:r>
        <w:rPr>
          <w:rFonts w:ascii="Times New Roman" w:cs="Times New Roman" w:eastAsia="Times New Roman" w:hAnsi="Times New Roman"/>
          <w:sz w:val="18"/>
          <w:szCs w:val="18"/>
          <w:color w:val="auto"/>
        </w:rPr>
        <w:t>(or, if such person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Trading Officer or Chief Executive Officer or their respective Controlled Entity or Family Member, then by the Chairperson of the Audit Committee). A request for pre-clearance should be submitted to the Designated Trading Officer, or, as applicable, to the Chairperson of the Audit Committee, at least two business days in advance of the proposed transaction. The Designated Trading Officer (or, as applicable, to the Chairperson of the Audit Committee), is under no obligation to approve a transaction submitted for pre-clearance and may determine there are reasons not to permit the transaction. If a person seeks pre-clearance and permission to engage in the transaction is denied, then they should refrain from initiating any transaction in Company Securities, and should not inform any other person of the restriction.</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you should carefully consider whether you are aware of any material nonpublic information about the Company and should describe fully those circumstances to the Designated Trading Officer (or, as applicable, to the Chairperson of the Audit Committee). If you are a director or executive officer, you should also indicate whether the requestor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81"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Quarterly Trading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executive officers subject to Section 16(a) of the Exchange Act, the corporate controller,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financial planning and analysis, and employees at the vice-president level and higher, and any other employee designated by the Designated Trading Officer, as well as the Family Members and Controlled Entities of such persons, may not conduct any transactions involving the Company’s Securities (other than as specified by this Policy), during any regular or special “blackout period”. The Company’s regular blackout period begins fifteen days prior to the end of each fiscal quarter and ends after the second business day following the date of the public release of the Company’s earnings results for that quarter. In other words, these persons may only conduct transactions in Company Securities during the “</w:t>
      </w:r>
      <w:r>
        <w:rPr>
          <w:rFonts w:ascii="Times New Roman" w:cs="Times New Roman" w:eastAsia="Times New Roman" w:hAnsi="Times New Roman"/>
          <w:sz w:val="18"/>
          <w:szCs w:val="18"/>
          <w:u w:val="single" w:color="auto"/>
          <w:color w:val="auto"/>
        </w:rPr>
        <w:t>Window Period</w:t>
      </w:r>
      <w:r>
        <w:rPr>
          <w:rFonts w:ascii="Times New Roman" w:cs="Times New Roman" w:eastAsia="Times New Roman" w:hAnsi="Times New Roman"/>
          <w:sz w:val="18"/>
          <w:szCs w:val="18"/>
          <w:color w:val="auto"/>
        </w:rPr>
        <w:t>” beginning on the third business day following the public release of the Company’s quarterly earnings and ending 15 days prior to the close of the next fiscal quarter.</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certain very limited circumstances, a person subject to this restriction may be permitted to trade during a blackout period, but only if the Designated Trading Officer (or, if such person is the Designated Trading Officer or Chief Executive Officer, then by the Chairperson of the Audit Committee) concludes that the person does not in fact possess material nonpublic information. Persons wishing to trade during a blackout period must contact the Designated Trading Officer (or, as applicable, to the Chairperson of the Audit Committee) for approval at least two business days in advance of any proposed transaction involving Company Securities.</w:t>
      </w:r>
    </w:p>
    <w:p>
      <w:pPr>
        <w:spacing w:after="0" w:line="18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Trading Restriction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 event may occur that is material to the Company and is known by only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few directors, officers and/or employees. So long as the event remains material and nonpublic, persons designated by the Designated Trading Officer may not trade Company Securities. In addition, the Company’s financial results may be sufficiently material in a particular fiscal quarter that, in the judgment of the Designated Trading Officer, designated persons should refrain from trading in Company Securities even sooner than the typical blackout period described above. In that situation, the Designated Trading Officer may notify these persons that they should not trade in the Company’s Securities, without disclosing the reason for the restriction. The existence of an event-specific trading restriction period or extension of a blackout period will not be announced generally within the Company as a whole, and those persons subject to the event-specific blackout should not communicate its existence to any other person. Even if the Designated Trading Officer has not designated you as a person who should not trade due to an event-specific restriction, you should not trade while aware of material nonpublic information.</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quarterly trading restrictions and event-driven trading restrictions do not apply to those transactions to which this Policy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apply, as described above under the headings “Transactions Under Company Plans” and “Transactions Not Involving a Purchase or Sale.” Further, the requirement for pre-clearance, the quarterly trading restrictions and event- driven trading restrictions do not apply to transactions conducted pursuant to approved Rule 10b5-1 plans, described under the heading “Rule 10b5-1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XIII.  </w:t>
      </w:r>
      <w:r>
        <w:rPr>
          <w:rFonts w:ascii="Times New Roman" w:cs="Times New Roman" w:eastAsia="Times New Roman" w:hAnsi="Times New Roman"/>
          <w:sz w:val="18"/>
          <w:szCs w:val="18"/>
          <w:b w:val="1"/>
          <w:bCs w:val="1"/>
          <w:u w:val="single" w:color="auto"/>
          <w:color w:val="auto"/>
        </w:rPr>
        <w:t>Rule 10b5-1 Plans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42" w:right="439" w:bottom="1440" w:gutter="0" w:footer="0" w:header="0"/>
        </w:sectPr>
      </w:pPr>
    </w:p>
    <w:bookmarkStart w:id="151" w:name="page152"/>
    <w:bookmarkEnd w:id="151"/>
    <w:p>
      <w:pPr>
        <w:spacing w:after="0" w:line="272" w:lineRule="auto"/>
        <w:rPr>
          <w:sz w:val="20"/>
          <w:szCs w:val="20"/>
          <w:color w:val="auto"/>
        </w:rPr>
      </w:pPr>
      <w:r>
        <w:rPr>
          <w:rFonts w:ascii="Times New Roman" w:cs="Times New Roman" w:eastAsia="Times New Roman" w:hAnsi="Times New Roman"/>
          <w:sz w:val="17"/>
          <w:szCs w:val="17"/>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7"/>
          <w:szCs w:val="17"/>
          <w:u w:val="single" w:color="auto"/>
          <w:color w:val="auto"/>
        </w:rPr>
        <w:t>Rule 10b5-1 Plan</w:t>
      </w:r>
      <w:r>
        <w:rPr>
          <w:rFonts w:ascii="Times New Roman" w:cs="Times New Roman" w:eastAsia="Times New Roman" w:hAnsi="Times New Roman"/>
          <w:sz w:val="17"/>
          <w:szCs w:val="17"/>
          <w:color w:val="auto"/>
        </w:rPr>
        <w:t>”). If the plan meets the requirements of Rule 10b5-1, Company Securities may be purchased or sold without regard to certain insider trading restrictions. To comply with the Policy, a Rule 10b5-1 Plan must be pre-cleared by the Designated Trading Officer (or, as applicable, to the Chairperson of the Audit Committee) and meet the requirements of Rule 10b5-1 and the Company’s guidelines set forth herein.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7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If you decide to use a Rule 10b5-1 Plan, the Plan must be approved by the Designated Trading Officer (or, as applicable, to the Chairperson of the Audit Committee) and meet the requirements of Rule 10b5-1 and the following guidelines. Any Rule 10b5-1 Plan must be submitted by you to the Designated Trading Officer (or, as applicable, to the Chairperson of the Audit Committee) for pre-clearance five days prior to your entry into the Rule 10b5-1 Plan. No further pre-approval of transactions conducted pursuant to the Rule 10b5-1 Plan will be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any Rule 10b5-1 Plans you enter into covering the Company Securities:</w:t>
      </w:r>
    </w:p>
    <w:p>
      <w:pPr>
        <w:spacing w:after="0" w:line="347" w:lineRule="exact"/>
        <w:rPr>
          <w:sz w:val="20"/>
          <w:szCs w:val="20"/>
          <w:color w:val="auto"/>
        </w:rPr>
      </w:pPr>
    </w:p>
    <w:p>
      <w:pPr>
        <w:ind w:left="900" w:right="600" w:hanging="50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trading program during a blackout period or while in possession of material nonpublic information;</w:t>
      </w:r>
    </w:p>
    <w:p>
      <w:pPr>
        <w:spacing w:after="0" w:line="53"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6 months and no more than 2 years;</w:t>
      </w:r>
    </w:p>
    <w:p>
      <w:pPr>
        <w:spacing w:after="0" w:line="11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you must wait at least 30 days before trading outside of the Rule 10b5-1 Plan;</w:t>
      </w:r>
    </w:p>
    <w:p>
      <w:pPr>
        <w:spacing w:after="0" w:line="117" w:lineRule="exact"/>
        <w:rPr>
          <w:rFonts w:ascii="Times New Roman" w:cs="Times New Roman" w:eastAsia="Times New Roman" w:hAnsi="Times New Roman"/>
          <w:sz w:val="18"/>
          <w:szCs w:val="18"/>
          <w:color w:val="auto"/>
        </w:rPr>
      </w:pPr>
    </w:p>
    <w:p>
      <w:pPr>
        <w:ind w:left="900" w:right="120" w:hanging="50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trading program is terminated, you must wait until the commencement of the next Window Period (as defined below) before a new Rule 10b5-1 plan may be adopted; and</w:t>
      </w:r>
    </w:p>
    <w:p>
      <w:pPr>
        <w:spacing w:after="0" w:line="53" w:lineRule="exact"/>
        <w:rPr>
          <w:rFonts w:ascii="Times New Roman" w:cs="Times New Roman" w:eastAsia="Times New Roman" w:hAnsi="Times New Roman"/>
          <w:sz w:val="18"/>
          <w:szCs w:val="18"/>
          <w:color w:val="auto"/>
        </w:rPr>
      </w:pPr>
    </w:p>
    <w:p>
      <w:pPr>
        <w:ind w:left="900" w:right="20" w:hanging="50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commence sales under a trading program until the expiration of a “cooling off period,” as designated by the Designated Trading Officer, or as applicable, the Chairperson of the Audit Committee.</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You should understand that pre-clearance or adoption of a preplanned selling program under Rule 10b5-1 in no way reduces or eliminates such person’s obligations under Section 16 of the Exchange Act, including such person’s disclosure and short-swing trading liabilities thereunder. If any questions arise, you should consult with your own counsel in implementing a Rule 10b5-1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XIV.  </w:t>
      </w:r>
      <w:r>
        <w:rPr>
          <w:rFonts w:ascii="Times New Roman" w:cs="Times New Roman" w:eastAsia="Times New Roman" w:hAnsi="Times New Roman"/>
          <w:sz w:val="18"/>
          <w:szCs w:val="18"/>
          <w:b w:val="1"/>
          <w:bCs w:val="1"/>
          <w:u w:val="single" w:color="auto"/>
          <w:color w:val="auto"/>
        </w:rPr>
        <w:t>Post-Termination Transactions</w:t>
      </w:r>
    </w:p>
    <w:p>
      <w:pPr>
        <w:spacing w:after="0" w:line="27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you are in possession of material nonpublic information when your service terminates, you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u w:val="single" w:color="auto"/>
          <w:color w:val="auto"/>
        </w:rPr>
        <w:t>Consequences of Violations</w:t>
      </w:r>
    </w:p>
    <w:p>
      <w:pPr>
        <w:spacing w:after="0" w:line="27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and, if applicable, by government agencies in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7"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012"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 xml:space="preserve">XVI.  </w:t>
      </w:r>
      <w:r>
        <w:rPr>
          <w:rFonts w:ascii="Times New Roman" w:cs="Times New Roman" w:eastAsia="Times New Roman" w:hAnsi="Times New Roman"/>
          <w:sz w:val="18"/>
          <w:szCs w:val="18"/>
          <w:b w:val="1"/>
          <w:bCs w:val="1"/>
          <w:u w:val="single" w:color="auto"/>
          <w:color w:val="auto"/>
        </w:rPr>
        <w:t>Company Assistance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Policy or its application to any proposed transaction you may obtain additional guidance from the Designated Trading Officer, who can be reached by telephone at (626) 350-0537 or by e-mail at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XVII. </w:t>
      </w:r>
      <w:r>
        <w:rPr>
          <w:rFonts w:ascii="Times New Roman" w:cs="Times New Roman" w:eastAsia="Times New Roman" w:hAnsi="Times New Roman"/>
          <w:sz w:val="18"/>
          <w:szCs w:val="18"/>
          <w:b w:val="1"/>
          <w:bCs w:val="1"/>
          <w:u w:val="single" w:color="auto"/>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must certify your understanding of, and intent to comply with, this Policy as provided on the following page.</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473075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440" w:top="981" w:right="8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62"/>
        </w:trPr>
        <w:tc>
          <w:tcPr>
            <w:tcW w:w="336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2"/>
          </w:tcPr>
          <w:p>
            <w:pPr>
              <w:ind w:left="156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c>
          <w:tcPr>
            <w:tcW w:w="0" w:type="dxa"/>
            <w:vAlign w:val="bottom"/>
          </w:tcPr>
          <w:p>
            <w:pPr>
              <w:spacing w:after="0"/>
              <w:rPr>
                <w:sz w:val="1"/>
                <w:szCs w:val="1"/>
                <w:color w:val="auto"/>
              </w:rPr>
            </w:pPr>
          </w:p>
        </w:tc>
      </w:tr>
      <w:tr>
        <w:trPr>
          <w:trHeight w:val="628"/>
        </w:trPr>
        <w:tc>
          <w:tcPr>
            <w:tcW w:w="3360" w:type="dxa"/>
            <w:vAlign w:val="bottom"/>
          </w:tcPr>
          <w:p>
            <w:pPr>
              <w:spacing w:after="0"/>
              <w:rPr>
                <w:sz w:val="24"/>
                <w:szCs w:val="24"/>
                <w:color w:val="auto"/>
              </w:rPr>
            </w:pPr>
          </w:p>
        </w:tc>
        <w:tc>
          <w:tcPr>
            <w:tcW w:w="79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SUBSIDIARIES OF FULGENT GENETICS, INC.</w:t>
            </w:r>
          </w:p>
        </w:tc>
        <w:tc>
          <w:tcPr>
            <w:tcW w:w="0" w:type="dxa"/>
            <w:vAlign w:val="bottom"/>
          </w:tcPr>
          <w:p>
            <w:pPr>
              <w:spacing w:after="0"/>
              <w:rPr>
                <w:sz w:val="1"/>
                <w:szCs w:val="1"/>
                <w:color w:val="auto"/>
              </w:rPr>
            </w:pPr>
          </w:p>
        </w:tc>
      </w:tr>
      <w:tr>
        <w:trPr>
          <w:trHeight w:val="799"/>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87"/>
        </w:trPr>
        <w:tc>
          <w:tcPr>
            <w:tcW w:w="3360" w:type="dxa"/>
            <w:vAlign w:val="bottom"/>
            <w:vMerge w:val="continue"/>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Fulgent Therapeutics LLC</w:t>
            </w:r>
          </w:p>
        </w:tc>
        <w:tc>
          <w:tcPr>
            <w:tcW w:w="5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Investment Development Limited</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Cytometry Specialists, Inc.</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 Diagnostics, Inc</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Pharma Holdings, Inc.</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Australia Pty Ltd</w:t>
            </w: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1627"/>
        </w:trPr>
        <w:tc>
          <w:tcPr>
            <w:tcW w:w="3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333-272048, 333-270135, 333-248962 and 333-213912 on Form S-8 of our reports dated February 28, 2025, relating to the financial statements of Fulgent Genetics, Inc. and effectiveness of Fulgent Genetics, Inc.’s internal control over financial reporting appearing in this Annual Report on Form 10-K for the year ended December 31,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11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2025</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117"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 's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2025</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2024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72"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41"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lowerRoman"/>
      <w:start w:val="2"/>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lvl w:ilvl="1">
      <w:lvlJc w:val="left"/>
      <w:lvlText w:val="o"/>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upperLetter"/>
      <w:start w:val="9"/>
    </w:lvl>
  </w:abstractNum>
  <w:abstractNum w:abstractNumId="52">
    <w:nsid w:val="235BA861"/>
    <w:multiLevelType w:val="hybridMultilevel"/>
    <w:lvl w:ilvl="0">
      <w:lvlJc w:val="left"/>
      <w:lvlText w:val="%1."/>
      <w:numFmt w:val="upperLetter"/>
      <w:start w:val="35"/>
    </w:lvl>
  </w:abstractNum>
  <w:abstractNum w:abstractNumId="53">
    <w:nsid w:val="47398C89"/>
    <w:multiLevelType w:val="hybridMultilevel"/>
    <w:lvl w:ilvl="0">
      <w:lvlJc w:val="left"/>
      <w:lvlText w:val="%1."/>
      <w:numFmt w:val="upperLetter"/>
      <w:start w:val="61"/>
    </w:lvl>
  </w:abstractNum>
  <w:abstractNum w:abstractNumId="54">
    <w:nsid w:val="354FE9F9"/>
    <w:multiLevelType w:val="hybridMultilevel"/>
    <w:lvl w:ilvl="0">
      <w:lvlJc w:val="left"/>
      <w:lvlText w:val="%1."/>
      <w:numFmt w:val="upperLetter"/>
      <w:start w:val="22"/>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upperLetter"/>
      <w:start w:val="24"/>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82" Type="http://schemas.openxmlformats.org/officeDocument/2006/relationships/image" Target="media/image150.png"/><Relationship Id="rId204"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69" Type="http://schemas.openxmlformats.org/officeDocument/2006/relationships/image" Target="media/image315.png"/><Relationship Id="rId370" Type="http://schemas.openxmlformats.org/officeDocument/2006/relationships/image" Target="media/image316.png"/><Relationship Id="rId371" Type="http://schemas.openxmlformats.org/officeDocument/2006/relationships/image" Target="media/image317.png"/><Relationship Id="rId372" Type="http://schemas.openxmlformats.org/officeDocument/2006/relationships/image" Target="media/image318.png"/><Relationship Id="rId373" Type="http://schemas.openxmlformats.org/officeDocument/2006/relationships/image" Target="media/image319.png"/><Relationship Id="rId374" Type="http://schemas.openxmlformats.org/officeDocument/2006/relationships/image" Target="media/image320.png"/><Relationship Id="rId375" Type="http://schemas.openxmlformats.org/officeDocument/2006/relationships/image" Target="media/image321.png"/><Relationship Id="rId376" Type="http://schemas.openxmlformats.org/officeDocument/2006/relationships/image" Target="media/image322.png"/><Relationship Id="rId377" Type="http://schemas.openxmlformats.org/officeDocument/2006/relationships/image" Target="media/image323.png"/><Relationship Id="rId378" Type="http://schemas.openxmlformats.org/officeDocument/2006/relationships/image" Target="media/image324.png"/><Relationship Id="rId379" Type="http://schemas.openxmlformats.org/officeDocument/2006/relationships/image" Target="media/image325.png"/><Relationship Id="rId380" Type="http://schemas.openxmlformats.org/officeDocument/2006/relationships/image" Target="media/image326.png"/><Relationship Id="rId381" Type="http://schemas.openxmlformats.org/officeDocument/2006/relationships/image" Target="media/image327.png"/><Relationship Id="rId382" Type="http://schemas.openxmlformats.org/officeDocument/2006/relationships/image" Target="media/image328.png"/><Relationship Id="rId383" Type="http://schemas.openxmlformats.org/officeDocument/2006/relationships/image" Target="media/image329.png"/><Relationship Id="rId384" Type="http://schemas.openxmlformats.org/officeDocument/2006/relationships/image" Target="media/image330.png"/><Relationship Id="rId385" Type="http://schemas.openxmlformats.org/officeDocument/2006/relationships/image" Target="media/image331.png"/><Relationship Id="rId386"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pn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418" Type="http://schemas.openxmlformats.org/officeDocument/2006/relationships/image" Target="media/image364.png"/><Relationship Id="rId419" Type="http://schemas.openxmlformats.org/officeDocument/2006/relationships/image" Target="media/image365.png"/><Relationship Id="rId420" Type="http://schemas.openxmlformats.org/officeDocument/2006/relationships/image" Target="media/image366.png"/><Relationship Id="rId421" Type="http://schemas.openxmlformats.org/officeDocument/2006/relationships/image" Target="media/image367.png"/><Relationship Id="rId422" Type="http://schemas.openxmlformats.org/officeDocument/2006/relationships/image" Target="media/image368.png"/><Relationship Id="rId423" Type="http://schemas.openxmlformats.org/officeDocument/2006/relationships/image" Target="media/image369.png"/><Relationship Id="rId424" Type="http://schemas.openxmlformats.org/officeDocument/2006/relationships/image" Target="media/image370.png"/><Relationship Id="rId425" Type="http://schemas.openxmlformats.org/officeDocument/2006/relationships/image" Target="media/image371.png"/><Relationship Id="rId426" Type="http://schemas.openxmlformats.org/officeDocument/2006/relationships/image" Target="media/image372.png"/><Relationship Id="rId427" Type="http://schemas.openxmlformats.org/officeDocument/2006/relationships/image" Target="media/image373.png"/><Relationship Id="rId428" Type="http://schemas.openxmlformats.org/officeDocument/2006/relationships/image" Target="media/image374.png"/><Relationship Id="rId429" Type="http://schemas.openxmlformats.org/officeDocument/2006/relationships/image" Target="media/image375.png"/><Relationship Id="rId430" Type="http://schemas.openxmlformats.org/officeDocument/2006/relationships/image" Target="media/image376.png"/><Relationship Id="rId431" Type="http://schemas.openxmlformats.org/officeDocument/2006/relationships/image" Target="media/image377.png"/><Relationship Id="rId432" Type="http://schemas.openxmlformats.org/officeDocument/2006/relationships/image" Target="media/image378.png"/><Relationship Id="rId433" Type="http://schemas.openxmlformats.org/officeDocument/2006/relationships/image" Target="media/image379.png"/><Relationship Id="rId434" Type="http://schemas.openxmlformats.org/officeDocument/2006/relationships/image" Target="media/image380.png"/><Relationship Id="rId435" Type="http://schemas.openxmlformats.org/officeDocument/2006/relationships/image" Target="media/image381.png"/><Relationship Id="rId436" Type="http://schemas.openxmlformats.org/officeDocument/2006/relationships/image" Target="media/image382.png"/><Relationship Id="rId437" Type="http://schemas.openxmlformats.org/officeDocument/2006/relationships/image" Target="media/image383.png"/><Relationship Id="rId438" Type="http://schemas.openxmlformats.org/officeDocument/2006/relationships/image" Target="media/image384.png"/><Relationship Id="rId439" Type="http://schemas.openxmlformats.org/officeDocument/2006/relationships/image" Target="media/image385.png"/><Relationship Id="rId440" Type="http://schemas.openxmlformats.org/officeDocument/2006/relationships/image" Target="media/image386.png"/><Relationship Id="rId441" Type="http://schemas.openxmlformats.org/officeDocument/2006/relationships/image" Target="media/image387.png"/><Relationship Id="rId442" Type="http://schemas.openxmlformats.org/officeDocument/2006/relationships/image" Target="media/image388.png"/><Relationship Id="rId443" Type="http://schemas.openxmlformats.org/officeDocument/2006/relationships/image" Target="media/image389.png"/><Relationship Id="rId444" Type="http://schemas.openxmlformats.org/officeDocument/2006/relationships/image" Target="media/image390.png"/><Relationship Id="rId445" Type="http://schemas.openxmlformats.org/officeDocument/2006/relationships/image" Target="media/image391.png"/><Relationship Id="rId446" Type="http://schemas.openxmlformats.org/officeDocument/2006/relationships/image" Target="media/image392.png"/><Relationship Id="rId447" Type="http://schemas.openxmlformats.org/officeDocument/2006/relationships/image" Target="media/image393.png"/><Relationship Id="rId448" Type="http://schemas.openxmlformats.org/officeDocument/2006/relationships/image" Target="media/image394.png"/><Relationship Id="rId449" Type="http://schemas.openxmlformats.org/officeDocument/2006/relationships/image" Target="media/image395.png"/><Relationship Id="rId450" Type="http://schemas.openxmlformats.org/officeDocument/2006/relationships/image" Target="media/image396.png"/><Relationship Id="rId451" Type="http://schemas.openxmlformats.org/officeDocument/2006/relationships/image" Target="media/image397.png"/><Relationship Id="rId452" Type="http://schemas.openxmlformats.org/officeDocument/2006/relationships/image" Target="media/image398.png"/><Relationship Id="rId453" Type="http://schemas.openxmlformats.org/officeDocument/2006/relationships/image" Target="media/image399.png"/><Relationship Id="rId454" Type="http://schemas.openxmlformats.org/officeDocument/2006/relationships/image" Target="media/image400.png"/><Relationship Id="rId455" Type="http://schemas.openxmlformats.org/officeDocument/2006/relationships/image" Target="media/image401.png"/><Relationship Id="rId456" Type="http://schemas.openxmlformats.org/officeDocument/2006/relationships/image" Target="media/image402.png"/><Relationship Id="rId457" Type="http://schemas.openxmlformats.org/officeDocument/2006/relationships/image" Target="media/image403.png"/><Relationship Id="rId458" Type="http://schemas.openxmlformats.org/officeDocument/2006/relationships/image" Target="media/image404.png"/><Relationship Id="rId459" Type="http://schemas.openxmlformats.org/officeDocument/2006/relationships/image" Target="media/image405.png"/><Relationship Id="rId460" Type="http://schemas.openxmlformats.org/officeDocument/2006/relationships/image" Target="media/image406.png"/><Relationship Id="rId461" Type="http://schemas.openxmlformats.org/officeDocument/2006/relationships/image" Target="media/image407.png"/><Relationship Id="rId462" Type="http://schemas.openxmlformats.org/officeDocument/2006/relationships/image" Target="media/image408.png"/><Relationship Id="rId463" Type="http://schemas.openxmlformats.org/officeDocument/2006/relationships/image" Target="media/image409.png"/><Relationship Id="rId464" Type="http://schemas.openxmlformats.org/officeDocument/2006/relationships/image" Target="media/image410.png"/><Relationship Id="rId465" Type="http://schemas.openxmlformats.org/officeDocument/2006/relationships/image" Target="media/image411.png"/><Relationship Id="rId466" Type="http://schemas.openxmlformats.org/officeDocument/2006/relationships/image" Target="media/image412.png"/><Relationship Id="rId467" Type="http://schemas.openxmlformats.org/officeDocument/2006/relationships/image" Target="media/image413.png"/><Relationship Id="rId468" Type="http://schemas.openxmlformats.org/officeDocument/2006/relationships/image" Target="media/image414.png"/><Relationship Id="rId469" Type="http://schemas.openxmlformats.org/officeDocument/2006/relationships/image" Target="media/image415.png"/><Relationship Id="rId470" Type="http://schemas.openxmlformats.org/officeDocument/2006/relationships/image" Target="media/image416.png"/><Relationship Id="rId471" Type="http://schemas.openxmlformats.org/officeDocument/2006/relationships/image" Target="media/image417.png"/><Relationship Id="rId472" Type="http://schemas.openxmlformats.org/officeDocument/2006/relationships/image" Target="media/image418.png"/><Relationship Id="rId473" Type="http://schemas.openxmlformats.org/officeDocument/2006/relationships/image" Target="media/image419.png"/><Relationship Id="rId474" Type="http://schemas.openxmlformats.org/officeDocument/2006/relationships/image" Target="media/image420.png"/><Relationship Id="rId475" Type="http://schemas.openxmlformats.org/officeDocument/2006/relationships/image" Target="media/image421.png"/><Relationship Id="rId476" Type="http://schemas.openxmlformats.org/officeDocument/2006/relationships/image" Target="media/image422.png"/><Relationship Id="rId477" Type="http://schemas.openxmlformats.org/officeDocument/2006/relationships/image" Target="media/image423.png"/><Relationship Id="rId478" Type="http://schemas.openxmlformats.org/officeDocument/2006/relationships/image" Target="media/image424.png"/><Relationship Id="rId479" Type="http://schemas.openxmlformats.org/officeDocument/2006/relationships/image" Target="media/image425.png"/><Relationship Id="rId480" Type="http://schemas.openxmlformats.org/officeDocument/2006/relationships/image" Target="media/image426.png"/><Relationship Id="rId481" Type="http://schemas.openxmlformats.org/officeDocument/2006/relationships/image" Target="media/image427.png"/><Relationship Id="rId482" Type="http://schemas.openxmlformats.org/officeDocument/2006/relationships/image" Target="media/image428.png"/><Relationship Id="rId483" Type="http://schemas.openxmlformats.org/officeDocument/2006/relationships/image" Target="media/image429.png"/><Relationship Id="rId484" Type="http://schemas.openxmlformats.org/officeDocument/2006/relationships/image" Target="media/image430.png"/><Relationship Id="rId485" Type="http://schemas.openxmlformats.org/officeDocument/2006/relationships/image" Target="media/image431.png"/><Relationship Id="rId486" Type="http://schemas.openxmlformats.org/officeDocument/2006/relationships/image" Target="media/image432.png"/><Relationship Id="rId487" Type="http://schemas.openxmlformats.org/officeDocument/2006/relationships/image" Target="media/image433.png"/><Relationship Id="rId488" Type="http://schemas.openxmlformats.org/officeDocument/2006/relationships/image" Target="media/image434.png"/><Relationship Id="rId489" Type="http://schemas.openxmlformats.org/officeDocument/2006/relationships/image" Target="media/image435.png"/><Relationship Id="rId490" Type="http://schemas.openxmlformats.org/officeDocument/2006/relationships/image" Target="media/image436.png"/><Relationship Id="rId491" Type="http://schemas.openxmlformats.org/officeDocument/2006/relationships/image" Target="media/image437.png"/><Relationship Id="rId492" Type="http://schemas.openxmlformats.org/officeDocument/2006/relationships/image" Target="media/image438.png"/><Relationship Id="rId493" Type="http://schemas.openxmlformats.org/officeDocument/2006/relationships/image" Target="media/image439.png"/><Relationship Id="rId494" Type="http://schemas.openxmlformats.org/officeDocument/2006/relationships/image" Target="media/image440.png"/><Relationship Id="rId495" Type="http://schemas.openxmlformats.org/officeDocument/2006/relationships/image" Target="media/image441.png"/><Relationship Id="rId496" Type="http://schemas.openxmlformats.org/officeDocument/2006/relationships/image" Target="media/image442.png"/><Relationship Id="rId497" Type="http://schemas.openxmlformats.org/officeDocument/2006/relationships/image" Target="media/image443.png"/><Relationship Id="rId498" Type="http://schemas.openxmlformats.org/officeDocument/2006/relationships/image" Target="media/image444.png"/><Relationship Id="rId499" Type="http://schemas.openxmlformats.org/officeDocument/2006/relationships/image" Target="media/image445.png"/><Relationship Id="rId500" Type="http://schemas.openxmlformats.org/officeDocument/2006/relationships/image" Target="media/image446.png"/><Relationship Id="rId501" Type="http://schemas.openxmlformats.org/officeDocument/2006/relationships/image" Target="media/image447.png"/><Relationship Id="rId502" Type="http://schemas.openxmlformats.org/officeDocument/2006/relationships/image" Target="media/image448.png"/><Relationship Id="rId503" Type="http://schemas.openxmlformats.org/officeDocument/2006/relationships/image" Target="media/image449.png"/><Relationship Id="rId504" Type="http://schemas.openxmlformats.org/officeDocument/2006/relationships/image" Target="media/image450.png"/><Relationship Id="rId505" Type="http://schemas.openxmlformats.org/officeDocument/2006/relationships/image" Target="media/image451.png"/><Relationship Id="rId506" Type="http://schemas.openxmlformats.org/officeDocument/2006/relationships/image" Target="media/image452.png"/><Relationship Id="rId507" Type="http://schemas.openxmlformats.org/officeDocument/2006/relationships/image" Target="media/image453.png"/><Relationship Id="rId508" Type="http://schemas.openxmlformats.org/officeDocument/2006/relationships/image" Target="media/image454.png"/><Relationship Id="rId509" Type="http://schemas.openxmlformats.org/officeDocument/2006/relationships/image" Target="media/image455.png"/><Relationship Id="rId510" Type="http://schemas.openxmlformats.org/officeDocument/2006/relationships/image" Target="media/image456.png"/><Relationship Id="rId511" Type="http://schemas.openxmlformats.org/officeDocument/2006/relationships/image" Target="media/image457.png"/><Relationship Id="rId512" Type="http://schemas.openxmlformats.org/officeDocument/2006/relationships/image" Target="media/image458.png"/><Relationship Id="rId513" Type="http://schemas.openxmlformats.org/officeDocument/2006/relationships/image" Target="media/image459.png"/><Relationship Id="rId514" Type="http://schemas.openxmlformats.org/officeDocument/2006/relationships/image" Target="media/image460.png"/><Relationship Id="rId515" Type="http://schemas.openxmlformats.org/officeDocument/2006/relationships/image" Target="media/image461.png"/><Relationship Id="rId516" Type="http://schemas.openxmlformats.org/officeDocument/2006/relationships/image" Target="media/image462.png"/><Relationship Id="rId517" Type="http://schemas.openxmlformats.org/officeDocument/2006/relationships/image" Target="media/image463.png"/><Relationship Id="rId518" Type="http://schemas.openxmlformats.org/officeDocument/2006/relationships/image" Target="media/image464.png"/><Relationship Id="rId519" Type="http://schemas.openxmlformats.org/officeDocument/2006/relationships/image" Target="media/image465.png"/><Relationship Id="rId520" Type="http://schemas.openxmlformats.org/officeDocument/2006/relationships/image" Target="media/image466.png"/><Relationship Id="rId521" Type="http://schemas.openxmlformats.org/officeDocument/2006/relationships/image" Target="media/image467.png"/><Relationship Id="rId522" Type="http://schemas.openxmlformats.org/officeDocument/2006/relationships/image" Target="media/image468.png"/><Relationship Id="rId523" Type="http://schemas.openxmlformats.org/officeDocument/2006/relationships/image" Target="media/image469.png"/><Relationship Id="rId524" Type="http://schemas.openxmlformats.org/officeDocument/2006/relationships/image" Target="media/image470.png"/><Relationship Id="rId525" Type="http://schemas.openxmlformats.org/officeDocument/2006/relationships/image" Target="media/image471.png"/><Relationship Id="rId526" Type="http://schemas.openxmlformats.org/officeDocument/2006/relationships/image" Target="media/image472.png"/><Relationship Id="rId527" Type="http://schemas.openxmlformats.org/officeDocument/2006/relationships/image" Target="media/image473.png"/><Relationship Id="rId528" Type="http://schemas.openxmlformats.org/officeDocument/2006/relationships/image" Target="media/image474.png"/><Relationship Id="rId529" Type="http://schemas.openxmlformats.org/officeDocument/2006/relationships/image" Target="media/image475.png"/><Relationship Id="rId530" Type="http://schemas.openxmlformats.org/officeDocument/2006/relationships/image" Target="media/image476.png"/><Relationship Id="rId531" Type="http://schemas.openxmlformats.org/officeDocument/2006/relationships/image" Target="media/image477.png"/><Relationship Id="rId532" Type="http://schemas.openxmlformats.org/officeDocument/2006/relationships/image" Target="media/image478.png"/><Relationship Id="rId533" Type="http://schemas.openxmlformats.org/officeDocument/2006/relationships/image" Target="media/image479.png"/><Relationship Id="rId534" Type="http://schemas.openxmlformats.org/officeDocument/2006/relationships/image" Target="media/image480.png"/><Relationship Id="rId535" Type="http://schemas.openxmlformats.org/officeDocument/2006/relationships/image" Target="media/image481.png"/><Relationship Id="rId536" Type="http://schemas.openxmlformats.org/officeDocument/2006/relationships/image" Target="media/image482.png"/><Relationship Id="rId537" Type="http://schemas.openxmlformats.org/officeDocument/2006/relationships/image" Target="media/image483.png"/><Relationship Id="rId538" Type="http://schemas.openxmlformats.org/officeDocument/2006/relationships/image" Target="media/image484.png"/><Relationship Id="rId539" Type="http://schemas.openxmlformats.org/officeDocument/2006/relationships/image" Target="media/image485.png"/><Relationship Id="rId540" Type="http://schemas.openxmlformats.org/officeDocument/2006/relationships/image" Target="media/image486.png"/><Relationship Id="rId541" Type="http://schemas.openxmlformats.org/officeDocument/2006/relationships/image" Target="media/image487.png"/><Relationship Id="rId542" Type="http://schemas.openxmlformats.org/officeDocument/2006/relationships/image" Target="media/image488.png"/><Relationship Id="rId543" Type="http://schemas.openxmlformats.org/officeDocument/2006/relationships/image" Target="media/image489.png"/><Relationship Id="rId544" Type="http://schemas.openxmlformats.org/officeDocument/2006/relationships/image" Target="media/image490.png"/><Relationship Id="rId545" Type="http://schemas.openxmlformats.org/officeDocument/2006/relationships/image" Target="media/image491.png"/><Relationship Id="rId546" Type="http://schemas.openxmlformats.org/officeDocument/2006/relationships/image" Target="media/image492.png"/><Relationship Id="rId547" Type="http://schemas.openxmlformats.org/officeDocument/2006/relationships/image" Target="media/image493.png"/><Relationship Id="rId548" Type="http://schemas.openxmlformats.org/officeDocument/2006/relationships/image" Target="media/image494.png"/><Relationship Id="rId549" Type="http://schemas.openxmlformats.org/officeDocument/2006/relationships/image" Target="media/image495.png"/><Relationship Id="rId550" Type="http://schemas.openxmlformats.org/officeDocument/2006/relationships/image" Target="media/image496.png"/><Relationship Id="rId551" Type="http://schemas.openxmlformats.org/officeDocument/2006/relationships/image" Target="media/image497.png"/><Relationship Id="rId552" Type="http://schemas.openxmlformats.org/officeDocument/2006/relationships/image" Target="media/image498.png"/><Relationship Id="rId553" Type="http://schemas.openxmlformats.org/officeDocument/2006/relationships/image" Target="media/image499.png"/><Relationship Id="rId554" Type="http://schemas.openxmlformats.org/officeDocument/2006/relationships/image" Target="media/image500.png"/><Relationship Id="rId555" Type="http://schemas.openxmlformats.org/officeDocument/2006/relationships/image" Target="media/image501.png"/><Relationship Id="rId556" Type="http://schemas.openxmlformats.org/officeDocument/2006/relationships/image" Target="media/image502.png"/><Relationship Id="rId557" Type="http://schemas.openxmlformats.org/officeDocument/2006/relationships/image" Target="media/image503.png"/><Relationship Id="rId558" Type="http://schemas.openxmlformats.org/officeDocument/2006/relationships/image" Target="media/image504.png"/><Relationship Id="rId559" Type="http://schemas.openxmlformats.org/officeDocument/2006/relationships/image" Target="media/image505.png"/><Relationship Id="rId560" Type="http://schemas.openxmlformats.org/officeDocument/2006/relationships/image" Target="media/image506.png"/><Relationship Id="rId561" Type="http://schemas.openxmlformats.org/officeDocument/2006/relationships/image" Target="media/image507.png"/><Relationship Id="rId562" Type="http://schemas.openxmlformats.org/officeDocument/2006/relationships/image" Target="media/image508.png"/><Relationship Id="rId563" Type="http://schemas.openxmlformats.org/officeDocument/2006/relationships/image" Target="media/image509.png"/><Relationship Id="rId564" Type="http://schemas.openxmlformats.org/officeDocument/2006/relationships/image" Target="media/image510.png"/><Relationship Id="rId565" Type="http://schemas.openxmlformats.org/officeDocument/2006/relationships/image" Target="media/image511.png"/><Relationship Id="rId566" Type="http://schemas.openxmlformats.org/officeDocument/2006/relationships/image" Target="media/image512.png"/><Relationship Id="rId567" Type="http://schemas.openxmlformats.org/officeDocument/2006/relationships/image" Target="media/image513.png"/><Relationship Id="rId568" Type="http://schemas.openxmlformats.org/officeDocument/2006/relationships/image" Target="media/image514.png"/><Relationship Id="rId569" Type="http://schemas.openxmlformats.org/officeDocument/2006/relationships/image" Target="media/image515.png"/><Relationship Id="rId570" Type="http://schemas.openxmlformats.org/officeDocument/2006/relationships/image" Target="media/image516.png"/><Relationship Id="rId571" Type="http://schemas.openxmlformats.org/officeDocument/2006/relationships/image" Target="media/image517.png"/><Relationship Id="rId572" Type="http://schemas.openxmlformats.org/officeDocument/2006/relationships/image" Target="media/image518.png"/><Relationship Id="rId573" Type="http://schemas.openxmlformats.org/officeDocument/2006/relationships/image" Target="media/image519.png"/><Relationship Id="rId574" Type="http://schemas.openxmlformats.org/officeDocument/2006/relationships/image" Target="media/image520.png"/><Relationship Id="rId575" Type="http://schemas.openxmlformats.org/officeDocument/2006/relationships/image" Target="media/image521.png"/><Relationship Id="rId576" Type="http://schemas.openxmlformats.org/officeDocument/2006/relationships/image" Target="media/image522.png"/><Relationship Id="rId577" Type="http://schemas.openxmlformats.org/officeDocument/2006/relationships/image" Target="media/image523.png"/><Relationship Id="rId578" Type="http://schemas.openxmlformats.org/officeDocument/2006/relationships/image" Target="media/image524.png"/><Relationship Id="rId579" Type="http://schemas.openxmlformats.org/officeDocument/2006/relationships/image" Target="media/image525.png"/><Relationship Id="rId580" Type="http://schemas.openxmlformats.org/officeDocument/2006/relationships/image" Target="media/image526.png"/><Relationship Id="rId581" Type="http://schemas.openxmlformats.org/officeDocument/2006/relationships/image" Target="media/image527.png"/><Relationship Id="rId582" Type="http://schemas.openxmlformats.org/officeDocument/2006/relationships/image" Target="media/image528.png"/><Relationship Id="rId583" Type="http://schemas.openxmlformats.org/officeDocument/2006/relationships/image" Target="media/image529.png"/><Relationship Id="rId584" Type="http://schemas.openxmlformats.org/officeDocument/2006/relationships/image" Target="media/image530.png"/><Relationship Id="rId585" Type="http://schemas.openxmlformats.org/officeDocument/2006/relationships/image" Target="media/image531.png"/><Relationship Id="rId586" Type="http://schemas.openxmlformats.org/officeDocument/2006/relationships/image" Target="media/image532.png"/><Relationship Id="rId587" Type="http://schemas.openxmlformats.org/officeDocument/2006/relationships/image" Target="media/image533.png"/><Relationship Id="rId588" Type="http://schemas.openxmlformats.org/officeDocument/2006/relationships/image" Target="media/image534.png"/><Relationship Id="rId589" Type="http://schemas.openxmlformats.org/officeDocument/2006/relationships/image" Target="media/image535.png"/><Relationship Id="rId590" Type="http://schemas.openxmlformats.org/officeDocument/2006/relationships/image" Target="media/image536.png"/><Relationship Id="rId591" Type="http://schemas.openxmlformats.org/officeDocument/2006/relationships/image" Target="media/image537.png"/><Relationship Id="rId592" Type="http://schemas.openxmlformats.org/officeDocument/2006/relationships/image" Target="media/image538.png"/><Relationship Id="rId593" Type="http://schemas.openxmlformats.org/officeDocument/2006/relationships/image" Target="media/image539.png"/><Relationship Id="rId594" Type="http://schemas.openxmlformats.org/officeDocument/2006/relationships/image" Target="media/image540.png"/><Relationship Id="rId595" Type="http://schemas.openxmlformats.org/officeDocument/2006/relationships/image" Target="media/image541.png"/><Relationship Id="rId157" Type="http://schemas.openxmlformats.org/officeDocument/2006/relationships/hyperlink" Target="https://www.sec.gov/Archives/edgar/data/1674930/000119312516712712/d360404dex21.htm" TargetMode="External"/><Relationship Id="rId158" Type="http://schemas.openxmlformats.org/officeDocument/2006/relationships/hyperlink" Target="https://www.sec.gov/Archives/edgar/data/1674930/000119312516700733/d360404dex31.htm" TargetMode="External"/><Relationship Id="rId159" Type="http://schemas.openxmlformats.org/officeDocument/2006/relationships/hyperlink" Target="https://www.sec.gov/Archives/edgar/data/1674930/000119312516700733/d360404dex311.htm" TargetMode="External"/><Relationship Id="rId160" Type="http://schemas.openxmlformats.org/officeDocument/2006/relationships/hyperlink" Target="https://www.sec.gov/Archives/edgar/data/1674930/000156459017017670/flgt-ex312_342.htm" TargetMode="External"/><Relationship Id="rId161" Type="http://schemas.openxmlformats.org/officeDocument/2006/relationships/hyperlink" Target="https://www.sec.gov/Archives/edgar/data/1674930/000095017023038316/flgt-ex3_2.htm" TargetMode="External"/><Relationship Id="rId162" Type="http://schemas.openxmlformats.org/officeDocument/2006/relationships/hyperlink" Target="https://www.sec.gov/Archives/edgar/data/1674930/000119312516712712/d360404dex41.htm" TargetMode="External"/><Relationship Id="rId163" Type="http://schemas.openxmlformats.org/officeDocument/2006/relationships/hyperlink" Target="https://www.sec.gov/Archives/edgar/data/1674930/000119312516700733/d360404dex101.htm" TargetMode="External"/><Relationship Id="rId164" Type="http://schemas.openxmlformats.org/officeDocument/2006/relationships/hyperlink" Target="https://www.sec.gov/Archives/edgar/data/1674930/000119312516700733/d360404dex102.htm" TargetMode="External"/><Relationship Id="rId165" Type="http://schemas.openxmlformats.org/officeDocument/2006/relationships/hyperlink" Target="https://www.sec.gov/Archives/edgar/data/1674930/000119312516700733/d360404dex103.htm" TargetMode="External"/><Relationship Id="rId166" Type="http://schemas.openxmlformats.org/officeDocument/2006/relationships/hyperlink" Target="https://www.sec.gov/Archives/edgar/data/1674930/000119312516700733/d360404dex104.htm" TargetMode="External"/><Relationship Id="rId167" Type="http://schemas.openxmlformats.org/officeDocument/2006/relationships/hyperlink" Target="https://www.sec.gov/Archives/edgar/data/1674930/000119312516700733/d360404dex105.htm" TargetMode="External"/><Relationship Id="rId168" Type="http://schemas.openxmlformats.org/officeDocument/2006/relationships/hyperlink" Target="https://www.sec.gov/Archives/edgar/data/1674930/000119312516700733/d360404dex106.htm" TargetMode="External"/><Relationship Id="rId169" Type="http://schemas.openxmlformats.org/officeDocument/2006/relationships/hyperlink" Target="https://www.sec.gov/Archives/edgar/data/1674930/000119312516700733/d360404dex107.htm" TargetMode="External"/><Relationship Id="rId170" Type="http://schemas.openxmlformats.org/officeDocument/2006/relationships/hyperlink" Target="https://www.sec.gov/Archives/edgar/data/1674930/000156459017004681/flgt-ex108_234.htm" TargetMode="External"/><Relationship Id="rId171" Type="http://schemas.openxmlformats.org/officeDocument/2006/relationships/hyperlink" Target="https://www.sec.gov/Archives/edgar/data/1674930/000119312516700733/d360404dex109.htm" TargetMode="External"/><Relationship Id="rId172" Type="http://schemas.openxmlformats.org/officeDocument/2006/relationships/hyperlink" Target="https://www.sec.gov/Archives/edgar/data/1674930/000119312516700733/d360404dex1010.htm" TargetMode="External"/><Relationship Id="rId173" Type="http://schemas.openxmlformats.org/officeDocument/2006/relationships/hyperlink" Target="https://www.sec.gov/Archives/edgar/data/1674930/000119312516700733/d360404dex1011.htm" TargetMode="External"/><Relationship Id="rId174" Type="http://schemas.openxmlformats.org/officeDocument/2006/relationships/hyperlink" Target="https://www.sec.gov/Archives/edgar/data/1674930/000119312516700733/d360404dex1012.htm" TargetMode="External"/><Relationship Id="rId175" Type="http://schemas.openxmlformats.org/officeDocument/2006/relationships/hyperlink" Target="https://www.sec.gov/Archives/edgar/data/1674930/000119312516700733/d360404dex1013.htm" TargetMode="External"/><Relationship Id="rId176" Type="http://schemas.openxmlformats.org/officeDocument/2006/relationships/hyperlink" Target="https://www.sec.gov/Archives/edgar/data/0001674930/000119312516700733/d360404dex1014.htm" TargetMode="External"/><Relationship Id="rId177" Type="http://schemas.openxmlformats.org/officeDocument/2006/relationships/hyperlink" Target="https://www.sec.gov/Archives/edgar/data/1674930/000119312516700733/d360404dex1015.htm" TargetMode="External"/><Relationship Id="rId178" Type="http://schemas.openxmlformats.org/officeDocument/2006/relationships/hyperlink" Target="https://www.sec.gov/Archives/edgar/data/1674930/000119312516700733/d360404dex1016.htm" TargetMode="External"/><Relationship Id="rId179" Type="http://schemas.openxmlformats.org/officeDocument/2006/relationships/hyperlink" Target="https://www.sec.gov/Archives/edgar/data/1674930/000119312516700733/d360404dex1017.htm" TargetMode="External"/><Relationship Id="rId180" Type="http://schemas.openxmlformats.org/officeDocument/2006/relationships/hyperlink" Target="https://www.sec.gov/Archives/edgar/data/1674930/000119312516700733/d360404dex21.htm" TargetMode="External"/><Relationship Id="rId181" Type="http://schemas.openxmlformats.org/officeDocument/2006/relationships/hyperlink" Target="https://www.sec.gov/Archives/edgar/data/1674930/000156459018006239/flgt-ex1020_63.htm" TargetMode="External"/><Relationship Id="rId183" Type="http://schemas.openxmlformats.org/officeDocument/2006/relationships/hyperlink" Target="https://www.sec.gov/Archives/edgar/data/1674930/000156459017017670/flgt-ex101_346.htm" TargetMode="External"/><Relationship Id="rId184" Type="http://schemas.openxmlformats.org/officeDocument/2006/relationships/hyperlink" Target="https://www.sec.gov/Archives/edgar/data/1674930/000156459018014078/flgt-ex101_54.htm" TargetMode="External"/><Relationship Id="rId185" Type="http://schemas.openxmlformats.org/officeDocument/2006/relationships/hyperlink" Target="https://www.sec.gov/Archives/edgar/data/1674930/000156459020043892/flgt-ex101_6.htm" TargetMode="External"/><Relationship Id="rId186" Type="http://schemas.openxmlformats.org/officeDocument/2006/relationships/hyperlink" Target="https://www.sec.gov/Archives/edgar/data/1674930/000156459020047097/flgt-ex21_6.htm" TargetMode="External"/><Relationship Id="rId187" Type="http://schemas.openxmlformats.org/officeDocument/2006/relationships/hyperlink" Target="https://www.sec.gov/Archives/edgar/data/1674930/000156459021011526/flgt-ex1037_91.htm" TargetMode="External"/><Relationship Id="rId188" Type="http://schemas.openxmlformats.org/officeDocument/2006/relationships/hyperlink" Target="https://www.sec.gov/Archives/edgar/data/1674930/000156459021011526/flgt-ex1038_92.htm" TargetMode="External"/><Relationship Id="rId189" Type="http://schemas.openxmlformats.org/officeDocument/2006/relationships/hyperlink" Target="https://www.sec.gov/Archives/edgar/data/1674930/000156459021025554/flgt-ex101_24.htm" TargetMode="External"/><Relationship Id="rId190" Type="http://schemas.openxmlformats.org/officeDocument/2006/relationships/hyperlink" Target="https://www.sec.gov/Archives/edgar/data/1674930/000156459021042834/flgt-ex101_40.htm" TargetMode="External"/><Relationship Id="rId191" Type="http://schemas.openxmlformats.org/officeDocument/2006/relationships/hyperlink" Target="https://www.sec.gov/Archives/edgar/data/1674930/000156459022012215/flgt-ex101_7.htm" TargetMode="External"/><Relationship Id="rId192" Type="http://schemas.openxmlformats.org/officeDocument/2006/relationships/hyperlink" Target="https://www.sec.gov/Archives/edgar/data/1674930/000156459022015730/flgt-ex21_7.htm" TargetMode="External"/><Relationship Id="rId193" Type="http://schemas.openxmlformats.org/officeDocument/2006/relationships/hyperlink" Target="https://www.sec.gov/Archives/edgar/data/1674930/000095017022022661/flgt-ex10_1.htm" TargetMode="External"/><Relationship Id="rId194" Type="http://schemas.openxmlformats.org/officeDocument/2006/relationships/hyperlink" Target="https://www.sec.gov/Archives/edgar/data/1674930/000095017022022661/flgt-ex10_2.htm" TargetMode="External"/><Relationship Id="rId195" Type="http://schemas.openxmlformats.org/officeDocument/2006/relationships/hyperlink" Target="https://www.sec.gov/Archives/edgar/data/1674930/000095017022022661/flgt-ex10_3.htm" TargetMode="External"/><Relationship Id="rId196" Type="http://schemas.openxmlformats.org/officeDocument/2006/relationships/hyperlink" Target="https://www.sec.gov/Archives/edgar/data/1674930/000095017024022233/flgt-ex10_41.htm" TargetMode="External"/><Relationship Id="rId197" Type="http://schemas.openxmlformats.org/officeDocument/2006/relationships/hyperlink" Target="https://www.sec.gov/Archives/edgar/data/1674930/000095017023005178/flgt-ex10_48.htm" TargetMode="External"/><Relationship Id="rId198" Type="http://schemas.openxmlformats.org/officeDocument/2006/relationships/hyperlink" Target="https://www.sec.gov/Archives/edgar/data/1674930/000095017023005178/flgt-ex10_51.htm" TargetMode="External"/><Relationship Id="rId199" Type="http://schemas.openxmlformats.org/officeDocument/2006/relationships/hyperlink" Target="https://www.sec.gov/Archives/edgar/data/1674930/000095017023005178/flgt-ex10_52.htm" TargetMode="External"/><Relationship Id="rId200" Type="http://schemas.openxmlformats.org/officeDocument/2006/relationships/hyperlink" Target="https://www.sec.gov/Archives/edgar/data/1674930/000095017023018079/flgt-ex10_1.htm" TargetMode="External"/><Relationship Id="rId201" Type="http://schemas.openxmlformats.org/officeDocument/2006/relationships/hyperlink" Target="https://www.sec.gov/Archives/edgar/data/1674930/000095017023018079/flgt-ex10_3.htm" TargetMode="External"/><Relationship Id="rId202" Type="http://schemas.openxmlformats.org/officeDocument/2006/relationships/hyperlink" Target="https://www.sec.gov/Archives/edgar/data/1674930/000095017023023014/flgt-ex10_1.htm" TargetMode="External"/><Relationship Id="rId203" Type="http://schemas.openxmlformats.org/officeDocument/2006/relationships/hyperlink" Target="https://www.sec.gov/Archives/edgar/data/1674930/000095017023058512/flgt-ex10_2.htm" TargetMode="External"/><Relationship Id="rId205" Type="http://schemas.openxmlformats.org/officeDocument/2006/relationships/hyperlink" Target="https://www.sec.gov/Archives/edgar/data/1674930/000095017023058512/flg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2025-02-28T06:24:40Z</dcterms:created>
  <dcterms:modified xsi:type="dcterms:W3CDTF">2025-02-28T06:24:40Z</dcterms:modified>
</cp:coreProperties>
</file>