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Kim Paul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FULGENT GENETICS,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4399 SANTA ANITA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Fulgent Genetics,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FLGT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05"/>
        <w:spacing w:after="0"/>
        <w:rPr>
          <w:sz w:val="20"/>
          <w:szCs w:val="20"/>
          <w:color w:val="auto"/>
        </w:rPr>
      </w:pPr>
      <w:r>
        <w:rPr>
          <w:rFonts w:ascii="Times New Roman" w:cs="Times New Roman" w:eastAsia="Times New Roman" w:hAnsi="Times New Roman"/>
          <w:sz w:val="17"/>
          <w:szCs w:val="17"/>
          <w:color w:val="0000FF"/>
        </w:rPr>
        <w:t>CFO and Treasurer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4"/>
                <w:szCs w:val="14"/>
                <w:color w:val="auto"/>
              </w:rPr>
            </w:pPr>
          </w:p>
        </w:tc>
        <w:tc>
          <w:tcPr>
            <w:tcW w:w="3540" w:type="dxa"/>
            <w:vAlign w:val="bottom"/>
            <w:gridSpan w:val="9"/>
          </w:tcPr>
          <w:p>
            <w:pPr>
              <w:ind w:left="2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0" w:type="dxa"/>
            <w:vAlign w:val="bottom"/>
            <w:gridSpan w:val="3"/>
          </w:tcPr>
          <w:p>
            <w:pPr>
              <w:ind w:left="20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EL MONTE</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91731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20" w:type="dxa"/>
            <w:vAlign w:val="bottom"/>
          </w:tcPr>
          <w:p>
            <w:pPr>
              <w:spacing w:after="0"/>
              <w:rPr>
                <w:sz w:val="7"/>
                <w:szCs w:val="7"/>
                <w:color w:val="auto"/>
              </w:rPr>
            </w:pPr>
          </w:p>
        </w:tc>
        <w:tc>
          <w:tcPr>
            <w:tcW w:w="3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74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1,168</w:t>
            </w:r>
            <w:r>
              <w:rPr>
                <w:rFonts w:ascii="Times New Roman" w:cs="Times New Roman" w:eastAsia="Times New Roman" w:hAnsi="Times New Roman"/>
                <w:sz w:val="22"/>
                <w:szCs w:val="22"/>
                <w:color w:val="008000"/>
                <w:vertAlign w:val="superscript"/>
              </w:rPr>
              <w:t>(1)</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17.67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364,632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withheld from the reporting person to satisfy the tax withholding obligations that arose upon the vesting of certain restricted stock units granted to the reporting person on February 26, 2024, which grant was originally reported on Form 4 filed with the U.S. Securities and Exchange Commission on February 28, 2024.</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Paul Kim</w:t>
            </w: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05/28/2026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253820" TargetMode="External"/><Relationship Id="rId14" Type="http://schemas.openxmlformats.org/officeDocument/2006/relationships/hyperlink" Target="http://www.sec.gov/cgi-bin/browse-edgar?action=getcompany&amp;CIK=000167493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2026-05-28T19:13:36Z</dcterms:created>
  <dcterms:modified xsi:type="dcterms:W3CDTF">2026-05-28T19:13:36Z</dcterms:modified>
</cp:coreProperties>
</file>