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2"/>
        </w:rPr>
      </w:pPr>
      <w:bookmarkStart w:id="0" w:name="flgt-20231231.htm"/>
      <w:bookmarkStart w:id="1" w:name="ksflgt20231231"/>
      <w:bookmarkEnd w:id="0"/>
      <w:bookmarkEnd w:id="1"/>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4" w:space="1" w:color="000000"/>
        </w:pBdr>
        <w:bidi w:val="0"/>
        <w:jc w:val="center"/>
        <w:rPr/>
      </w:pPr>
      <w:r>
        <w:rPr/>
        <w:t> </w:t>
      </w:r>
    </w:p>
    <w:p>
      <w:pPr>
        <w:pStyle w:val="TextBody"/>
        <w:bidi w:val="0"/>
        <w:spacing w:before="40" w:after="283"/>
        <w:jc w:val="left"/>
        <w:rPr>
          <w:rFonts w:ascii="Times New Roman" w:hAnsi="Times New Roman"/>
          <w:b/>
          <w:color w:val="000000"/>
          <w:sz w:val="18"/>
        </w:rPr>
      </w:pPr>
      <w:r>
        <w:rPr>
          <w:rFonts w:ascii="Times New Roman" w:hAnsi="Times New Roman"/>
          <w:b/>
          <w:color w:val="000000"/>
          <w:sz w:val="18"/>
        </w:rPr>
        <w:t>(Mark One)</w:t>
      </w:r>
    </w:p>
    <w:p>
      <w:pPr>
        <w:pStyle w:val="TextBody"/>
        <w:bidi w:val="0"/>
        <w:spacing w:before="40" w:after="283"/>
        <w:jc w:val="left"/>
        <w:rPr/>
      </w:pPr>
      <w:r>
        <w:rPr>
          <w:color w:val="000000"/>
        </w:rPr>
        <w:t xml:space="preserve">☒ </w:t>
      </w:r>
      <w:r>
        <w:rPr>
          <w:rFonts w:ascii="Times New Roman" w:hAnsi="Times New Roman"/>
          <w:b/>
          <w:color w:val="000000"/>
          <w:sz w:val="18"/>
        </w:rPr>
        <w:t>ANNUAL REPORT PURSUANT TO SECTION 13 OR 15(d) OF THE SECURITIES EXCHANGE ACT OF 1934</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For the fiscal year ended December 31, 2023</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OR</w:t>
      </w:r>
    </w:p>
    <w:p>
      <w:pPr>
        <w:pStyle w:val="TextBody"/>
        <w:bidi w:val="0"/>
        <w:spacing w:before="40" w:after="283"/>
        <w:jc w:val="left"/>
        <w:rPr/>
      </w:pPr>
      <w:r>
        <w:rPr>
          <w:color w:val="00000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For the transition period from to</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Commission File Number 001-37894</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FULGENT GENETICS,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tbl>
      <w:tblPr>
        <w:tblW w:w="4367" w:type="dxa"/>
        <w:jc w:val="left"/>
        <w:tblInd w:w="0" w:type="dxa"/>
        <w:tblLayout w:type="fixed"/>
        <w:tblCellMar>
          <w:top w:w="28" w:type="dxa"/>
          <w:left w:w="28" w:type="dxa"/>
          <w:bottom w:w="28" w:type="dxa"/>
          <w:right w:w="28" w:type="dxa"/>
        </w:tblCellMar>
      </w:tblPr>
      <w:tblGrid>
        <w:gridCol w:w="2926"/>
        <w:gridCol w:w="1441"/>
      </w:tblGrid>
      <w:tr>
        <w:trPr/>
        <w:tc>
          <w:tcPr>
            <w:tcW w:w="292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81-2621304</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4399 Santa Anita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 Monte, CA</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91731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Registrant’s telephone number, including area code: (626) 350-0537</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8620" w:type="dxa"/>
        <w:jc w:val="left"/>
        <w:tblInd w:w="0" w:type="dxa"/>
        <w:tblLayout w:type="fixed"/>
        <w:tblCellMar>
          <w:top w:w="28" w:type="dxa"/>
          <w:left w:w="28" w:type="dxa"/>
          <w:bottom w:w="28" w:type="dxa"/>
          <w:right w:w="28" w:type="dxa"/>
        </w:tblCellMar>
      </w:tblPr>
      <w:tblGrid>
        <w:gridCol w:w="3286"/>
        <w:gridCol w:w="146"/>
        <w:gridCol w:w="1561"/>
        <w:gridCol w:w="146"/>
        <w:gridCol w:w="348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80" w:after="283"/>
              <w:jc w:val="center"/>
              <w:rPr/>
            </w:pPr>
            <w:r>
              <w:rPr/>
              <w:t> </w:t>
            </w:r>
          </w:p>
        </w:tc>
        <w:tc>
          <w:tcPr>
            <w:tcW w:w="156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80" w:after="283"/>
              <w:jc w:val="center"/>
              <w:rPr/>
            </w:pPr>
            <w:r>
              <w:rPr/>
              <w:t> </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bottom w:val="single" w:sz="4" w:space="0" w:color="000000"/>
            </w:tcBorders>
            <w:tcMar>
              <w:top w:w="0" w:type="dxa"/>
              <w:left w:w="0" w:type="dxa"/>
              <w:right w:w="0" w:type="dxa"/>
            </w:tcMar>
            <w:vAlign w:val="center"/>
          </w:tcPr>
          <w:p>
            <w:pPr>
              <w:pStyle w:val="TableContents"/>
              <w:bidi w:val="0"/>
              <w:spacing w:before="8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FLGT</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80" w:after="283"/>
              <w:jc w:val="center"/>
              <w:rPr/>
            </w:pPr>
            <w:r>
              <w:rPr/>
              <w:t> </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 Stock Market</w:t>
            </w:r>
            <w:r>
              <w:rPr>
                <w:rFonts w:ascii="Times New Roman" w:hAnsi="Times New Roman"/>
                <w:color w:val="000000"/>
                <w:sz w:val="20"/>
              </w:rPr>
              <w:t> </w:t>
            </w:r>
            <w:r>
              <w:rPr>
                <w:rFonts w:ascii="Times New Roman" w:hAnsi="Times New Roman"/>
                <w:color w:val="000000"/>
                <w:sz w:val="18"/>
              </w:rPr>
              <w:br/>
              <w:t>(Nasdaq Global Market)</w:t>
            </w:r>
          </w:p>
        </w:tc>
      </w:tr>
    </w:tbl>
    <w:p>
      <w:pPr>
        <w:pStyle w:val="TextBody"/>
        <w:bidi w:val="0"/>
        <w:jc w:val="left"/>
        <w:rPr>
          <w:rFonts w:ascii="Times New Roman" w:hAnsi="Times New Roman"/>
          <w:sz w:val="20"/>
        </w:rPr>
      </w:pPr>
      <w:r>
        <w:rPr>
          <w:rFonts w:ascii="Times New Roman" w:hAnsi="Times New Roman"/>
          <w:color w:val="000000"/>
          <w:sz w:val="18"/>
        </w:rPr>
        <w:t xml:space="preserve">Securities registered pursuant to Section 12(g) of the Act: </w:t>
      </w:r>
      <w:r>
        <w:rPr>
          <w:rFonts w:ascii="Times New Roman" w:hAnsi="Times New Roman"/>
          <w:b/>
          <w:color w:val="000000"/>
          <w:sz w:val="18"/>
        </w:rPr>
        <w:t>None</w:t>
      </w:r>
    </w:p>
    <w:p>
      <w:pPr>
        <w:pStyle w:val="TextBody"/>
        <w:bidi w:val="0"/>
        <w:jc w:val="left"/>
        <w:rPr>
          <w:rFonts w:ascii="Times New Roman" w:hAnsi="Times New Roman"/>
          <w:sz w:val="20"/>
        </w:rPr>
      </w:pPr>
      <w:r>
        <w:rPr>
          <w:rFonts w:ascii="Times New Roman" w:hAnsi="Times New Roman"/>
          <w:color w:val="000000"/>
          <w:sz w:val="18"/>
        </w:rPr>
        <w:t xml:space="preserve">Indicate by check mark if the registrant is a well-known seasoned issuer, as defined in Rule 405 of the Securities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 xml:space="preserve">Indicate by check mark if the registrant is not required to file reports pursuant to Section 13 or Section 15(d) of the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711" w:type="dxa"/>
        <w:jc w:val="left"/>
        <w:tblInd w:w="0" w:type="dxa"/>
        <w:tblLayout w:type="fixed"/>
        <w:tblCellMar>
          <w:top w:w="28" w:type="dxa"/>
          <w:left w:w="28" w:type="dxa"/>
          <w:bottom w:w="28" w:type="dxa"/>
          <w:right w:w="28" w:type="dxa"/>
        </w:tblCellMar>
      </w:tblPr>
      <w:tblGrid>
        <w:gridCol w:w="1666"/>
        <w:gridCol w:w="109"/>
        <w:gridCol w:w="316"/>
        <w:gridCol w:w="109"/>
        <w:gridCol w:w="2041"/>
        <w:gridCol w:w="109"/>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Smaller reporting company</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jc w:val="left"/>
              <w:rPr>
                <w:color w:val="000000"/>
              </w:rPr>
            </w:pPr>
            <w:r>
              <w:rPr>
                <w:color w:val="000000"/>
              </w:rPr>
              <w:t>☐</w:t>
            </w:r>
          </w:p>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The aggregate market value of the registrant’s voting and non-voting common equity held by non-affiliates as of June 30, 2023 (computed by reference to the price at which the registrant’s common stock was last sold on such date, the last business day of the registrant’s</w:t>
      </w:r>
      <w:r>
        <w:rPr>
          <w:rFonts w:ascii="Times New Roman" w:hAnsi="Times New Roman"/>
          <w:color w:val="000000"/>
          <w:sz w:val="20"/>
        </w:rPr>
        <w:t xml:space="preserve"> </w:t>
      </w:r>
      <w:r>
        <w:rPr>
          <w:rFonts w:ascii="Times New Roman" w:hAnsi="Times New Roman"/>
          <w:color w:val="000000"/>
          <w:sz w:val="18"/>
        </w:rPr>
        <w:t>most recently completed second fiscal quarter, as reported by the Nasdaq Global Market) was approximately $628.5</w:t>
      </w:r>
      <w:r>
        <w:rPr>
          <w:rFonts w:ascii="Times New Roman" w:hAnsi="Times New Roman"/>
          <w:color w:val="000000"/>
          <w:sz w:val="20"/>
        </w:rPr>
        <w:t xml:space="preserve"> </w:t>
      </w:r>
      <w:r>
        <w:rPr>
          <w:rFonts w:ascii="Times New Roman" w:hAnsi="Times New Roman"/>
          <w:color w:val="000000"/>
          <w:sz w:val="18"/>
        </w:rPr>
        <w:t>million. For purposes of this calculation, it has been assumed that all shares of the registrant’s common stock held by directors, executive officers and persons beneficially owning 5% or more of the registrant’s common stock are held by affiliates; however, the treatment of these persons as affiliates for purposes of this calculation is not, and shall not be considered, a determination as to whether such persons are affiliates of the registrant for any other purpose.</w:t>
      </w:r>
    </w:p>
    <w:p>
      <w:pPr>
        <w:pStyle w:val="TextBody"/>
        <w:bidi w:val="0"/>
        <w:jc w:val="left"/>
        <w:rPr>
          <w:rFonts w:ascii="Times New Roman" w:hAnsi="Times New Roman"/>
          <w:sz w:val="20"/>
        </w:rPr>
      </w:pPr>
      <w:r>
        <w:rPr>
          <w:rFonts w:ascii="Times New Roman" w:hAnsi="Times New Roman"/>
          <w:color w:val="000000"/>
          <w:sz w:val="18"/>
        </w:rPr>
        <w:t>As of February 15, 2024, there were 29,784,771</w:t>
      </w:r>
      <w:r>
        <w:rPr>
          <w:rFonts w:ascii="Times New Roman" w:hAnsi="Times New Roman"/>
          <w:color w:val="000000"/>
          <w:sz w:val="20"/>
        </w:rPr>
        <w:t xml:space="preserve"> </w:t>
      </w:r>
      <w:r>
        <w:rPr>
          <w:rFonts w:ascii="Times New Roman" w:hAnsi="Times New Roman"/>
          <w:color w:val="000000"/>
          <w:sz w:val="18"/>
        </w:rPr>
        <w:t>outstanding shares of the registrant’s common stock.</w:t>
      </w:r>
    </w:p>
    <w:p>
      <w:pPr>
        <w:pStyle w:val="TextBody"/>
        <w:bidi w:val="0"/>
        <w:spacing w:before="40" w:after="283"/>
        <w:jc w:val="center"/>
        <w:rPr>
          <w:rFonts w:ascii="Times New Roman" w:hAnsi="Times New Roman"/>
          <w:color w:val="000000"/>
          <w:sz w:val="18"/>
        </w:rPr>
      </w:pPr>
      <w:r>
        <w:rPr>
          <w:rFonts w:ascii="Times New Roman" w:hAnsi="Times New Roman"/>
          <w:color w:val="000000"/>
          <w:sz w:val="18"/>
        </w:rPr>
        <w:t>DOCUMENTS INCORPORATED BY REFERENCE</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Certain portions of the registrant’s definitive proxy statement for its 2024 annual meeting of stockholders are incorporated by reference in Part III of this report.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4"/>
        <w:gridCol w:w="146"/>
        <w:gridCol w:w="8507"/>
        <w:gridCol w:w="146"/>
        <w:gridCol w:w="512"/>
      </w:tblGrid>
      <w:tr>
        <w:trPr/>
        <w:tc>
          <w:tcPr>
            <w:tcW w:w="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547" w:type="dxa"/>
            <w:gridSpan w:val="3"/>
            <w:tcBorders/>
            <w:shd w:fill="FFFFFF" w:val="clear"/>
            <w:vAlign w:val="center"/>
          </w:tcPr>
          <w:p>
            <w:pPr>
              <w:pStyle w:val="TableContents"/>
              <w:bidi w:val="0"/>
              <w:spacing w:before="0" w:after="283"/>
              <w:jc w:val="left"/>
              <w:rPr/>
            </w:pPr>
            <w:hyperlink w:anchor="cautionary_note_regarding_forwardlooking">
              <w:r>
                <w:rPr>
                  <w:rStyle w:val="InternetLink"/>
                  <w:rFonts w:ascii="Times New Roman" w:hAnsi="Times New Roman"/>
                  <w:color w:val="0000FF"/>
                  <w:sz w:val="20"/>
                </w:rPr>
                <w:t>Cautionary Note Regarding Forward-Looking Statements</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w:t>
            </w:r>
          </w:p>
        </w:tc>
      </w:tr>
      <w:tr>
        <w:trPr/>
        <w:tc>
          <w:tcPr>
            <w:tcW w:w="894" w:type="dxa"/>
            <w:tcBorders/>
            <w:shd w:fill="FFFFFF" w:val="clear"/>
            <w:vAlign w:val="center"/>
          </w:tcPr>
          <w:p>
            <w:pPr>
              <w:pStyle w:val="TableContents"/>
              <w:bidi w:val="0"/>
              <w:spacing w:before="0" w:after="283"/>
              <w:jc w:val="left"/>
              <w:rPr/>
            </w:pPr>
            <w:hyperlink w:anchor="part_i">
              <w:r>
                <w:rPr>
                  <w:rStyle w:val="InternetLink"/>
                  <w:rFonts w:ascii="Times New Roman" w:hAnsi="Times New Roman"/>
                  <w:b/>
                  <w:color w:val="0000FF"/>
                  <w:sz w:val="20"/>
                </w:rPr>
                <w:t>PART I</w:t>
              </w:r>
            </w:hyperlink>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1_business">
              <w:r>
                <w:rPr>
                  <w:rStyle w:val="InternetLink"/>
                  <w:rFonts w:ascii="Times New Roman" w:hAnsi="Times New Roman"/>
                  <w:color w:val="0000FF"/>
                  <w:sz w:val="20"/>
                </w:rPr>
                <w:t>Business</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1a_risk_factors">
              <w:r>
                <w:rPr>
                  <w:rStyle w:val="InternetLink"/>
                  <w:rFonts w:ascii="Times New Roman" w:hAnsi="Times New Roman"/>
                  <w:color w:val="0000FF"/>
                  <w:sz w:val="20"/>
                </w:rPr>
                <w:t>Risk Factors</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rPr>
                <w:t>Unresolved Staff Comments</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rPr>
                <w:t>Cybersecurity</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2_properties">
              <w:r>
                <w:rPr>
                  <w:rStyle w:val="InternetLink"/>
                  <w:rFonts w:ascii="Times New Roman" w:hAnsi="Times New Roman"/>
                  <w:color w:val="0000FF"/>
                  <w:sz w:val="20"/>
                </w:rPr>
                <w:t>Properties</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rPr>
                <w:t>Legal Proceedings</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rPr>
                <w:t>Mine Safety Disclosures</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94" w:type="dxa"/>
            <w:tcBorders/>
            <w:shd w:fill="FFFFFF" w:val="clear"/>
            <w:vAlign w:val="center"/>
          </w:tcPr>
          <w:p>
            <w:pPr>
              <w:pStyle w:val="TableContents"/>
              <w:bidi w:val="0"/>
              <w:spacing w:before="0" w:after="283"/>
              <w:jc w:val="left"/>
              <w:rPr/>
            </w:pPr>
            <w:hyperlink w:anchor="part_ii">
              <w:r>
                <w:rPr>
                  <w:rStyle w:val="InternetLink"/>
                  <w:rFonts w:ascii="Times New Roman" w:hAnsi="Times New Roman"/>
                  <w:b/>
                  <w:color w:val="0000FF"/>
                  <w:sz w:val="20"/>
                </w:rPr>
                <w:t>PART II</w:t>
              </w:r>
            </w:hyperlink>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rPr>
                <w:t>Market for Registrant’s Common Equity, Related Stockholder Matters and Issuer Purchases of Equity Securities</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6_reserved">
              <w:r>
                <w:rPr>
                  <w:rStyle w:val="InternetLink"/>
                  <w:rFonts w:ascii="Times New Roman" w:hAnsi="Times New Roman"/>
                  <w:color w:val="000080"/>
                  <w:sz w:val="20"/>
                </w:rPr>
                <w:t>[Reserved]</w:t>
              </w:r>
            </w:hyperlink>
            <w:r>
              <w:rPr>
                <w:rFonts w:ascii="Times New Roman" w:hAnsi="Times New Roman"/>
                <w:color w:val="0000FF"/>
                <w:sz w:val="20"/>
              </w:rPr>
              <w:t xml:space="preserve"> </w:t>
            </w:r>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rPr>
                <w:t>Quantitative and Qualitative Disclosures About Market Risk</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rPr>
                <w:t>Financial Statements and Supplementary Data</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rPr>
                <w:t>Changes in and Disagreements with Accountants on Accounting and Financial Disclosure</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rPr>
                <w:t>Controls and Procedures</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rPr>
                <w:t>Other Information</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9c_disclosure">
              <w:r>
                <w:rPr>
                  <w:rStyle w:val="InternetLink"/>
                  <w:rFonts w:ascii="Times New Roman" w:hAnsi="Times New Roman"/>
                  <w:color w:val="0000FF"/>
                  <w:sz w:val="20"/>
                </w:rPr>
                <w:t>Disclosure Regarding Foreign Jurisdictions that Prevent Inspections</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894" w:type="dxa"/>
            <w:tcBorders/>
            <w:shd w:fill="FFFFFF" w:val="clear"/>
            <w:vAlign w:val="center"/>
          </w:tcPr>
          <w:p>
            <w:pPr>
              <w:pStyle w:val="TableContents"/>
              <w:bidi w:val="0"/>
              <w:spacing w:before="0" w:after="283"/>
              <w:jc w:val="left"/>
              <w:rPr/>
            </w:pPr>
            <w:hyperlink w:anchor="part_iii">
              <w:r>
                <w:rPr>
                  <w:rStyle w:val="InternetLink"/>
                  <w:rFonts w:ascii="Times New Roman" w:hAnsi="Times New Roman"/>
                  <w:b/>
                  <w:color w:val="0000FF"/>
                  <w:sz w:val="20"/>
                </w:rPr>
                <w:t>PART III</w:t>
              </w:r>
            </w:hyperlink>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rPr>
                <w:t>Directors, Executive Officers and Corporate Governance</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rPr>
                <w:t>Executive Compensation</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rPr>
                <w:t>Security Ownership of Certain Beneficial Owners and Management and Related Stockholder Matters</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rPr>
                <w:t>Certain Relationships and Related Transactions, and Director Independence</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rPr>
                <w:t>Principal Accounting Fees and Services</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894" w:type="dxa"/>
            <w:tcBorders/>
            <w:shd w:fill="FFFFFF" w:val="clear"/>
            <w:vAlign w:val="center"/>
          </w:tcPr>
          <w:p>
            <w:pPr>
              <w:pStyle w:val="TableContents"/>
              <w:bidi w:val="0"/>
              <w:spacing w:before="0" w:after="283"/>
              <w:jc w:val="left"/>
              <w:rPr/>
            </w:pPr>
            <w:hyperlink w:anchor="part_iv">
              <w:r>
                <w:rPr>
                  <w:rStyle w:val="InternetLink"/>
                  <w:rFonts w:ascii="Times New Roman" w:hAnsi="Times New Roman"/>
                  <w:b/>
                  <w:color w:val="0000FF"/>
                  <w:sz w:val="20"/>
                </w:rPr>
                <w:t>PART IV</w:t>
              </w:r>
            </w:hyperlink>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rPr>
                <w:t>Exhibits, Financial Statement Schedules</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8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146" w:type="dxa"/>
            <w:tcBorders/>
            <w:shd w:fill="FFFFFF" w:val="clear"/>
            <w:vAlign w:val="center"/>
          </w:tcPr>
          <w:p>
            <w:pPr>
              <w:pStyle w:val="TableContents"/>
              <w:bidi w:val="0"/>
              <w:spacing w:before="0" w:after="283"/>
              <w:jc w:val="left"/>
              <w:rPr/>
            </w:pPr>
            <w:r>
              <w:rPr/>
              <w:t> </w:t>
            </w:r>
          </w:p>
        </w:tc>
        <w:tc>
          <w:tcPr>
            <w:tcW w:w="8507" w:type="dxa"/>
            <w:tcBorders/>
            <w:shd w:fill="FFFFFF" w:val="cle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rPr>
                <w:t>Form 10-K Summary</w:t>
              </w:r>
            </w:hyperlink>
          </w:p>
        </w:tc>
        <w:tc>
          <w:tcPr>
            <w:tcW w:w="146" w:type="dxa"/>
            <w:tcBorders/>
            <w:shd w:fill="FFFFFF" w:val="clear"/>
            <w:vAlign w:val="center"/>
          </w:tcPr>
          <w:p>
            <w:pPr>
              <w:pStyle w:val="TableContents"/>
              <w:bidi w:val="0"/>
              <w:spacing w:before="0" w:after="283"/>
              <w:jc w:val="center"/>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cautionary_note_regarding_forwardlooking"/>
      <w:bookmarkEnd w:id="2"/>
      <w:r>
        <w:rPr>
          <w:rFonts w:ascii="Times New Roman" w:hAnsi="Times New Roman"/>
          <w:b/>
          <w:color w:val="000000"/>
          <w:sz w:val="20"/>
        </w:rPr>
        <w:t>CAUTIONARY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report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in this report include statements about, among other things: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developments, projections, and trends relating to us, our competitors, and our industry;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plans for our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integrate any acquired businesses and technologies and to realize the value of any acquired entities, joint ventures, or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operating performance, including our ability to stabilize the historical fluctuations in our performance and to achieve, maintain, or grow profitability;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rate and degree of market acceptance and adoption of our tests and testing services and other anticipated trends in our industry;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competitive advantages and our ability to remain competitive, particularly if the testing markets continue to expand, and competition becomes more acute;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continue to expand our test menu and introduce other improvements to our tests;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continued ability to offer affordable pricing for our tests, to maintain the low internal costs of our business model, and to record acceptable margins on our sales;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and our ability to develop our drug candidates, to satisfy the U.S. Food and Drug Administration’s, or FDA’s, regulatory requirements, and to commercialize our drug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anticipated progress of our drug candidate development programs, including whether our ongoing and potential future clinical trials will achieve clinically relevant results;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generate data and conduct analyses to support the regulatory approval of our drug candidates and our plans to pursue discussions with regulatory authorities, and the anticipated timing, scope and outcome of related regulatory actions or guidance;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success of our competitors’ research and development efforts for drug candidates seeking to treat similar or the same indication as our drug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strengthen our existing base of customers by maintaining or increasing demand from these customers;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grow and diversify our customer base;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reliance on a limited number of suppliers and their ability to adapt to possible disruptions in their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use of our laboratory facilities and our ability to adapt in the event we need to relocate or in the event any of our facilities are damaged or rendered inoperable;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plans for future sales and marketing efforts;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advancements in technology by us and our competitors;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use of technology and ability to prevent security breaches; unauthorized use or disclosure of health information, personal information, or sensitive personal information; loss of data; and other disruptions;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effectively manage any growth we may experience, including expanding our infrastructure, developing increased efficiencies in our operations, and hiring additional skilled personnel in order to support any such growth;</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developments with respect to U.S. and foreign laws and regulations applicable to our business, and our ability to comply with these regulations, and the results or potential liability associated with disclosure pursuant to any voluntary disclosure process by and between us and applicable regulatory agencies and bodies;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effectively respond to the results of payor audits and government audits, such as our currently pending HRSA audit;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prevent errors in interpreting the results of our tests so as to avoid product liability and professional liability claims;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obtain and maintain coverage and adequate reimbursement for our tests and to manage the complexity of billing and collecting such reimbursement;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state of the U.S. and foreign healthcare markets, including the role of governments in the healthcare industry, generally, pressures or incentives to reduce healthcare costs while expanding individual benefits, and the impact of general uncertainty in the U.S. healthcare regulatory environment;</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attract, retain, and motivate key scientific and management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obtain and maintain protection of our trade secrets, licensed intellectual property, patent rights, and other intellectual property rights and to not infringe the rights of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expectations regarding inflation and our future expense levels and our ability to appropriately forecast and plan our expenses;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regarding our future capital requirements and our ability to obtain additional capital if and when needed;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impact of the above factors and other future events on the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are subject to a number of risks and uncertainties, including, among others, those described under Item 1A, “Risk Factors” and elsewhere in this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report may not occur, and actual results could differ materially and adversely from those described in or implied by any forward-looking statements we make. Although we have based our forward-looking statements on assumptions and expectations that we believe are reasonable, we cannot guarantee future results, levels of activity, performance or achievements, or other future events. As a result, forward-looking statements should not be relied on or viewed as predictions of future events, and this report should be read with the understanding that our actual future results, levels of activity, performance and achievements, or other future events may be materially different than what we currently expect.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forward-looking statements in this report speak only as of the date of this document, and except as required by law, we undertake no obligation to update publicly any forward-looking statements for any reason after the date of this report to conform these statements to actual results or to changes in our expectations.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qualify all of our forward-looking statements by this cautionary note.</w:t>
      </w:r>
    </w:p>
    <w:p>
      <w:pPr>
        <w:pStyle w:val="TextBody"/>
        <w:bidi w:val="0"/>
        <w:spacing w:before="360" w:after="283"/>
        <w:jc w:val="center"/>
        <w:rPr>
          <w:rFonts w:ascii="Times New Roman" w:hAnsi="Times New Roman"/>
          <w:color w:val="000000"/>
          <w:sz w:val="20"/>
        </w:rPr>
      </w:pPr>
      <w:r>
        <w:rPr>
          <w:rFonts w:ascii="Times New Roman" w:hAnsi="Times New Roman"/>
          <w:color w:val="000000"/>
          <w:sz w:val="20"/>
        </w:rPr>
        <w:t>* * * * * *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We own registered or unregistered trademark rights to </w:t>
      </w:r>
      <w:r>
        <w:rPr>
          <w:rFonts w:ascii="Times New Roman" w:hAnsi="Times New Roman"/>
          <w:i/>
          <w:caps/>
          <w:color w:val="000000"/>
          <w:sz w:val="20"/>
        </w:rPr>
        <w:t>Fulgent</w:t>
      </w:r>
      <w:r>
        <w:rPr>
          <w:rFonts w:ascii="Times New Roman" w:hAnsi="Times New Roman"/>
          <w:i/>
          <w:color w:val="000000"/>
          <w:sz w:val="13"/>
        </w:rPr>
        <w:t>®</w:t>
      </w:r>
      <w:r>
        <w:rPr>
          <w:rFonts w:ascii="Times New Roman" w:hAnsi="Times New Roman"/>
          <w:i/>
          <w:color w:val="000000"/>
          <w:sz w:val="20"/>
        </w:rPr>
        <w:t xml:space="preserve">, </w:t>
      </w:r>
      <w:r>
        <w:rPr>
          <w:rFonts w:ascii="Times New Roman" w:hAnsi="Times New Roman"/>
          <w:i/>
          <w:caps/>
          <w:color w:val="000000"/>
          <w:sz w:val="20"/>
        </w:rPr>
        <w:t>Picture Genetics</w:t>
      </w:r>
      <w:r>
        <w:rPr>
          <w:rFonts w:ascii="Times New Roman" w:hAnsi="Times New Roman"/>
          <w:i/>
          <w:color w:val="000000"/>
          <w:sz w:val="13"/>
        </w:rPr>
        <w:t>®</w:t>
      </w:r>
      <w:r>
        <w:rPr>
          <w:rFonts w:ascii="Times New Roman" w:hAnsi="Times New Roman"/>
          <w:i/>
          <w:color w:val="000000"/>
          <w:sz w:val="20"/>
        </w:rPr>
        <w:t>, BEACON</w:t>
      </w:r>
      <w:r>
        <w:rPr>
          <w:rFonts w:ascii="Times New Roman" w:hAnsi="Times New Roman"/>
          <w:i/>
          <w:color w:val="000000"/>
          <w:sz w:val="13"/>
        </w:rPr>
        <w:t>®</w:t>
      </w:r>
      <w:r>
        <w:rPr>
          <w:rFonts w:ascii="Times New Roman" w:hAnsi="Times New Roman"/>
          <w:i/>
          <w:color w:val="000000"/>
          <w:sz w:val="20"/>
        </w:rPr>
        <w:t>, INFORMDX</w:t>
      </w:r>
      <w:r>
        <w:rPr>
          <w:rFonts w:ascii="Times New Roman" w:hAnsi="Times New Roman"/>
          <w:i/>
          <w:color w:val="000000"/>
          <w:sz w:val="13"/>
        </w:rPr>
        <w:t>®</w:t>
      </w:r>
      <w:r>
        <w:rPr>
          <w:rFonts w:ascii="Times New Roman" w:hAnsi="Times New Roman"/>
          <w:i/>
          <w:color w:val="000000"/>
          <w:sz w:val="20"/>
        </w:rPr>
        <w:t>, LUMERA</w:t>
      </w:r>
      <w:r>
        <w:rPr>
          <w:rFonts w:ascii="Times New Roman" w:hAnsi="Times New Roman"/>
          <w:i/>
          <w:color w:val="000000"/>
          <w:sz w:val="13"/>
        </w:rPr>
        <w:t>®</w:t>
      </w:r>
      <w:r>
        <w:rPr>
          <w:rFonts w:ascii="Times New Roman" w:hAnsi="Times New Roman"/>
          <w:i/>
          <w:color w:val="000000"/>
          <w:sz w:val="20"/>
        </w:rPr>
        <w:t>, and our company name and logo. Any other service marks, trademarks and trade names appearing in this report are the property of their respective owners. We do not use the ® or  symbol in each instance in which one of our trademarks appears in this report, but this should not be construed as any indication that we will not assert our rights thereto to the fullest extent under applicable law.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Fulgent Genetics, Inc., together with its subsidiaries and affiliated professional corporations with which the Company has a management services arrangement, are collectively referred to in this Annual Report on Form 10-K as the “Company,” “Fulgent,” “we,” “us,” and “our.”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bookmarkStart w:id="4" w:name="item_1_business"/>
      <w:bookmarkEnd w:id="4"/>
      <w:r>
        <w:rPr>
          <w:rFonts w:ascii="Times New Roman" w:hAnsi="Times New Roman"/>
          <w:b/>
          <w:color w:val="000000"/>
          <w:sz w:val="20"/>
        </w:rPr>
        <w:t>Item 1. Business.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technology-based company with a well-established laboratory services business and a therapeutic development business. Our laboratory services business—to which we formerly referred as our clinical diagnostic business, includes technical laboratory services and professional interpretation of laboratory results by licensed physicians. Our therapeutic development business is focused on developing drug candidates for treating a broad range of cancers using a novel nanoencapsulation and targeted therapy platform designed to improve the therapeutic window and pharmacokinetic profile, or PK profile, of new and existing cancer drugs.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Mission and Vision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Founded in 2011, Fulgent began with two simple ideas: flexibility and affordability. We offer and develop flexible and affordable diagnostic and genetic tests and testing services designed to improve patient care and quality of life. We strive to provide the most effective and wide-ranging genetic and diagnostic testing menu on the market. Our long-term vision is to transform from a diagnostic business into a fully integrated precision medicine company focused on oncology.</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Our Laboratory Services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broad testing capabilities with a testing and testing services menu that is scalable and affordable to our customers. Our testing and testing services include:</w:t>
      </w:r>
    </w:p>
    <w:p>
      <w:pPr>
        <w:pStyle w:val="TextBody"/>
        <w:bidi w:val="0"/>
        <w:jc w:val="left"/>
        <w:rPr/>
      </w:pPr>
      <w:r>
        <w:rPr/>
        <w:drawing>
          <wp:inline distT="0" distB="0" distL="0" distR="0">
            <wp:extent cx="43815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8150" cy="438150"/>
                    </a:xfrm>
                    <a:prstGeom prst="rect">
                      <a:avLst/>
                    </a:prstGeom>
                  </pic:spPr>
                </pic:pic>
              </a:graphicData>
            </a:graphic>
          </wp:inline>
        </w:drawing>
      </w:r>
      <w:r>
        <w:rPr>
          <w:rFonts w:ascii="Times New Roman" w:hAnsi="Times New Roman"/>
          <w:color w:val="000000"/>
          <w:sz w:val="20"/>
        </w:rPr>
        <w:t xml:space="preserve">Our comprehensive anatomic pathology tests and testing services include gastrointestinal pathology, dermatopathology, urologic pathology, breast pathology, neuropathology, and hematopathology. These tests and testing services are supported by our expansive geographic presence with several Clinical Laboratory Improvement Amendments of 1988, or CLIA, licensed laboratories in the United States. </w:t>
      </w:r>
    </w:p>
    <w:p>
      <w:pPr>
        <w:pStyle w:val="TextBody"/>
        <w:bidi w:val="0"/>
        <w:jc w:val="left"/>
        <w:rPr/>
      </w:pPr>
      <w:r>
        <w:rPr/>
        <w:drawing>
          <wp:inline distT="0" distB="0" distL="0" distR="0">
            <wp:extent cx="428625" cy="43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28625" cy="438150"/>
                    </a:xfrm>
                    <a:prstGeom prst="rect">
                      <a:avLst/>
                    </a:prstGeom>
                  </pic:spPr>
                </pic:pic>
              </a:graphicData>
            </a:graphic>
          </wp:inline>
        </w:drawing>
      </w:r>
      <w:r>
        <w:rPr>
          <w:color w:val="000000"/>
        </w:rPr>
        <w:t xml:space="preserve"> </w:t>
      </w:r>
      <w:r>
        <w:rPr>
          <w:rFonts w:ascii="Times New Roman" w:hAnsi="Times New Roman"/>
          <w:color w:val="000000"/>
          <w:sz w:val="20"/>
        </w:rPr>
        <w:t>Our precision diagnostics testing services include next-generation sequencing, or NGS, tests for biopharma research and clinical tests for rare disease, hereditary cancer, reproductive health, and many other disease subtypes. Our precision diagnostic testing also include specialized oncology tests and testing services utilize a wide array of technologies. These test and testing services utilize flow cytometry; cytogenetic analysis; florescence in-situ, or FISH; immunohistochemistry; molecular genetics; NGS; and consultations in hematopathology and surgical pathology.</w:t>
      </w:r>
    </w:p>
    <w:p>
      <w:pPr>
        <w:pStyle w:val="TextBody"/>
        <w:bidi w:val="0"/>
        <w:jc w:val="left"/>
        <w:rPr/>
      </w:pPr>
      <w:r>
        <w:rPr/>
        <w:drawing>
          <wp:inline distT="0" distB="0" distL="0" distR="0">
            <wp:extent cx="438150"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38150" cy="447675"/>
                    </a:xfrm>
                    <a:prstGeom prst="rect">
                      <a:avLst/>
                    </a:prstGeom>
                  </pic:spPr>
                </pic:pic>
              </a:graphicData>
            </a:graphic>
          </wp:inline>
        </w:drawing>
      </w:r>
      <w:r>
        <w:rPr>
          <w:color w:val="000000"/>
        </w:rPr>
        <w:t xml:space="preserve"> </w:t>
      </w:r>
      <w:r>
        <w:rPr>
          <w:rFonts w:ascii="Times New Roman" w:hAnsi="Times New Roman"/>
          <w:color w:val="000000"/>
          <w:sz w:val="20"/>
        </w:rPr>
        <w:t>We also offer clinical testing services or sequencing as a service to pharmaceutical or biotech companies, contract research organization, or CROs, or sponsored testing programs, which we call BioPharma services.</w:t>
      </w:r>
    </w:p>
    <w:p>
      <w:pPr>
        <w:pStyle w:val="TextBody"/>
        <w:bidi w:val="0"/>
        <w:jc w:val="left"/>
        <w:rPr/>
      </w:pPr>
      <w:r>
        <w:rPr/>
        <w:t> </w:t>
      </w:r>
    </w:p>
    <w:p>
      <w:pPr>
        <w:pStyle w:val="TextBody"/>
        <w:bidi w:val="0"/>
        <w:jc w:val="left"/>
        <w:rPr/>
      </w:pPr>
      <w:r>
        <w:rPr/>
        <w:drawing>
          <wp:inline distT="0" distB="0" distL="0" distR="0">
            <wp:extent cx="952500" cy="209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52500" cy="209550"/>
                    </a:xfrm>
                    <a:prstGeom prst="rect">
                      <a:avLst/>
                    </a:prstGeom>
                  </pic:spPr>
                </pic:pic>
              </a:graphicData>
            </a:graphic>
          </wp:inline>
        </w:drawing>
      </w:r>
      <w:r>
        <w:rPr>
          <w:rFonts w:ascii="Times New Roman" w:hAnsi="Times New Roman"/>
          <w:color w:val="000000"/>
          <w:sz w:val="20"/>
        </w:rPr>
        <w:t>Individual customers may also purchase certain tests and testing services through our direct-to-consumer Picture Genetics platform. These Picture Genetics tests help customers identify important health markers in their personal DNA.</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Our Therapeutic Development Business - Fulgent Pharma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2022, we completed our acquisition of Fulgent Pharma Holdings, Inc., or Fulgent Pharma. Our efforts at Fulgent Pharma are based on a </w:t>
      </w:r>
      <w:r>
        <w:rPr>
          <w:rFonts w:ascii="Times New Roman" w:hAnsi="Times New Roman"/>
          <w:color w:val="222222"/>
          <w:sz w:val="20"/>
        </w:rPr>
        <w:t>novel nano-drug delivery platform technology capable of delivering various water insoluble or poorly soluble drugs. Unlike some drug delivery materials such as Human Serum Albumin, which is only soluble in water, our nano-drug delivery materials used for drug candidate development are soluble not only in water, but also in various organic solvents, as well as capable of hot melt mixing with active pharmaceutical ingredients, or APIs. We believe these advantages will allow us to generate a much broader range of drug candidate formulations, particularly amorphous drug candidate formulations, which can be used for both IV and oral formulations with a goal to improve PK profile, as well as safety and efficacy.</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The first drug candidate we are developing with this platform is FID-007, a nanoencapsulated paclitaxel, and the target markets we have chosen to investigate for this drug candidate are large and well-established, including head and neck, or H&amp;N, pancreatic, breast, and non-small cell lung cancer, or NSCLC, as shown in the figures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drawing>
          <wp:inline distT="0" distB="0" distL="0" distR="0">
            <wp:extent cx="6134100" cy="2628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134100" cy="2628900"/>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Note: U.S. opportunity shown</w:t>
      </w:r>
    </w:p>
    <w:p>
      <w:pPr>
        <w:pStyle w:val="TextBody"/>
        <w:bidi w:val="0"/>
        <w:jc w:val="left"/>
        <w:rPr>
          <w:rFonts w:ascii="Times New Roman" w:hAnsi="Times New Roman"/>
          <w:color w:val="000000"/>
          <w:sz w:val="16"/>
        </w:rPr>
      </w:pPr>
      <w:r>
        <w:rPr>
          <w:rFonts w:ascii="Times New Roman" w:hAnsi="Times New Roman"/>
          <w:color w:val="000000"/>
          <w:sz w:val="16"/>
        </w:rPr>
        <w:t>Sources: Evaluate Pharma, Wall Street research, and management pricing expectations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H&amp;N market opportunity for both 2</w:t>
      </w:r>
      <w:r>
        <w:rPr>
          <w:rFonts w:ascii="Times New Roman" w:hAnsi="Times New Roman"/>
          <w:color w:val="000000"/>
          <w:sz w:val="11"/>
        </w:rPr>
        <w:t>nd</w:t>
      </w:r>
      <w:r>
        <w:rPr>
          <w:color w:val="000000"/>
        </w:rPr>
        <w:t xml:space="preserve"> </w:t>
      </w:r>
      <w:r>
        <w:rPr>
          <w:rFonts w:ascii="Times New Roman" w:hAnsi="Times New Roman"/>
          <w:color w:val="000000"/>
          <w:sz w:val="16"/>
        </w:rPr>
        <w:t>line and 3rd line therapy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pPr>
      <w:r>
        <w:rPr>
          <w:rFonts w:ascii="Times New Roman" w:hAnsi="Times New Roman"/>
          <w:color w:val="000000"/>
          <w:sz w:val="16"/>
        </w:rPr>
        <w:t>Ampullary market opportunity for 2</w:t>
      </w:r>
      <w:r>
        <w:rPr>
          <w:rFonts w:ascii="Times New Roman" w:hAnsi="Times New Roman"/>
          <w:color w:val="000000"/>
          <w:sz w:val="11"/>
        </w:rPr>
        <w:t>nd</w:t>
      </w:r>
      <w:r>
        <w:rPr>
          <w:color w:val="000000"/>
        </w:rPr>
        <w:t xml:space="preserve"> </w:t>
      </w:r>
      <w:r>
        <w:rPr>
          <w:rFonts w:ascii="Times New Roman" w:hAnsi="Times New Roman"/>
          <w:color w:val="000000"/>
          <w:sz w:val="16"/>
        </w:rPr>
        <w:t>line therapy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FID-007 is currently being investigated in the United States to treat patients diagnosed with various cancers including H&amp;N, ampullary, and pancreatic cancer. We have completed a Phase1/1b dose escalation/expansion clinical trial for evaluation of FID-007 in treating patients diagnosed with solid tumors. Phase 1/1b was conducted at clinical trial sites in the United States and enrolled 40 patients with advanced solid tumors to evaluate the safety, PK, and efficacy of FID-007. In June 2023, we announced interim data from our Phase 1/1b clinical study of FID-007 in treating various solid tumors. Of the 40 evaluable patients with weekly dose levels from 15 mg/m2 to 160 mg/m2 using a standard 3+3 dose escalation design, FID-007 was given intravenously on Days 1, 8, and 15 of a 28-day cycle. No maximum tolerated dose (MTD) was observed. As set forth in the swimmer plot prepared as of June 2, 2023, we observed partial responses by RECIST 1.1 (pancreatic, biliary tract, and HNSCC) in 7 (18%) patients and observed stable disease in 14 (35%) patients. Thirty-six patients with a median age of 61 (39-65) were treated across 7 dose levels. We observed two dose limiting toxicities (DLT) of grade 3 rash at 100 mg/m2. Given the transient nature of the rash and response to topical therapy, the DLT definition was modified to exclude grade 3 rash that lasts ≤ 7 days, and three additional patients were treated at 100 mg/m2 which was deemed tolerable. One DLT of grade 4 white blood cell count decrease at 125 mg/m2, and one DLT of G3 febrile neutropenia at 160 mg/m2 was observed. All grade treatment related adverse events (TRAEs) in ≥ 25% of pts were rash (64%), alopecia (56%), leukopenia (47%), pruritus (44%), neutropenia (42%), anemia (42%), fatigue (39%), nausea (33%), anorexia (31%), dysgeusia (25%) and peripheral sensory neuropathy (25%). Grade 3/4 TRAEs occurring in &gt;1 pt were maculopapular rash (25%), anemia, neutropenia, and leukopenia (17% each). Of 36 evaluable patients, 7 (19%) had a partial response by RECIST 1.1 (pancreatic, biliary tract, and HNSCC) and 13 (36%) had stable disease. Three out of 4 HNSCC patients with partial responses had previously been treated with taxane. The duration of follow-up (months), median (range) is 12.0 (0.4 - 38.9). No high-grade neuropathy has been observed to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observed FID-007 to have a manageable safety profile and observed preliminary evidence of anti-tumor activity in heavily pre-treated patients across various tumor types. The PK observed was linear, dose proportional, and comparable to that of nab paclitaxel. </w:t>
      </w:r>
    </w:p>
    <w:p>
      <w:pPr>
        <w:pStyle w:val="TextBody"/>
        <w:bidi w:val="0"/>
        <w:spacing w:before="240" w:after="283"/>
        <w:jc w:val="center"/>
        <w:rPr/>
      </w:pPr>
      <w:r>
        <w:rPr/>
        <w:drawing>
          <wp:inline distT="0" distB="0" distL="0" distR="0">
            <wp:extent cx="6858000" cy="4276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4276725"/>
                    </a:xfrm>
                    <a:prstGeom prst="rect">
                      <a:avLst/>
                    </a:prstGeom>
                  </pic:spPr>
                </pic:pic>
              </a:graphicData>
            </a:graphic>
          </wp:inline>
        </w:drawing>
      </w:r>
      <w:r>
        <w:rPr/>
        <w:t>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*Source: ASCO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overall tolerability, pharmacokinetics, and efficacy, 125mg/m2 has been chosen as the recommended Phase 2 dose (RP2D). We expect to begin enrollment for a Phase 2, randomized, multicenter, open-label, study of FID-007 in patients with recurrent or metastatic H&amp;N squamous cell carcinoma in the second quarter of 2024. We intend to seek regulatory approval in the United States using the 505(b)(2) pathway, which may shorten the clinical trial process and accelerate potential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engaged in preclinical development utilizing our nano-drug delivery platform focused on various cancers. By the end of 2024, we expect to file an IND for FID-022 to evaluate this drug candidate in patients with colon cancer.</w:t>
      </w:r>
    </w:p>
    <w:p>
      <w:pPr>
        <w:pStyle w:val="TextBody"/>
        <w:bidi w:val="0"/>
        <w:spacing w:before="360" w:after="283"/>
        <w:jc w:val="center"/>
        <w:rPr>
          <w:rFonts w:ascii="Times New Roman" w:hAnsi="Times New Roman"/>
          <w:sz w:val="20"/>
        </w:rPr>
      </w:pPr>
      <w:r>
        <w:rPr>
          <w:rFonts w:ascii="Times New Roman" w:hAnsi="Times New Roman"/>
          <w:b/>
          <w:color w:val="000000"/>
          <w:sz w:val="20"/>
        </w:rPr>
        <w:t>Our Technology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proprietary technology platform for our laboratory services business includes proprietary gene probes, data suppression and comparison algorithms, adaptive learning software, and proprietary laboratory information management systems. This platform provides a broad test menu, the ability to rapidly develop and launch new tests, customizable test offerings, lower costs per test, and high efficiency. As an example, this technology platform allowed us to rapidly respond to the 2019 novel coronavirus disease, or COVID-19, pandemic and scale our business to provide COVID-19 tests with reliable results and rapid turnaround time in a way that surpassed even our largest competitors. Although we have scaled back our COVID-19 business, we are proud that through this effort we supplied approximately 19.4 million COVID-19 tests from 2020 through 2023, generating over $1.7 billion in revenue.</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Our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classify our customers in our laboratory services business by their payor types: (i) Insurance; (ii) Institutional, including hospitals, medical institutions, other laboratories, governmental bodies, payors, municipalities, and large corporations; and (iii) Patients who pay directly. Typically, we bill our Institutional customers for our tests, and they are responsible for paying us directly. A small percentage of our customers are patients, who elect to pay for tests themselves with out-of-pocket payments after their physicians have ordered our tests.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consider each single billing and paying unit to be an individual customer, even though a unit may represent multiple physicians and healthcare providers ordering tests. Aggregating customers that are under common control, one of our customers contributed $35.7 million or 12% of our total revenue in 2023, and a different customer contributed $115.6 million or 19% of our revenue in 2022.</w:t>
      </w:r>
    </w:p>
    <w:p>
      <w:pPr>
        <w:pStyle w:val="TextBody"/>
        <w:bidi w:val="0"/>
        <w:spacing w:before="360" w:after="283"/>
        <w:jc w:val="center"/>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marketing force for our laboratory services business currently consists of internal teams of sales and marketing professionals, respectively, with deep experience in our industry, as well as a network of field-based sales representatives who are knowledgeable about our tests. Historically, we have significantly relied on organic growth and word-of-mouth among our customers to generate interest in our tests, which we believe demonstrates the value of our offerings. In recent years, we have invested significant time and capital to strengthen our sales and marketing efforts, including increasing the size and restructuring the organization of our internal team, re-focusing our initiatives and strategies, and increasing the overall scope of our marketing activities. On a regular basis, we continue to evaluate the need to grow the size of our sales team and marketing resources.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Our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 limited number of suppliers for certain laboratory substances used in the chemical reactions incorporated into our tests and testing services, which we refer to as reagents, as well as for the sequencers, and various other equipment and materials we use in our laboratory operations. In particular, we rely on Illumina, Inc., or Illumina, as the sole supplier of the next generation sequencers and associated reagents we use to perform our genetic tests and as the sole provider of maintenance and repair services for these sequencers; on Roche Holdings AG for certain laboratory equipment, supplies, and services for our immunohistochemistry services; on Beckman Coulter Diagnostics for certain laboratory equipment, supplies, and services for our flow cytometry tests and testing services; and on Abbott Laboratories for certain laboratory equipment, supplies, and services for our FISH tests and testing services. Additionally, our therapeutic development business relies on ANP Technologies, Inc. for certain laboratory services, equipment, tools, and drug intermediates in connection with our research and development efforts. While there are several sequencer suppliers that we believe could replace Illumina, and while we believe that we have sufficient alternative suppliers for our other needs, our laboratory operations or therapeutic development efforts could be interrupted if we encounter delays or difficulties in connection with securing these supplies, services, reagents, sequencers, other equipment, materials, or maintenance and repair services, which could occur for a variety of reasons, including if we need a replacement or temporary substitute for any of our limited or sole suppliers and are not able to locate and make arrangements with an acceptable replacement or temporary substitute.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for our laboratory services business include dozens of companies focused on pathology, genetic, and diagnostic testing services, including specialty and reference laboratories that offer traditional single-gene and multi-gene tests and other diagnostic test providers. Principal competitors include companies such as Ambry Genetics Corporation, a subsidiary of Konica Minolta, Inc.; Baylor Genetics, LLC; Caris Life Sciences, LLC; Exact Sciences Corporation; Foundation Medicine, Inc.; GeneDx Holdings Corp; Guardant Health, Inc.; Invitae Corporation; Laboratory Corporation of America Holdings; Myriad Genetics, Inc.; Natera, Inc.; NeoGenomics Laboratories, Inc.; PerkinElmer, Inc.; Quest Diagnostics Incorporated; Tempus AI, Inc.; and other commercial and academic laboratories. Other established and emerging healthcare, information technology, and service companies may develop and sell competitive tests, which may include informatics, analysis, integrated genetic tools and services for health and wellness.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participants in closely related markets, such as prenatal testing and clinical trial or companion diagnostic testing, could converge on offerings that are competitive with the type of tests we perform. Our principal competitors in this space include companies such as Invitae Corporation; Laboratory Corporation of America Holdings; Natera, Inc.; Myriad Genetics, Inc.; Quest Diagnostics Incorporated; and other commercial and academic laboratories. Instances where potential competitors are aligned with key suppliers or are themselves suppliers could provide these potential competitors with significant advantages. Further, hospitals, research institutions, and eventually individual physicians and other practitioners may also seek to perform at their own facilities the type of genetic or diagnostic testing we would otherwise perform for them. In this regard, continued development of, and potential associated relative decreases in the cost of, equipment, reagents, and other materials and databases and genetic data interpretation services may enable broader direct participation in genetic testing and analysis and drive down the use of third-party testing companies such as ours. Moreover, cost decreases and increased direct participation, as well as cost-saving initiatives on the part of government entities and other third-party payors could intensify the downward pressure on the price for genetic analysis and interpretation generally. Moreover, the clinical diagnostic testing field continues to undergo significant consolidation, permitting larger clinical laboratory service providers to increase cost efficiencies and service levels and potentially resulting in more intense competition. The development and commercialization of new drug candidates is highly competitive. Our competitors include drug delivery platform companies and 505(b)(2) drug developers in the cancer therapeutics area. Principal competitors include companies making nano drugs such as Bristol-Myers Squibb, academic research institutions, government agencies, and various other public and private research institutions.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we compare favorably with our competitors. However, many of our competitors have longer operating histories; larger customer bases; more expansive brand recognition; established manufacturing capabilities and facilities; deeper market penetration; substantially greater financial, technological, and research and development resources; and selling and marketing capabilities and considerably more experience dealing with third-party payors. As a result, they may be able to respond more quickly to changes in customer requirements or preferences, develop faster and better advancements for their technologies, product candidates and tests, create and implement more successful strategies for the promotion and sale of their tests, obtain more favorable results from third-party payors regarding coverage and reimbursement for their offerings, adopt more aggressive pricing policies for their tests, secure supplies from vendors on more favorable terms, or devote substantially more resources to infrastructure and systems development. In addition, competitors may be acquired by, receive investments from, or enter into other commercial relationships with larger, well-established, and well-financed companies. Smaller or early-stage companies may also prove to be significant competitors, particularly through collaborative arrangements with large and established companies. Further, companies or governments that effectively control access to genetic or diagnostic testing through umbrella contracts or regional preferences could promote our competitors or prevent us from performing certain tests in certain territories. We may not be able to compete effectively against these organizations.</w:t>
      </w:r>
    </w:p>
    <w:p>
      <w:pPr>
        <w:pStyle w:val="TextBody"/>
        <w:bidi w:val="0"/>
        <w:spacing w:before="240" w:after="283"/>
        <w:jc w:val="center"/>
        <w:rPr>
          <w:rFonts w:ascii="Times New Roman" w:hAnsi="Times New Roman"/>
          <w:sz w:val="20"/>
        </w:rPr>
      </w:pPr>
      <w:r>
        <w:rPr>
          <w:rFonts w:ascii="Times New Roman" w:hAnsi="Times New Roman"/>
          <w:b/>
          <w:color w:val="000000"/>
          <w:sz w:val="20"/>
        </w:rPr>
        <w:t>Other 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assembled a highly qualified team with expertise in a number of fields important to our business, such as bioinformatics, genetics, software engineering, laboratory management, and sales and marketing. This team conducts all of our research and development activities related to our laboratory services business, including efforts to develop and curate our expansive library of genetic information and further expand our technology platform.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Intellectual property is essential to our strategy and capturing the value of research output. We rely on a combination of registered and unregistered intellectual property rights, including trade secrets, certain licenses, patents, trademarks, and customary contractual protections, to protect our core technology and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principally rely on trade secrets and know-how to protect the proprietary technology platform we use in our laboratory services business to develop and maintain our competitive position. We seek to protect our proprietary technology and processes, and obtain and maintain ownership of certain technologies, in part, through non-disclosure and intellectual property assignment agreements with our employees, consultants, and commercial partners. In general, these agreements provide that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further provide that inventions and discoveries conceived or reduced to practice by the individual that are related to our business, or actual, or demonstrably anticipated, research or development, or made during normal working hours, on our premises or using our equipment, supplies, or proprietary information, are our exclusive property. In many cases our agreements with consultants, outside scientific collaborators, sponsored researchers and other service providers and advisors require them to assign, or grant us licenses to, inventions resulting from the work or services they render under such agreements or grant us an option to negotiate a license to use such inventions. We also seek to preserve the integrity and confidentiality of our proprietary technology and processes by maintaining physical security of our premises and physical and electronic security of our information technology systems.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we seek to obtain and maintain, patent rights intended to cover the technologies incorporated into, or used to produce, our drug candidates, the compositions of matter of our drug candidates and their methods of use and manufacture, as well as other inventions that are important to our business. The patent families comprising our patent portfolio are primarily focused on our nano-drug delivery platform technology, including FID-007 and other candidates we may develop, for delivery of water insoluble or poorly soluble drugs for treatments of disease conditions, including cancer. Worldwide, we own or exclusively in-license over 30 issued or allowed patents and over 10 active patent applications as of December 31, 2023. This includes 10 issued or allowed US patents. Patents in these patent families are expected to expire by 2034, and patent applications in these patent families, if granted, are expected to expire as far out as 2044 subject to any patent term disclaimers, adjustments, or extensions. Patents and/or patent applications in these families are active in multiple jurisdictions, including, the United States, Australia, Canada, China, European Patent Organization, German, New Zealand, Japan, and Switzerland. In addition to these owned and exclusively licensed patents and active patent applications, we also license patents on a non-exclusive and/or territory-restricted basis. In particular, as of December 31, 2023, we own or exclusively in-license 28 issued patents and five patent applications relating to FID-007 and related formulations. United States and foreign patents (Canada, China, Germany, France, Britain, Japan, Australia, and New Zealand) were granted in these families, and these patents are expected to expire by 2034, absent any patent term extension. Individual patent terms extend for varying periods of time, depending upon the date of filing of the patent application, the date of patent issuance, and the legal term of patents in the countries in which they are obtained.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rely on in-licensing opportunities to develop, strengthen, and maintain our proprietary position in the fields targeted by our drug candidates, including FID-007. In June 2017, we entered into an exclusive license agreement with ANP Technologies, Inc., or ANP, as amended on December 28, 2017. Under the agreement, ANP granted us an exclusive, worldwide, perpetual, irrevocable, and sublicensable license to certain rights in patents and patent applications under which we may develop and commercialize FID-007 and related formulations for human therapeutic, prophylactic, and diagnostic uses. We do not currently have any obligations to pay royalties pursuant to the terms of the ANP License Agreement. The ANP License Agreement’s term expires upon the date of expiration or the invalidation of the last of the patents licensed to us unless terminated earlier under its terms. The ANP License Agreement provides ANP the right to terminate for an uncured breach by us, or if we are insolvent, the subject of a bankruptcy proceeding, or potentially other reasons. We may terminate the ANP License Agreement at any time on 90 days’ notice.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ANP License Agreement provides that ANP will be responsible for preparing, filing, prosecuting and maintaining all of the licensed patents at ANP’s expense. If ANP decides that it is not interested in prosecuting or maintaining a particular licensed patent, it will notify us in writing, we will have the right to assume such responsibilities at our own cost and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grant a sublicense provided that the sublicensee agrees to (i) be bound by the terms of the ANP License Agreement; (ii) in the event the sublicensee initiates a proceeding to challenge the enforceability of any licensed patent, ANP may terminate the sublicense agreement; (iii) the ANP License Agreement controls in the event that there is any inconsistency with the sublicense agreement; and (iv) the sublicensee will submit quarterly reports to ANP consistent with the reporting provisions in the ANP License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own registered and unregistered trademark and service mark rights under applicable U.S. and foreign law to distinguish and/or protect our brand, including our company name and logo. </w:t>
      </w:r>
    </w:p>
    <w:p>
      <w:pPr>
        <w:pStyle w:val="TextBody"/>
        <w:bidi w:val="0"/>
        <w:spacing w:before="360" w:after="283"/>
        <w:jc w:val="center"/>
        <w:rPr>
          <w:rFonts w:ascii="Times New Roman" w:hAnsi="Times New Roman"/>
          <w:sz w:val="20"/>
        </w:rPr>
      </w:pPr>
      <w:r>
        <w:rPr>
          <w:rFonts w:ascii="Times New Roman" w:hAnsi="Times New Roman"/>
          <w:b/>
          <w:color w:val="000000"/>
          <w:sz w:val="20"/>
        </w:rPr>
        <w:t>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Federal Regulations Applicable to Our Laboratory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operate clinical laboratories in the United States, we are required to hold certain federal licenses, certifications, and permits to conduct our business. CLIA establishes quality standards for all laboratory testing to ensure the accuracy, reliability and timeliness of patient test results. Our laboratories located in California, Texas, Georgia, Massachusetts, Arizona, and New York are CLIA-certified and are accredited by the College of American Pathologists, or CAP, a Centers for Medicare &amp; Medicaid Services, or CMS, approved accrediting organization.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CLIA requires that we hold certificates for each of our laboratories applicable to the categories of testing that each laboratory performs and that we comply with various standards with respect to personnel qualifications, facility administration, proficiency testing, quality control and assurance, and inspections. Each of our laboratories must obtain a certificate from CMS, the agency that enforces CLIA, and CLIA compliance and certification is a prerequisite to be eligible to bill government payors and many private payors for our tests.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CLIA certificate is valid for two years from the date of issuance. If one or more of our laboratories are found to be out of compliance with CLIA requirements, we may be subject to sanctions such as suspension, limitation, or revocation of our CLIA certificate; a directed plan of correction; on-site monitoring; civil monetary penalties; civil injunctive suits; criminal penalties; exclusion from the Medicare and Medicaid programs; and significant adverse publicity.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elect to participate in the accreditation program of CAP. CMS has deemed CAP standards to be equally or more stringent than CLIA regulations and has approved CAP as a recognized accrediting organization. An inspection by CAP is performed in lieu of inspection by CMS for CAP-accredited laboratories. Because we are accredited by the CAP Laboratory Accreditation Program, we are deemed to also comply with CLIA. </w:t>
      </w:r>
    </w:p>
    <w:p>
      <w:pPr>
        <w:pStyle w:val="TextBody"/>
        <w:bidi w:val="0"/>
        <w:spacing w:before="240" w:after="283"/>
        <w:jc w:val="left"/>
        <w:rPr>
          <w:rFonts w:ascii="Times New Roman" w:hAnsi="Times New Roman"/>
          <w:sz w:val="20"/>
        </w:rPr>
      </w:pPr>
      <w:r>
        <w:rPr>
          <w:rFonts w:ascii="Times New Roman" w:hAnsi="Times New Roman"/>
          <w:b/>
          <w:color w:val="000000"/>
          <w:sz w:val="20"/>
        </w:rPr>
        <w:t>State and Foreign Clinical Laboratory Licensure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laboratories are required to maintain certain state laboratory licenses. State laws establish standards for day-to-day operations of our laboratories, including requirements with respect to the training and skills required of personnel, quality control, and proficiency testing requirements. If our clinical laboratories are out of compliance with the applicable state regulations, state agencies may suspend, restrict, or revoke our license to operate our clinical laboratories, assess substantial civil money penalties or impose specific corrective action plans. Any such actions could materially affect our business. Currently, we maintain good standing with all state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certain states may require licensure for out-of-state laboratories that accept specimens originated from those states. Our Texas laboratories currently hold the out-of-state licenses from California, New York, Maryland, Pennsylvania, and Rhode Island to perform testing on specimens from these states; and our California laboratory holds the required out-of-state laboratory licenses from New York, Maryland, Pennsylvania, and Rhode Island in order to perform testing on specimens from these states. Any laboratory holding a New York license must have a laboratory director who holds a Certificate of Qualification issued by New York’s Department of Health, Clinical Laboratory Evaluation Program, or CLEP, in the permitted categories. The New York state laboratory laws and regulations impose stringent requirements for personnel qualifications, specimen retention, and consent for testing. Among other things, CLEP also requires approval on a test-specific basis before testing can be performed on specimens from New York.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states may adopt similar licensure requirements in the future, which could require us to modify, delay, or discontinue our operations in such jurisdictions. If we identify any other state with such requirements, or if we are contacted by any other state advising us of such requirements, we intend to follow instructions from the state regulators as to how to comply with such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regulation in foreign jurisdictions, which we expect will increase as we seek to expand international utilization of our tests, or if jurisdictions in which we pursue operations adopt new or modified licensure requirements. Foreign licensure requirements could require review and modification of our tests in order to offer them in certain jurisdictions or could impose other limitations, such as restrictions on international data transfer or on the transport of human blood or other tissue necessary for us to perform our tests, that may limit our ability to make our tests available outside of the United States on a broad scale.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FDA Oversight of Our Tests and Testing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tests and testing services that we offer may be considered medical devices. Pursuant to its authority under the Federal Food, Drug, and Cosmetic Act, or FDC Act, the FDA has jurisdiction over medical devices, which are defined to include, among other things, in vitro diagnostic products, or IVDs, used for clinical purposes. The laws and regulations governing the marketing of IVDs are evolving, are extremely complex, and in many instances, there are no significant regulatory or judicial interpretations of these laws and regulations. The FDA regulates, among other things,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 Many of the instruments, reagents, kits, or other consumable products used within our laboratories are regulated as medical devices and therefore must comply with FDA quality system regulations and certain other device requirements. We have policies and procedures in place to ensure that we source such materials from suppliers that are in compliance with any applicable medical device regulatory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tests fall within the definition of laboratory developed tests, or LDTs. LDTs, which are a subset of IVDs that are intended for clinical use and are designed, manufactured, and used within a single laboratory. Although the FDA has statutory authority to assure that medical devices, including IVDs, are safe and effective for their intended uses, the FDA historically exercised enforcement discretion and did not enforce applicable provisions of the FDC Act and regulations with respect to LDTs. However, in October 2023, the FDA issued a proposed rule aimed at regulating LDTs under the current medical device framework and proposing to phase out its existing enforcement discretion policy for this category of diagnostic tests; the public comment period ended in early December 2023. The proposal envisions that the LDT enforcement policy phase-out process would occur in gradual stages over a total period of four years, with pre-market approval applications for high-risk tests to be submitted by the 3.5-year mark, although more details are expected to be provided with the upcoming final rule. The likelihood of the FDA finalizing the proposed rule in April 2024 (as is currently projected), as well as potential litigation challenging the agency’s authority to take such action, is uncertain at this time. Affected stakeholders continue to press for a comprehensive legislative solution to create a harmonized paradigm for oversight of LDTs by both the FDA and CMS, instead of implementation of the proposed FDA administrative action, which may be disruptive to the industry and to patient access to certain diagnostic tests.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though we presently commercialize our tests as LDTs, the FDA may disagree that our marketed tests are within the scope of its LDT criteria, or our tests may in the future become subject to more onerous regulation by the FDA. If and when the FDA begins to actively enforce its premarket submission regulations with respect to LDTs generally or to any of our tests in particular, whether as a result of new legislative authority or following finalization of the recently initiated notice-and-comment rulemaking, depending upon the risk classification of each individual test, we may be required to obtain premarket clearance for our tests under Section 510(k) of the FDC Act or approval of a pre-market approval application, or PMA. The process for submitting a 510(k) premarket notification and receiving FDA clearance usually takes from 3 to 12 months, but it can take significantly longer, and clearance is never guaranteed. The process for submitting and obtaining FDA approval of a PMA generally takes from 1 to 3 years or even longer, and approval is not guaranteed. PMA approval typically requires extensive clinical data and can be significantly longer, more expensive and more uncertain than the 510(k) clearance process. If premarket review is required for some or all of our tests, the FDA could require that we stop selling our tests and testing services pending clearance or approval and conduct clinical testing prior to making submissions to FDA to obtain premarket clearance or approval. The FDA could also require that we label our tests as investigational or limit the labeling claims we are permitted to make.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enforces its medical device requirements by various means, including inspection and market surveillance. If the FDA finds a violation, it can institute a wide variety of enforcement actions, ranging from an Untitled Letter or Warning Letter to more severe sanctions, such as: fines, injunctions, and civil penalties; recall or seizure of products; operating restrictions, partial suspension or total shutdown of production; and criminal prosecution. Failure to comply with any applicable FDA requirements could trigger a range of enforcement actions by the FDA, including warning letters, civil monetary penalties, fines, injunctions, criminal prosecution,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consent decrees, repairs, replacements, refunds, recalls or seizures of products, operating restrictions, partial suspension or total shutdown of operations and denial of or challenges to applications for clearance or approval, as well as significant adverse publicity.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Regulations Regarding Advertising of Laboratory Services or LDTs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advertising for laboratory services and tests is subject to federal truth-in-advertising laws enforced by the Federal Trade Commission, or FTC, as well as comparable state consumer protection laws. Under the Federal Trade Commission Act, or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Rules and Regulations Relating to Payor Reimbursement for our Tests and Testing Services</w:t>
      </w:r>
    </w:p>
    <w:p>
      <w:pPr>
        <w:pStyle w:val="TextBody"/>
        <w:bidi w:val="0"/>
        <w:spacing w:before="120" w:after="283"/>
        <w:jc w:val="left"/>
        <w:rPr>
          <w:rFonts w:ascii="Times New Roman" w:hAnsi="Times New Roman"/>
          <w:sz w:val="20"/>
        </w:rPr>
      </w:pPr>
      <w:r>
        <w:rPr>
          <w:rFonts w:ascii="Times New Roman" w:hAnsi="Times New Roman"/>
          <w:b/>
          <w:i/>
          <w:color w:val="000000"/>
          <w:sz w:val="20"/>
        </w:rPr>
        <w:t>CPT Codes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bill third-party payors, both commercial and government, for our tests and testing services using Current Procedural Terminology, or CPT, codes, which are published by the American Medical Association, or AMA. CPT codes in their current form are not readily applied to many of the genetic tests we conduct. For example, for many of our multi-gene panels, there may not be an appropriate CPT code for one or more of the genes in a panel, in which case our test may be billed under a miscellaneous code for an unlisted molecular pathology procedure. Many third-party payors do not have a set reimbursement rate for this miscellaneous code. Prior to performing a test, we may negotiate the reimbursement rate with the payor if the benefits investigation has determined the test to be medically necessary, and the payor has issued prior authorization. When the test results are delivered, after we file the claim, we may also need to resubmit documentation or appeal a denial. All of these issues can cause delay in the reimbursement of the claim or our inability to get reimbursed.</w:t>
      </w:r>
    </w:p>
    <w:p>
      <w:pPr>
        <w:pStyle w:val="TextBody"/>
        <w:bidi w:val="0"/>
        <w:spacing w:before="240" w:after="283"/>
        <w:jc w:val="left"/>
        <w:rPr>
          <w:rFonts w:ascii="Times New Roman" w:hAnsi="Times New Roman"/>
          <w:sz w:val="20"/>
        </w:rPr>
      </w:pPr>
      <w:r>
        <w:rPr>
          <w:rFonts w:ascii="Times New Roman" w:hAnsi="Times New Roman"/>
          <w:b/>
          <w:i/>
          <w:color w:val="000000"/>
          <w:sz w:val="20"/>
        </w:rPr>
        <w:t>PAMA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2014, Congress passed the Protecting Access to Medicare Act of 2014, or PAMA, which included substantial changes to the way in which clinical laboratory services are priced and paid under Medicare’s Clinical Laboratory Fee Schedule, or CLFS. On June 23, 2016, CMS published the final rule implementing the reporting and rate-setting requirements. Under PAMA, laboratories that receive the majority of their Medicare revenue from payments made under the CLFS or the Physician Fee Schedule are required to report private payor payment rates and volumes for clinical diagnostic laboratory tests, or CDLTs, to CMS every three years (or annually for advanced diagnostic laboratory tests, or ADLT). We do not believe that any of our tests meet the current definition of ADLT. We, therefore, must report private payor rates for our tests every three years. Laboratories that fail to report the required payment information may be subject to substantial civil monetary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required under PAMA, CMS uses the data reported by laboratories to develop Medicare payment rates for laboratory tests equal to the volume-weighted median of the private payor payment rates. For tests furnished on or after January 1, 2018, Medicare payments for CDLTs are based upon reported private payor rates. For a CDLT that is assigned a new or substantially revised CPT code, the initial payment rate is assigned using the gap-fill methodology, as under prior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December 2019, Congress has passed a series of laws to modify PAMA’s statutory requirements related to the data reporting period and phase-in of payment reductions under the CLFS for CDLTs that are not ADLTs. Most recently, the Further Continuing Appropriations and Other Extensions Act of 2024 (Pub.L. 118-22, enacted on November, 16, 2023) further delayed the reporting requirement as well as the application of the 15% phase-in reduction. Under these statutory provisions, the next data reporting period for CDLTs that are not ADLTs will be January 1, 2025 through March 31, 2025, and will be based on the most recent data collection period of January 1, 2019 through June 30, 2019. After this data reporting period, the three-year data reporting cycle for these tests will resume (e.g., 2028, 2031, etc.).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same series of laws modified the phase-in of payment reductions resulting from private payor rate implementation so that a 0.0 percent reduction limit was applied for calendar years, or CYs, 2021 through 2023, as compared to the payment amounts for a test the preceding year. The Further Continuing Appropriations and Other Extensions Act of 2024 further applied a 0.0 percent reduction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limit for CY 2024. Consequently, payment may not be reduced by more than 15 percent per year for CYs 2025 through 2027 as compared to payment amount established for a test the prior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HRSA Audits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2020, the Coronavirus Aid, Relief, and Economic Security Act, or CARES Act, was enacted, providing for reimbursement to healthcare providers for COVID-19 tests provided to uninsured individuals through a program administered by the U.S. Department of Health Resources and Services Administration, or HRSA. This program administered by HRSA was the HRSA COVID-19 Claims Reimbursement to Health Care Providers and Facilities for Testing, Treatment, and Vaccine Administration for the Uninsured Program, or the Uninsured Program. The Uninsured Program was valid for the period between May 2020 through April 2022 and HRSA announced that the Uninsured Program ceased accepting COVID-19 testing claims as of March 22, 2022, due to a lack of sufficient funds. The Company recorded approximately $548.9 million of reimbursements from HRSA under the Uninsured Program during the years ended December 31, 2022, 2021, and 2020.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 to other laboratories in the industry, the Company is currently being audited by HRSA with respect to its reimbursement for COVID-19 tests furnished to patients believed to be uninsured. The Company is fully cooperating and working with HRSA’s auditors to resolve any issues, including any reimbursed amounts that may need to be returned to HRSA. There is uncertainty with respect to the methodology HRSA will use and whether and how they will extrapolate audit results. The results of the HRSA audit may materially and adversely affect the Company’s business, prospects, and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Rules and Regulations Applicable to Our Pharmaceutical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engage in research and development activities, including pharmaceutical research and development activities through our wholly owned subsidiary, Fulgent Pharma. Development of therapeutic products is subject to extensive regulation by the FDA and other regulatory agencies. In particular, 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therapeutic products. Generally, therapeutic products require government authorization before they may be clinically tested and commercially marketed for human therapeutic use in the United States and other countries. The precise regulatory requirements with which we will have to comply are undergoing periodic revisions and refinement.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FDA regulates drugs under the FDC Act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steps required before a therapeutic product may be marketed in the United States are numerous and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non-clinical laboratory tests, animal studies, chemical process development, and formulation studies according to good laboratory practices and other applicable regulations and guidance;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submission to the FDA of an investigational new drug application, or IND, which must become effective before clinical trials may commence;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adequate and well-controlled clinical trials according to good clinical practices, or GCPs, to establish the safety and efficacy of the drug candidate for its intended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submission of a New Drug Application, or NDA, to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inspection of the manufacturing facility or facilities at which the drug candidate is produced to assess readiness for commercial manufacturing and conformance to the manufacturing-related elements of the application, to conduct a data integrity audit, and to assess compliance with current Good Manufacturing Practices, or cGMPs, to assure that the facilities, methods, and controls are adequate;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review and approval of the NDA.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testing and formulation processes required to market a therapeutic product involves substantial time, effort, and financial resources; and we cannot be certain that any approvals for any of our future therapeutic products will be granted on a timely basis, if at all. The data required to support an NDA are generated in two distinct developmental stages: non-clinical and clinical. The non-clinical developmental stage generally involves laboratory evaluations of drug chemistry, formulation, and stability, as well as potential studies to evaluate the molecule’s toxicity in animals, which support subsequent clinical testing. The sponsor must submit the results of the non-clinical studies, together with manufacturing information, analytical data, any available clinical data or literature and a proposed clinical protocol, to the FDA as part of the IND. An IND is a request for authorization from the FDA to administer an investigational new drug to humans and must become effective before human clinical trials may begin.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stage of development involves the administration of the investigational product to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institutional review board, or IRB, for each institution participating in the clinical trial must review and approve a new clinical protocol before a clinical trial commences at that institution and must also approve the information regarding the trial and the consent form that must be provided to each research subject or the subject’s legal representative, monitor the trial until completed, and otherwise comply with IRB regulations.</w:t>
      </w:r>
    </w:p>
    <w:p>
      <w:pPr>
        <w:pStyle w:val="TextBody"/>
        <w:bidi w:val="0"/>
        <w:jc w:val="left"/>
        <w:rPr>
          <w:rFonts w:ascii="Times New Roman" w:hAnsi="Times New Roman"/>
          <w:color w:val="000000"/>
          <w:sz w:val="20"/>
        </w:rPr>
      </w:pPr>
      <w:r>
        <w:rPr>
          <w:rFonts w:ascii="Times New Roman" w:hAnsi="Times New Roman"/>
          <w:color w:val="000000"/>
          <w:sz w:val="20"/>
        </w:rPr>
        <w:t>Clinical trials are typically conducted in three sequential phases that may overlap or be combined: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1: Initial safety study in appropriate human subjects or patients where the candidate therapy is tested for safety, dosage tolerance, absorption, distribution, metabolism, and excretion.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2: Studies in a limited patient population designed to identify possible adverse effects and safety risks, to determine the efficacy of the product for specific targeted diseases, and to determine tolerance and optimal dosage.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3: Studies in an expanded patient population to further evaluate clinical efficacy and to further test for safety.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a condition of approval of an NDA.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investigational drug, findings from animal or in vitro testing that suggest a significant risk for human subjects, and any clinically important increase in the rate of a serious suspected adverse reaction over that listed in the protocol or investigator brochure. Congress also recently amended the FDC Act, as part of the Consolidated Appropriations Act for 2023, in order to require sponsors of a Phase 3 clinical trial, or other “pivotal study” of a new drug to support marketing authorization, to design and submit a diversity action plan for such clinical trial. The action plan must include the sponsor’s diversity goals for enrollment, as well as a rationale for the goals and a description of how the sponsor will meet them. Sponsors must submit a diversity action plan to the FDA by the time the sponsor submits the relevant clinical trial protocol to the agency for review. The FDA may grant a waiver for some or all of the requirements for a diversity action plan. It is unknown at this time how the diversity action plan may affect Phase 3 trial planning and timing or what specific information FDA will expect in such plans, but if the FDA objects to a sponsor’s diversity action plan or otherwise requires significant changes to be made, it could delay initiation of the relevant clinical trial. In addition, an IRB on behalf of each institution that is participating in the clinical trial must conduct a continuing review and reapprove the trial at least annually. Information about certain clinical trials, including details of the protocol and eventually study results, also must be submitted within specific timeframes to the National Institutes of Health, or NIH, for public dissemination on the ClinicalTrials.gov data registry. Information related to the investigational product,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 Competitors may use this publicly available information to gain knowledge regarding the progress of development programs. The NIH’s Final Rule on ClinicalTrials.gov registration and reporting requirements became effective in 2017, and the government has begun enforcing those requirements against non-compliant clinical trial sponsors.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may not be completed successfully within any specified period, if at all. The FDA or the sponsor may suspend clinical trials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candidate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NDA Submission and FDA Review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completion of the required clinical testing, all of the data are analyzed to assess whether the investigational therapeutic product is safe and effective for its proposed indicated use or uses. The results of the non-clinical studies and clinical trials, along with detailed descriptions of the product’s chemistry, manufacturing and controls, or CMC, proposed labeling and other relevant information are submitted to the FDA as part of an NDA requesting approval to market the product. To support marketing approval, the data submitted must be sufficient in quality and quantity to establish the safety and efficacy of the investigational product to the satisfaction of FDA. FDA approval of the NDA must be obtained before a drug may be marketed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Prescription Drug User Fee Act, or PDUFA, as amended, each NDA must be accompanied by a significant user fee, and the sponsor of an approved NDA is also subject to an annual program fee. The FDA typically adjusts these PDUFA user fees on an annual basis. Fee waivers or reductions are available in certain circumstances, including a waiver of the application fee for the first application filed by a small business (fewer than 500 employees). Additionally, no user fees are assessed on NDAs for products designated as orphan drugs, unless the product also includes a non-orphan indication.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reviews all submitted NDAs to ensure that they are sufficiently complete for substantive review before it accepts them for filing. It may refuse to file the application and request additional information rather than accept an NDA for filing. In this event, the application must be resubmitted with the additional information. The resubmitted application is also subject to review before the FDA accepts it for filing. The FDA must make a decision on accepting an NDA for filing within 60 days of receipt and inform the sponsor by the 74th day after the FDA’s receipt of the submission whether an application is sufficiently complete to permit substantive review. Once the submission is accepted for filing, the FDA begins an in-depth review of the NDA. Under the goals and policies agreed to by the FDA under PDUFA, the FDA has ten months, from the filing date, in which to complete its review of a new molecular-entity, or NME, NDA and respond to the applicant, and six months from the filing date of an NME NDA designated for priority review. For non-NME NDAs, such as our current and potentially future product candidates, the review goals are ten months from the date of receipt for a standard application and six months from the date of receipt for a priority submission. The FDA does not always meet its PDUFA goal dates for standard and priority NDAs, and the review process is often extended by FDA requests for additional information or clarification. After the submission is accepted for filing, the FDA begins an in-depth substantive review. As noted above, the FDA has agreed to specified performance goals in the review process of NDAs. The review process may be extended by the FDA for three additional months to consider new information or in the case of a clarification provided by the applicant to address an outstanding deficiency identified by the FDA following the original submission.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Most innovative drug products obtain FDA marketing approval pursuant to an NDA submitted under Section 505(b)(1) of the FDC Act, commonly referred to as a traditional or “full NDA.” In 1984, with passage of the Drug Price Competition and Patent Term Restoration Act, informally known as the Hatch-Waxman Act, that established an abbreviated regulatory scheme authorizing the FDA to approve generic drugs based on an innovator or “reference” product, Congress also enacted Section 505(b)(2) of the FDC Act, which provides a hybrid pathway combining features of a traditional NDA and a generic drug application. Section 505(b)(2) enables the applicant to rely, in part, on the FDA’s prior findings of safety and efficacy data for an existing product, or published literature, in support of its application. Section 505(b)(2) NDAs may provide an alternate path to FDA approval for new or improved formulations or new uses of previously approved products; for example, an applicant may be seeking approval to market a previously approved drug for new indications or for a new patient population that would require new clinical data to demonstrate safety or effectiveness. Section 505(b)(2) permits the filing of an NDA in which the applicant relies, at least in part, on information from studies made to show whether a drug is safe or effective that were not conducted by or for the applicant and for which the applicant has not obtained a right of reference or use. A Section 505(b)(2) applicant may eliminate or reduce the need to conduct certain non-clinical or clinical studies, if it can establish that reliance on studies conducted for a previously-approved product is scientifically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approving an NDA, the FDA will typically conduct a pre-approval inspection of the manufacturing facilities for the new product to determine whether the manufacturing processes and facilities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by each of the entities involved in the clinical trials, including clinical investigators and any third-party clinical research organizations, or CROs.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FDA may refer applications for novel drug products or drug products, which present difficult questions of safety or efficacy to an advisory committee, typically a panel that includes clinicians and other independent scientific experts, for review, evaluation and a recommendation as to whether the application should be approved and under what conditions, if any. The FDA is not bound by recommendations of an advisory committee, but it considers such recommendations when making final agency decisions on marketing approval. The FDA likely will reanalyze the clinical trial data, which could result in extensive discussions between the FDA and the applicant during the review process. The FDA also may require development of a risk evaluation and mitigation strategy, or REMS, plan if it determines that a REMS is necessary to ensure that the benefits of the drug outweigh its risks and to assure the safe use of the drug. The REMS plan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plan is needed, the sponsor of the NDA must submit a proposed REMS. The FDA will not approve an NDA without a REMS, if one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approval process is lengthy and often difficult, and the FDA may refuse to approve an NDA if the applicable regulatory criteria are not satisfied or may require additional clinical or other data and information. The FDA reviews an NDA to determine, among other things, whether a product is safe and effective for its intended use and whether its manufacturing is cGMP-compliant to assure and preserve the product’s identity, strength, quality and purity. On the basis of the FDA’s evaluation of the NDA and accompanying information, including the results of the inspection of the manufacturing facilities, the FDA may issue either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and may require substantial additional testing or information in order for the FDA to reconsider the application. The Complete Response Letter may require additional clinical or other data, additional pivotal Phase 3 clinical trial(s) and/or other significant and time-consuming requirements related to clinical trials, non-clinical studies or manufacturing. If a Complete Response Letter is issued, the applicant may choose either to resubmit the NDA, addressing all of the deficiencies identified in the letter, or to withdraw the application. If and when all deficiencies have been addressed to the FDA’s satisfaction in a resubmitted NDA, the FDA will issue an approval letter. The FDA has committed to reviewing such resubmissions in response to an issued Complete Response Letter in either two or six months, depending on the type of information included. Even if such data and information are submitted, however, the FDA may ultimately decide that the NDA does not satisfy the regulatory criteria for approval. Data obtained from clinical trials are not always conclusive and the FDA may interpret data differently than the applicant interprets the same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a product receives marketing approval, the approval may be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plan, or otherwise limit the scope of any approval. In addition, the FDA may require post marketing or Phase 4 clinical trials, designed to further assess a product’s safety and effectiveness, and/or testing and surveillance programs to monitor the safety of approved products that have been commercialized. After approval, some types of changes to the approved product, such as adding new indications, manufacturing changes, and additional labeling claims, are subject to further testing requirements and FDA review and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Post-Approval Requirements for Pharmaceutical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approval of a new therapeutic product, the manufacturer and the approved product are subject to pervasive and continuing regulation by the FDA, including, among other things, monitoring and record-keeping activities; reporting of adverse experiences with the product; product samplings, and distribution restrictions; complying with promotion and advertising requirements, which include restrictions on promoting drugs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if there are any modifications to the product, including changes in indications, labeling or manufacturing processes or facilities, the applicant may be required to submit and obtain FDA approval of a new NDA or an NDA supplement, which may require the applicant to develop additional data or conduct additional non-clinical studies and clinical trials. In particular, securing 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FDA regulations require that products be manufactured in specific approved facilities and in accordance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Drug manufacturers and other entities involved in the manufacture and distribution of approved therapeutics are required to register their establishments with the FDA and certain state agencies and are subject to periodic unannounced inspections by the FDA to assess compliance with cGMP and other requirements. Changes to the manufacturing process, specifications or container closure system for an approved drug product are strictly regulated and often require prior FDA approval before being implemented. FDA regulations also require, among other things, the investigation and correction of any deviations from cGMP and the imposition of reporting and documentation requirements upon the NDA sponsor and any third-party manufacturers involved in producing the approved therapeutic product. Accordingly, both sponsors and manufacturers must continue to expend time, money, and effort in the area of production and quality control to maintain cGMP compliance and other aspects of quality control and quality assurance, and to ensure ongoing compliance with other statutory requirements of the FDC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even after a new drug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the imposition of distribution or other restrictions under a REMS plan. Other potential consequences of regulatory non-compliance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complete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other enforcement-related letters or clinical holds on post-approval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approve pending NDAs or supplements to approved NDAs;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injunctions or the imposition of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 care programs;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mandated modification of promotional materials and labeling and the issuance of corrective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Expedited Development and Review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is authorized to designate certain drug products for expedited development or review if they are intended to address an unmet medical need in the treatment of a serious or life-threatening disease or condition. These programs include fast-track designation, breakthrough therapy designation, and priority review designation.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 eligible for a fast-track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an existing therapy based on efficacy or safety factors. Fast-track designation provides opportunities for more frequent interactions with the FDA review team to expedite development and review of the product. The FDA may also review sections of the NDA for a fast-track product on a rolling basis before the complete application is submitted, if the sponsor and the FDA agree on a schedule for the submission of the application sections, and the sponsor pays any required user fees upon submission of the first section of the NDA. In addition, fast-track designation may be withdrawn by the sponsor or rescinded by the FDA if the designation is no longer supported by data emerging in the clinical trial process. The sponsor can request the FDA to designate the product for fast-track status any time before receiving NDA approval, but ideally no later than the pre-NDA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also may designate a product for priority review if it is a drug that treats a serious condition and, if approved, would provide a significant improvement in safety or effectiveness. When a marketing application is submitted with a request for priority review, the FDA determines on a case-by-case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NME NDA from the date of filing, or from ten months to six months from the date of receipt for a non-NME NDA.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 drug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FDA must take certain actions with respect to breakthrough therapies, such as holding timely meetings with and providing advice to the product sponsor, intended to expedite the development and review of an application for approval of a breakthrough therapy.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a product qualifies for one or more of these programs, the FDA may later decide that the product no longer meets the conditions for qualification or decide that the time period for FDA review or approval will not be shortened. Fast-track designation, priority review, and breakthrough therapy designation do not change the standards for approval but may expedite the development or approval process.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Accelerated Approval Pathway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drug product has an effect on a surrogate endpoint that is reasonably likely to predict clinical benefit. The FDA may also grant accelerated approval for such a drug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or on the basis of an effect on a clinical endpoint other than survival or irreversible morbidity. As a condition of approval, the FDA may require that a sponsor of a drug receiving accelerated approval perform adequate and well-controlled post-marketing clinical trials to verify and describe the predicted effect on IMM or other clinical endpoint, and the product may be subject to expedited withdrawal procedures. If the FDA concludes that a drug shown to be effective can be safely used only if distribution or use is restricted, it will require such post-marketing restrictions, as it deems necessary to assure safe use of the product. Drugs granted accelerated approval must meet the same statutory standards for safety and effectiveness as those granted traditional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drug.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accelerated approval pathway is usually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4 or post-approval clinical trials to confirm the effect on the clinical endpoint. In addition, as part of the Consolidated Appropriations Act for 2023, Congress provided the FDA additional statutory authority to mitigate potential risks to patients from continued marketing of ineffective drugs previously granted accelerated approval. Under these recent amendments to the FDC Act, the agency may require a sponsor of a product granted accelerated approval to have a confirmatory trial underway prior to approval. The sponsor must also submit progress reports on a confirmatory trial every six months until the trial is complete, and such reports will be published on the FDA’s website. Failure to conduct required post-approval studies, or to confirm the predicted clinical benefit of the product during post-marketing studies, allows the FDA to withdraw approval of the drug. Congress also recently amended the law to give the FDA the option of using expedited procedures to withdraw product approval if the sponsor’s confirmatory trial fails to verify the claimed clinical benefits of the product. All promotional materials for products approved for marketing under the accelerated approval program are subject to prior review by the FDA.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Listing and Regulatory Exclusivity under the Hatch-Waxman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noted above, Congress created the 505(b)(2) NDA pathway in 1984 as part of the Hatch-Waxman Act amendments to the FDC Act. At the same time, it also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cannot include preclinical and clinical data to demonstrate safety and effectiveness. Instead, in support of such applications, a generic manufacturer must rely on the preclinical and clinical testing previously conducted for a drug product previously approved under an NDA, known as the reference listed drug, or RLD. Unlike the ANDA pathway, which does not allow applicants to submit new clinical data other than bioavailability or bioequivalence data, the 505(b)(2) regulatory pathway does not preclude the possibility that a follow-on applicant would need to conduct additional clinical trials or nonclinical studies to demonstrate safety or effectiveness of the proposed change(s) being made to a previously approved drug.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the publication, Approved Drug Products with Therapeutic Equivalence Evaluations, or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NDA review and approval process, applicants are required to list with the FDA each patent that has claims that cover the applicant’s product or method of therapeutic use. Upon approval of a new drug, each of the patents listed in the application for the drug is then published in the Orange Book. Drugs listed in the Orange Book can, in turn, be cited by potential follow-on competitors in support of approval of an ANDA or a 505(b)(2) NDA that relies in full or in part on the reference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an ANDA applicant submits its application to the FDA, it is required to certify to the FDA concerning any patents listed for the reference product in the FDA’s Orange Book. Specifically, the ANDA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Moreover, to the extent that the Section 505(b)(2) NDA applicant is relying on studies conducted for an already approved product, the applicant also is required to certify to the FDA concerning any patents listed for the NDA-approved product in the Orange Book to the same extent that an ANDA applicant would.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follow-on applicant does not challenge the innovator’s listed patents, FDA will not approve the ANDA or 505(b)(2) application until all the listed patents claiming the referenced product have expired. A certification that the new product will not infringe the already approved product’s listed patents, or that such patents are invalid, is called a Paragraph IV certification. If the follow-on applicant has provided a Paragraph IV certification to the FDA, the applicant must also send notice of the Paragraph IV certification to the NDA and patent holders once the ANDA or 505(b)(2) 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or 505(b)(2) NDA until the earlier of 30 months, expiration of the patent, settlement of the lawsuit, or a decision in the infringement case that is favorable to the ANDA/505(b)(2) applicant.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ANDA or 505(b)(2) NDA also will not be approved until any applicable non-patent exclusivities listed in the Orange Book for the referenced product have expired. The Hatch-Waxman Act amendments to the FDC Act provided a five-year period of non-patent data exclusivity within the United States to the first applicant to gain approval of an NDA for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or 505(b)(2) NDA may not be filed with the FDA until the expiration of five years unless the submission is accompanied by a Paragraph IV certification, in which case the applicant may submit its application four years following the original product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FDC Act also provides for a period of three years of data exclusivity if an NDA or NDA supplement includes reports of one or more new clinical investigations, other than bioavailability or bioequivalence studies that were conducted or sponsored by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applicant, are deemed by the FDA to be essential to the approval of the application or supplement. This three-year exclusivity period often protects changes to a previously approved drug product, such as new indications, dosage forms, route of administration or combination of ingredients.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or 505(b)(2) NDAs seeking approval for generic versions of the drug as of the date of approval of the original drug product; rather, this three-year exclusivity covers only the conditions of use associated with the new clinical investigations and, as a general matter, does not prohibit the FDA from approving follow-on applications for drugs containing the original active ingredient.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Five-year and three-year exclusivity also will not delay the submission or approval of a traditional NDA filed under Section 505(b)(1) of the FDC Act; however, an applicant submitting a traditional NDA would be required to conduct or obtain a right of reference to all of the non-clinical studies and adequate and well-controlled clinical trials necessary to demonstrate safety and effectiveness.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Term Extension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patent claiming a prescription drug or medical device for which FDA approval is granted may be eligible for a limited patent term extension under the FDC Act, which permits a patent restoration of up to five years for patent term lost during product development and the FDA regulatory review provided that certain statutory and regulatory requirements are met. The length of the patent term extension is related to the length of time the drug or medical device is under regulatory review while the patent is in force. The restoration period granted on a patent covering a new FDA-regulated medical product is typically one-half the time between the date a clinical investigation on human beings is begun and the submission date of an application for premarket approval of the product, plus the time between the submission date of an application for approval of the product and the ultimate approval date. Patent term restoration cannot be used to extend the remaining term of a patent past a total of 14 years from the product’s approval date. Only one patent applicable to an eligible FDA-approved product is eligible for the extension, and the application for the extension must be submitted prior to the expiration of the patent in question. A patent that covers multiple products for which approval is sought can only be extended in connection with one of the marketing approvals. The U.S. Patent and Trademark Office, or USPTO, reviews and approves the application for any patent term extension or restoration in consultation with the FDA.</w:t>
      </w:r>
    </w:p>
    <w:p>
      <w:pPr>
        <w:pStyle w:val="TextBody"/>
        <w:bidi w:val="0"/>
        <w:spacing w:before="360" w:after="283"/>
        <w:jc w:val="left"/>
        <w:rPr>
          <w:rFonts w:ascii="Times New Roman" w:hAnsi="Times New Roman"/>
          <w:sz w:val="20"/>
        </w:rPr>
      </w:pPr>
      <w:r>
        <w:rPr>
          <w:rFonts w:ascii="Times New Roman" w:hAnsi="Times New Roman"/>
          <w:b/>
          <w:i/>
          <w:color w:val="000000"/>
          <w:sz w:val="20"/>
        </w:rPr>
        <w:t>Rules and Regulations Relating to Companion or Complementary Diagnostics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one or more of our drug candidates may depend, in part, on the development and commercialization of either a companion diagnostic or complementary diagnostic. Companion diagnostics and complementary diagnostics can identify patients who are most likely to benefit from a particular drug; identify patients likely to be at increased risk for serious side effects as a result of treatment with a particular drug; or monitor response to treatment with a particular drug for the purpose of adjusting treatment to achieve improved safety or effectiveness. Companion diagnostics and complementary diagnostics are regulated as medical devices by the FDA. The level of risk associated with a new diagnostic test combined with available controls to mitigate risk determines whether a companion diagnostic device requires PMA approval from the FDA or if it can be cleared by the agency through the 510(k) premarket notification process based on a showing of substantial equivalence to a commercially available device. For a novel drug for which a companion diagnostic device is essential for the safe and effective use of the product, the companion diagnostic device should be developed and PMA-approved or 510(k)-cleared contemporaneously with the FDA’s approval of the drug. The use of the companion diagnostic device will be stipulated in the labeling of the drug, and vice versa.</w:t>
      </w:r>
    </w:p>
    <w:p>
      <w:pPr>
        <w:pStyle w:val="TextBody"/>
        <w:bidi w:val="0"/>
        <w:spacing w:before="360" w:after="283"/>
        <w:jc w:val="left"/>
        <w:rPr>
          <w:rFonts w:ascii="Times New Roman" w:hAnsi="Times New Roman"/>
          <w:sz w:val="20"/>
        </w:rPr>
      </w:pPr>
      <w:r>
        <w:rPr>
          <w:rFonts w:ascii="Times New Roman" w:hAnsi="Times New Roman"/>
          <w:b/>
          <w:i/>
          <w:color w:val="000000"/>
          <w:sz w:val="20"/>
        </w:rPr>
        <w:t>Rules and Regulations Relating to Coverage, Pricing, and Reimbursement for Prescription Pharmaceutical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pharmaceutical products approved for marketing by the FDA and foreign regulatory authorities will depend, in part, on the extent to which such products will be covered by third-party payors, such as government health programs, commercial insurance and managed care organizations. In the United States no uniform policy of coverage and reimbursement for human drug products exists. Accordingly, decisions regarding the extent of coverage and amount of reimbursement to be provided for any of our future drugs will be made on a payor-by-payor basis. As a result, the coverage determination process is often a time-consuming and costly process that will require us to provide scientific and clinical support for the use of our drugs to each payor separately, with no assurance that coverage and adequate reimbursement will be obtained.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state legislatures and foreign governments have shown significant interest in implementing cost containment programs to limit the growth of government-paid health care costs, including price-controls, restrictions on reimbursement and requirements for substitution of generic products for branded prescription drugs. For example, the federal law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controls and measures, coupled with the tightening of restrictive policies in jurisdictions with existing controls and measures, could limit payments for pharmaceutical drugs. The Medicaid Drug Rebate Program requires pharmaceutical manufacturers to enter into and have in effect a national rebate agreement with the Secretary of the Department of Health and Human Services, or HHS, as a condition for states to receive federal matching funds for the manufacturer’s outpatient drugs furnished to Medicaid patients. The Patient Protection and Affordable Care Act, or ACA, enacted in 2010, made several changes to the Medicaid Drug Rebate Program and expanded the universe of Medicaid utilization subject to drug rebates by requiring pharmaceutical manufacturers to pay rebates on Medicaid managed care utilization and by enlarging the population potentially eligible for Medicaid drug benefits. In addition, the Medicare Prescription Drug, Improvement, and Modernization Act of 2003, or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in the future. However, any negotiated prices for future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 drug product to receive federal reimbursement under the Medicaid or Medicare Part B programs or to be sold directly to U.S. government agencies, the manufacturer must extend discounts to entities eligible to participate in the 340B drug pricing program. The maximum amount that a manufacturer may charge a 340B covered entity for a given product is the average manufacturer price, or AMP reduced by the rebate amount paid by the manufacturer to Medicaid for each unit of that product.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HHS has solicited feedback on various measures intended to lower drug prices and reduce the out of pocket costs of drugs and has implemented others under its existing authority. For example, in August 2022 President Biden signed into law the Inflation Reduction Act, or the IRA. Among other things, the IRA has multiple provisions that may impact the prices of drug products that are both sold into the Medicare program and throughout the U.S. Starting in 2023, a manufacturer of drugs products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for payment year 2026, CMS will negotiate drug prices annually for a select number of single source Part D drugs without generic competition. CMS will also negotiate drug prices for a select number of Part B drugs starting for payment year 2028. If a drug product is selected by CMS for negotiation, it is expected that the revenue generated from such drug will decrease. CMS has begun to implement these new authorities and entered into the first set of agreements with pharmaceutical manufacturers to conduct price negotiations in October 2023.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Those lawsuits are currently ongoing.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In December 2020, the U.S. Supreme Court held unanimously that federal law does not preempt the states’ ability to regulate pharmacy benefit managers, or PBMs, and other members of the health care and pharmaceutical supply chain, an important decision that appears to be leading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U.S. may affect the entire pharmaceutical supply chain and the business of other stakeholders, including pharmaceutical product developers like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noted above, the marketability of any products for which we receive regulatory approval for commercial sale may suffer if the government and third-party payors fail to provide adequate coverage and reimbursement. We expect that the increasing emphasis on cost containment measures in the United States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most foreign countries, the proposed pricing for a medicinal product must be approved before it may be lawfully marketed. The requirements governing drug pricing and reimbursement vary widely from country to country. Some countries provide that drug products may be marketed only after a reimbursement price has been agreed. Some countries may require the completion of additional studies that compare the cost-effectiveness of a new drug candidate to currently available therapies (so called health technology assessment, or HTA) in order to obtain reimbursement or pricing approval.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future commercial products. Historically, products launched in the European Union do not follow price structures of the United States and generally prices tend to be significantly lower.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Privacy and Security Laws and Regulations and Patient Information Access Laws and Regulations Applicable to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HIPAA and HITECH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Administrative Simplification provisions of the federal Health Insurance Portability and Accountability Act of 1996, or HIPAA, as amended by the federal Health Information Technology for Economic and Clinical Health Act, or HITECH, the U.S. Department of HHS has issued regulations, or HIPAA Regulations, that establish uniform standards governing the conduct of certain electronic healthcare transactions and requirements for protecting the privacy and security of protected health information, or PHI, used or disclosed by healthcare providers, health plans, and healthcare clearinghouses that conduct certain healthcare transactions electronically, known as “covered entities.” As a clinical laboratory, we are acting as a covered entity and are subject to HIPAA and HITECH. The following four principal regulations with which we are required to comply have been issued in final form under HIPAA and HITECH: privacy regulations, security regulations, the breach notification rule, and standards for electronic transactions, which establish standards for common healthcare transactions.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privacy regulations of HIPAA and HITECH protect medical records and other PHI by limiting their use and release, giving patients a variety of rights, including the right to access their medical records, and limiting most disclosures of health information to the minimum amount necessary to accomplish an intended purpose. HIPAA also requires covered entities to enter into business associate agreements to obtain a written assurance of compliance with HIPAA from individuals or organizations who provide services to covered entities involving the use or disclosure of PHI, also known as “business associates.” As a general rule, a covered entity or business associate may not use or disclose PHI, except as permitted under the privacy regulations of HIPAA and HITECH.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Covered entities must also comply with the security regulations of HIPAA and HITECH, which establish requirements for safeguarding the confidentiality, integrity, and availability of electronic PHI. The HIPAA security regulations require the implementation of administrative, physical, and technical safeguards and the adoption of written security policies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HITECH established, among other things, certain breach notification requirements with which covered entities must comply. In particular, a covered entity must report breaches of PHI that have not been encrypted or otherwise secured in accordance with guidance from the Secretary of HHS, or the Secretary. Required breach notices must be made as soon as reasonably practicable, but no later than sixty days following discovery of the breach. Reports must be made to affected individuals, the Secretary, and, depending on the size of the breach, the local and national media. Covered entities are also subject to audit under HHS’s HITECH-mandated audit program and may be investigated in connection with privacy or data security.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significant civil and criminal fines and other penalties that may be imposed for violating HIPAA. A covered entity or business associate is liable for civil monetary penalties for a violation that is based on an act or omission of any of its agents, including a downstream business associate, as determined according to the federal common law of agency. Penalties for failure to comply with a requirement of HIPAA and HITECH vary significantly depending on the failure and include civil monetary penalties of up to approximately $1.9 million per violation of the same requirement per calendar year (as of March 2022, subject to annual inflation adjustments). A single breach incident can violate multiple requirements, resulting in potential penalties in excess of $1.9 million. Additionally, a person who knowingly obtains or discloses individually identifiable health information in violation of HIPAA may face a criminal penalty of up to $50,000 and up to one year of imprisonment. These criminal penalties increase if the wrongful conduct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involves false pretenses or the intent to sell, transfer or use identifiable health information for commercial advantage, personal gain, or malicious harm. Covered entities are also subject to enforcement by state attorneys general who were given authority to enforce HIPAA under HITECH. Further, to the extent that we submit electronic healthcare claims and payment transactions that do not comply with the electronic data transmission standards established under HIPAA and HITECH, payments to us may be delayed or denied.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our clinical laboratory services, we provide management and technology services to certain companies, institutions, and agencies that are covered entities and have entered into business associate agreements with these entities as business associates. In addition to being directly responsible for compliance with applicable HITECH Act requirements and HIPAA regulations as a business associate, we have contractually agreed to comply with HITECH and HIPAA Regulations; and in some instances, we have agreed to indemnify our covered entity clients if we breach our obligations with respect to these laws and regulations and/or in the event of a reportable breach of PHI.</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CMIA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HIPAA privacy, security, and breach notification regulations establish a uniform federal “floor” but do not supersede state laws that are more stringent or that provide individuals with greater rights with respect to the privacy or security of, and access to, their records containing PHI, or insofar as such state laws apply to personal information that is broader in scope than PHI, as defined under HIPAA. The compliance requirements of these laws, including additional breach reporting requirements, and the penalties for violation vary widely, and new privacy and security laws in this area are evolving. For example, several states, such as California, have implemented comprehensive privacy laws and regulations. The California Confidentiality of Medical Information Act, or CMIA, imposes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CCPA/CPRA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CMIA, the California Consumer Privacy Act of 2018, or CCPA, which came into effect on January 1, 2020. The CCPA established a new privacy framework for covered businesses by creating an expanded definition of personal information, establishing new data privacy rights for California consumers, imposing special rules on the collection of consumer data from minors, and creating a new and potentially severe statutory damages framework for businesses that violate the CCPA and/or fail to implement reasonable security procedures and practices to prevent data breaches. Although the CCPA does not directly apply to medical information covered by HIPAA or CMIA, certain other personal information that our business may collect and use, including through our direct-to-consumer Picture Genetics platform, is within the scope of the CCPA and does not fall under the CCPA exception. Additionally, the California Privacy Rights Act, or CPRA, which expanded the CCPA, became effective on January 1, 2023, and, among other things, it established the California Privacy Protection Agency, or CPPA, a new regulatory authority charged with administering and enforcing the CRPA and privacy rights in California. The CPPA has the power to levy fines and bring other enforcement actions and is in the process of implementing further regulations that could have operational impacts. In addition to California, other states have similar privacy laws that became effective in 2023, including Virginia, Colorado, Connecticut, and Utah. There are also several federal privacy proposals under consideration in Congress, and other states may introduce privacy legislation for consideration in 2024. The CPRA and other state privacy laws could impact our operations or that of our collaborators and business partners and impose new regulatory requirements and increase costs of compliance.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Information Blocking Rules</w:t>
      </w:r>
    </w:p>
    <w:p>
      <w:pPr>
        <w:pStyle w:val="TextBody"/>
        <w:bidi w:val="0"/>
        <w:spacing w:before="120" w:after="283"/>
        <w:jc w:val="left"/>
        <w:rPr>
          <w:rFonts w:ascii="Times New Roman" w:hAnsi="Times New Roman"/>
          <w:sz w:val="20"/>
        </w:rPr>
      </w:pPr>
      <w:r>
        <w:rPr>
          <w:rFonts w:ascii="Times New Roman" w:hAnsi="Times New Roman"/>
          <w:color w:val="000000"/>
          <w:sz w:val="20"/>
        </w:rPr>
        <w:t>The National Coordinator for Health Information Technology, or ONC, coordinates the ongoing development of standards to enable interoperable health information technology infrastructure nationwide in the healthcare sector. In May 2020, ONC released the final Information Blocking Rule to implement the interoperability and patient access provisions of the 21st Century Cures Act, which took effect in 2021. We need to continually engage in ongoing reviews of all potential practices that could be considered likely to interfere with access, exchange, or use of electronic health information, as those practices are prohibited by the Information Blocking Rule unless one of the exceptions outlined in the Information Blocking Rule applies. Among other things, the Information Blocking Rule requires us to provide patients with on-demand access to laboratory test results. These requirements can be inconsistent with our obligations under state law and/or medical or ethical standards. It is currently unclear how the ONC will approach delays in providing patient access in these situations. Health care providers, including laboratories, are subject to</w:t>
      </w:r>
      <w:r>
        <w:rPr>
          <w:rFonts w:ascii="Times New Roman" w:hAnsi="Times New Roman"/>
          <w:color w:val="2A2A2A"/>
          <w:sz w:val="20"/>
        </w:rPr>
        <w:t xml:space="preserve"> civil monetary penalties for violations of the Information Blocking Rule, up to $1 million per violation.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Laws and Other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subject to foreign privacy laws in the jurisdictions in which we sell our tests. The interpretation, application, and interplay of consumer and health-related data protection laws in the United States, Europe, and elsewhere are often uncertain, contradictory, and in flux. For example, the General Data Protection Regulation, or GDPR, and Cybersecurity Directive applies to personal data in the European Union. These regulations introduced many changes to privacy and security in the European Union, including stricter rules on consent and security duties for critical industries, including for the health sector generally and for genetic data specifically. The interpretation of some rules continues to evolve in guidance from the main regulatory authority, the European Data Protection Board, and some requirements may be completed by national legislation. This makes it difficult to assess the impact of these foreign data protection laws on our business at this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 generally, foreign laws and interpretations governing data privacy and security are constantly evolving, and it is possible that laws may be interpreted and applied in a manner that is inconsistent with our current practices, in which case we could be subject to government-imposed fines or orders requiring that we change our practices. These fines can be very high. For instance, the GDPR provides for fines of up to approximately $22 million or 4% of a group’s worldwide annual turnover for certain infringements. In addition, privacy regulations differ widely from country to country and are enforced by individual country data protection authorities, which have power to enforce privacy regulations. Various data protection authorities have issued fines in the millions of euros for violations of privacy 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states have also implemented genetic testing and privacy laws imposing specific patient consent requirements and requirements for protecting test results. The interplay of federal and state laws may be subject to varying interpretations by courts and government agencies, creating complex compliance issues for us and our clients and potentially exposing us to additional expense, adverse publicity, and legal and regulatory liability. Further, as regulatory focus on privacy issues continues to increase, and laws and regulations concerning the protection of personal information expand and become more complex, these potential risks to our business could intensify. In addition, the interpretation and application of consumer, health-related, and data protection laws are often uncertain, contradictory, and in flux. For example, increasing concerns about health information privacy have recently prompted the federal government to issue guidance, taking a newly expansive view of the scope of the laws and regulations that they enforce. The applicability and requirements of these laws and penalties for violations vary widely. Failure to maintain compliance, or changes in state or federal laws regarding privacy or security, could result in civil and/or criminal penalties and damages and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many activities, including operational use of Artificial Intelligence, or AI, tools, we are subject to emerging regulations and guidelines. In December 2023, the European Commission, the Council, and the Parliament agreed on the provisional rules that will comprise the European Union’s Artificial Intelligence Act, the AI Act. This comprehensive EU AI Regulation is broad in scope, defines high-risk AI activities, and seeks to prohibit certain AI uses. The AI Act will potentially regulate entities that intend to utilize AI applications in the EU. Anticipated range of fines for entities that are found to violate the AI Act may reach up to EUR 35 million or up to 7% of the Company’s total worldwide annual turnover for the preceding financial year, whichever is higher. In the United States, at least twelve states currently regulate AI, including California, Texas, and New York, where we conduct operations. Generally, such regulations aim to protect individuals such as consumers, employees, and/or job applicants from bias, discrimination, and invasion of privacy and to promote transparency with respect to use of AI by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FTC recently published guidance for companies selling genetic testing products on securing DNA data and outlined enforcement priorities, anticipating close monitoring of genetic testing companies’ use of AI, including DNA algorithms. The FTC guidance instructs companies to safeguard consumers from potential detrimental effects of AI usage such as bias, invasion of privacy, and accuracy; notes that protection of genetic data is FTC’s top priority; and reminds companies to prepare notices regarding their collection, use, and disclosure of genetic information and to consider affirmative express consent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Numerous other federal, state, and foreign laws, including consumer protection laws and regulations, govern the collection, dissemination, use, access to, confidentiality and security of patient health information. In addition, Congress and some states are considering new laws and regulations that further and more broadly protect the privacy and security of medical records or health information. With the recent increase in publicity regarding data breaches resulting in improper dissemination of consumer information, all 50 states have passed laws regulating the actions that a business must take if it experiences a data breach, as defined by state law, including, in certain instances, prompt disclosure within a specified amount of time to affected individuals. Congress has also been considering similar federal legislation relating to data privacy and data protection. The FTC and states’ Attorneys General have also brought enforcement actions and prosecuted some data breach cases as unfair and/or deceptive acts or practices under the FTC Act and comparable state laws.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We intend to continue to comprehensively protect all personal information and to comply with applicable laws regarding the protection of such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our vendors fail to comply with applicable data privacy or AI laws and directives, or if the legal mechanisms we or our vendors rely upon to allow for the transfer of personal data from the European Union to the United States (or other countries not considered by the European Commission to provide an adequate level of data protection) are not considered adequate, we could be subject to government enforcement actions and significant penalties against us, and our business could be adversely impacted if our ability to transfer personal data outside of the European Union is restricted, which could adversely impact our operating results. The GDPR has increased our responsibility and potential liability in relation to European Union personal data that we process, and we may be required to put in place additional mechanisms to ensure compliance with the GDPR. However, our ongoing efforts related to compliance with the GDPR may not be successful and could increase our cost of doing business. In addition, data protection authorities of the different European Union member states may interpret the GDPR differently, and guidance on implementation and compliance practices is often updated or otherwise revised, which adds to the complexity of processing personal data in the European Union. In addition to the GDPR, other countries have enacted data protection legislation, which increase the complexity of doing international business and transferring sensitive personal information from those countries to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privacy and security of PHI and personally identifiable information stored, maintained, received, or transmitted, including electronically, including genetic data,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financial condition, prospects, reputation, and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Healthcare Fraud and Abuse Laws Applicable to Our Business</w:t>
      </w:r>
    </w:p>
    <w:p>
      <w:pPr>
        <w:pStyle w:val="TextBody"/>
        <w:bidi w:val="0"/>
        <w:spacing w:before="120" w:after="283"/>
        <w:jc w:val="left"/>
        <w:rPr>
          <w:rFonts w:ascii="Times New Roman" w:hAnsi="Times New Roman"/>
          <w:sz w:val="20"/>
        </w:rPr>
      </w:pPr>
      <w:r>
        <w:rPr>
          <w:rFonts w:ascii="Times New Roman" w:hAnsi="Times New Roman"/>
          <w:color w:val="000000"/>
          <w:sz w:val="20"/>
        </w:rPr>
        <w:t>In the United States, we must comply with various fraud and abuse laws, and we are subject to regulation by various federal, state</w:t>
      </w:r>
      <w:r>
        <w:rPr>
          <w:rFonts w:ascii="Times New Roman" w:hAnsi="Times New Roman"/>
          <w:color w:val="000000"/>
          <w:sz w:val="20"/>
          <w:u w:val="single"/>
        </w:rPr>
        <w:t>,</w:t>
      </w:r>
      <w:r>
        <w:rPr>
          <w:rFonts w:ascii="Times New Roman" w:hAnsi="Times New Roman"/>
          <w:color w:val="000000"/>
          <w:sz w:val="20"/>
        </w:rPr>
        <w:t xml:space="preserve"> and local authorities, including CMS, other divisions of HHS (such as the Office of Inspector General of the Department of Health and Human Services, or the OIG), the U.S. Department of Justice, individual U.S. Attorney’s Offices within the Department of Justice, and state and local governments. We also may be subject to foreign fraud and abuse laws. </w:t>
      </w:r>
    </w:p>
    <w:p>
      <w:pPr>
        <w:pStyle w:val="TextBody"/>
        <w:bidi w:val="0"/>
        <w:spacing w:before="360" w:after="283"/>
        <w:jc w:val="left"/>
        <w:rPr>
          <w:rFonts w:ascii="Times New Roman" w:hAnsi="Times New Roman"/>
          <w:sz w:val="20"/>
        </w:rPr>
      </w:pPr>
      <w:r>
        <w:rPr>
          <w:rFonts w:ascii="Times New Roman" w:hAnsi="Times New Roman"/>
          <w:b/>
          <w:i/>
          <w:color w:val="000000"/>
          <w:sz w:val="20"/>
        </w:rPr>
        <w:t>Anti-Kickback and Fraud Statutes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 federal Anti-Kickback Statute prohibits, among other things, knowingly and willfully offering, paying, soliciting or receiving remuneration, directly or indirectly, overtly or covertly, in cash or in kind, in order to induce or in return for the referral of an individual for the furnishing of, or the recommending or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 The Anti-Kickback Statute is broad and may technically prohibit many innocuous or beneficial arrangements within the healthcare industry, although it does contain several exceptions. HHS has issued a series of regulatory “safe harbors” setting forth certain provisions that, if met, will immunize the parties to the arrangement from prosecution under the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Anti-Kickback Statute will be pursued. Furthermore, a person or entity does not need to have actual knowledge of the statute or specific intent to violate it in order to have committed a violation. Penalties for violations of the Anti-Kickback Statute are severe and include imprisonment, criminal fines, civil monetary penalties, and exclusion from participation in federal healthcare programs. In addition, a violation of the federal Anti-Kickback Statute can serve as a basis of liability under the federal False Claims Act (described below). Many states also have anti-kickback statutes, some of which may apply regardless of payor type.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 October 2018, the Eliminating Kickbacks in Recovery Act of 2018, or EKRA, was enacted as part of the Substance Use-Disorder Prevention that Promotes Opioid Recovery and Treatment for Patients and Communities Act. EKRA is an all-payer anti-kickback law that makes it a criminal offense to pay any remuneration to induce referrals to, or in exchange for, patients using the services of a recovery home, a substance use clinical treatment facility, or laboratory. However, unlike the federal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Anti-Kickback Statute, EKRA is not limited to services covered by federal or state healthcare programs but applies more broadly to services covered by “healthcare benefit programs,” including commercial insurers. Although it appears that EKRA was intended to reach patient brokering and similar arrangements to induce patronage of substance use recovery and treatment, the language in EKRA is broadly written. Further, certain of EKRA’s exceptions are inconsistent with the federal Anti-Kickback Statute and regulations. Significantly, EKRA permits the U.S. Department of Justice to issue regulations clarifying EKRA’s exceptions or adding additional exceptions, but such regulations have not yet been 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also U.S. federal laws related to healthcare fraud and false statements relating to healthcare matters. The healthcare fraud statute prohibits, among other things, knowingly and willfully executing a scheme to defraud any healthcare benefit program, including private payors. A violation of this statute is a felony and may result in fines, imprisonment or exclusion from government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 violation of this statute is also a felony and may result in fines, imprisonment or exclusion from government payor programs. </w:t>
      </w:r>
    </w:p>
    <w:p>
      <w:pPr>
        <w:pStyle w:val="TextBody"/>
        <w:bidi w:val="0"/>
        <w:spacing w:before="360" w:after="283"/>
        <w:jc w:val="left"/>
        <w:rPr>
          <w:rFonts w:ascii="Times New Roman" w:hAnsi="Times New Roman"/>
          <w:sz w:val="20"/>
        </w:rPr>
      </w:pPr>
      <w:r>
        <w:rPr>
          <w:rFonts w:ascii="Times New Roman" w:hAnsi="Times New Roman"/>
          <w:b/>
          <w:i/>
          <w:color w:val="000000"/>
          <w:sz w:val="20"/>
        </w:rPr>
        <w:t>False Claims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Another development affecting the healthcare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to the federal government. The qui tam provisions of the False Claims Act allow a private individual to bring an action under the False Claims Act on behalf of the federal government and permit such an individual to share in any amounts paid by the entity to the government in fines or settlement. In addition, providers and suppliers must report and return any overpayments received from the Medicare and Medicaid programs within 60 days of identification. Failure to identify and return such overpayments exposes the provider or supplier to False Claims Act liability. When an entity is determined to have violated the False Claims Act, it may be required to pay up to three times the actual damages sustained by the government, plus substantial per-claim civil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various states have enacted false claim laws analogous to the federal False Claims Act, although many of these state laws apply where a claim is submitted to any third-party payor and not merely a government payor program. </w:t>
      </w:r>
    </w:p>
    <w:p>
      <w:pPr>
        <w:pStyle w:val="TextBody"/>
        <w:bidi w:val="0"/>
        <w:spacing w:before="360" w:after="283"/>
        <w:jc w:val="left"/>
        <w:rPr>
          <w:rFonts w:ascii="Times New Roman" w:hAnsi="Times New Roman"/>
          <w:sz w:val="20"/>
        </w:rPr>
      </w:pPr>
      <w:r>
        <w:rPr>
          <w:rFonts w:ascii="Times New Roman" w:hAnsi="Times New Roman"/>
          <w:b/>
          <w:i/>
          <w:color w:val="000000"/>
          <w:sz w:val="20"/>
        </w:rPr>
        <w:t>Civil Monetary Penalties Law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Monetary Penalties Law, or the CMP Law, prohibits, among other things, (1) the offering or transfer of remuneration to a Medicare or Medicaid beneficiary if the person knows or should know it is likely to influence the beneficiary’s selection of a particular provider, practitioner, or supplier of services reimbursable by Medicare or Medicaid, unless an exception applies; (2) employing or contracting with an individual or entity that the provider knows or should know is excluded from participation in a federal health care program; (3) billing for services requested by an unlicensed physician or an excluded provider; and (4) billing for medically unnecessary services. The penalties for violating the CMP Law include exclusion, substantial fines, and payment of up to three times the amount billed, depending on the nature of the offense.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Physician Referral Prohibitions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subject to the U.S. federal law directed at “self-referrals,” commonly known as the “Stark Law,” which prohibits a physician from making referrals for certain designated health services, including laboratory services, that are covered by the Medicare program, to an entity with which the physician or an immediate family member has a direct or indirect financial relationship, unless an exception applies. Violation of the Stark Law results in a denial of payment for any services provided pursuant to a prohibited referral. A physician or entity that engages in a scheme to circumvent the Stark Law’s referral prohibition may be subject to substantial fines for each such arrangement or scheme. In addition, any person who presents or causes to be presented a claim to the Medicare program in violation of the Stark Law is subject to substantial civil monetary penalties of an assessment of up to three times the amount claimed and possible exclusion from participation in federal health care programs. The Stark Law is a strict liability statute, meaning that a physician’s financial relationship with a laboratory must meet an exception under the Stark Law, or the referrals are prohibited. Thus, unlike the Anti-Kickback Statute’s safe harbors, if a laboratory’s financial relationship with a referring physician does not meet the requirements of a Stark Law exception, then the physician is prohibited from making Medicare and Medicaid referrals to the laboratory and any such referrals will result in overpayments to the laboratory and subject the laboratory to the Stark Law’s penalties. A violation of the Stark Law can serve as a basis of liability under the federal False Claims Act. Many states, including California, have comparable laws that are not limited to Medicare referrals. The Stark Law also prohibits state receipt of federal Medicaid matching funds for services furnished pursuant to a prohibited referral, but this provision of the Stark Law has not been implemented by regulations.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Physician Sunshine Laws Applicable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Physician Payments Sunshine Act imposes reporting requirements on manufacturers of certain devices, drugs, and biologics for certain payments and transfers of value by them (and in some cases their distributors) to physicians, teaching hospitals, and certain advanced non-physician health care practitioners, as well as ownership and investment interests held by physicians and their immediate family members. The reporting program, known as the Open Payments program, is administered by CMS. Because we manufacture our own LDTs solely for use by or within our own laboratory, we believe we are exempt from these reporting requirements. We may become subject to such reporting requirements under the terms of current CMS regulations, however, enacted federal legislation renders our tests regulated by FDA, or if FDA finalizes its recently initiated notice-and-comment rulemaking to exercise authority over LDTs as medical devices or otherwise requires us to obtain premarket clearance or approval for one or more of our tests. We also may become subject to these requirements, as well as applicable state Sunshine Acts, if any therapeutic products currently in development are successfully approved by FDA, commercialized in the United States, and eligible for reimbursement under a federal healthcare program such as Medicare or Medicaid.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Anti-Bribery Laws Applicable to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FCPA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U.S. Foreign Corrupt Practices Act, or FCPA, which prohibits companies and their intermediaries from making payments in violation of law to non-U.S. government officials for the purpose of obtaining or retaining business or securing any other improper advantage. The sale of our tests internationally demands a high degree of vigilance in maintaining, implementing and enforcing a policy against participation in corrupt activity. Other U.S. companies in the medical device and pharmaceutical fields have faced substantial monetary fines and criminal penalties under the FCPA for allowing their agents to deviate from appropriate practices in doing business with non-U.S. government officials.</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subject to similar anti-bribery laws in the foreign jurisdictions in which we operate. In Europe, various countries have adopted anti-bribery laws providing for severe consequences, in the form of criminal penalties and/or significant fines for individuals and/or companies committing a bribery offence. For instance, in the United Kingdom, under the Bribery Act of 2010, which became effective in July 2011, a bribery occurs when a person offers, gives, or promises to give a financial or other advantage to induce or reward another individual to improperly perform certain functions or activities, including any function of a public or private nature. Bribery of foreign public officials also falls within the scope of the Bribery Act of 2010. An individual found in violation of the Bribery Act of 2010 faces imprisonment of up to 10 years and could be subject to an unlimited fine, as could commercial organizations for failure to prevent bribery.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Healthcare Policy Laws Applicable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2010, The Affordable Care Act, the ACA, was enacted in the United States and made a number of substantial changes to the way healthcare is financed both by governmental and private payors. Although the ACA included a medical device tax, the tax never went into effect and was fully repealed by Congress with enactment of the 2019 federal spending package signed into law by President Trump on December 20, 2019.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ACA’s enactment, there have been judicial and Congressional challenges to certain aspects of the ACA, and as a result, certain sections of the ACA have not been fully implemented or were effectively repealed. However, following several years of litigation in the federal courts, in June 2021, the United States Supreme Court, or the Supreme Court, upheld the ACA when it dismissed a legal challenge to the Act’s constitutionality. Further legislative and regulatory changes under the ACA remain possible, although the Democrat-led presidential administration has been taking steps to strengthen the ACA. Future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U.S. The uncertainty around the future of the ACA, and in particular the impact to reimbursement levels and the number of insured individuals, may lead to delay in the purchasing decisions of our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ACA, there will likely continue to be proposals by legislators at both the federal and state levels, regulators and private third-party payors to reduce costs while expanding individual healthcare benefits.</w:t>
      </w:r>
    </w:p>
    <w:p>
      <w:pPr>
        <w:pStyle w:val="TextBody"/>
        <w:bidi w:val="0"/>
        <w:spacing w:before="360" w:after="283"/>
        <w:jc w:val="left"/>
        <w:rPr>
          <w:rFonts w:ascii="Times New Roman" w:hAnsi="Times New Roman"/>
          <w:sz w:val="20"/>
        </w:rPr>
      </w:pPr>
      <w:r>
        <w:rPr>
          <w:rFonts w:ascii="Times New Roman" w:hAnsi="Times New Roman"/>
          <w:b/>
          <w:color w:val="000000"/>
          <w:sz w:val="20"/>
        </w:rPr>
        <w:t>Prohibitions on the Corporate Practice of Medicine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states have enacted laws prohibiting business corporations, such as us, from practicing medicine and employing or engaging physicians to practice medicine, generally referred to as the prohibition against the corporate practice of medicine. These laws are designed to prevent interference in the medical decision-making process by anyone who is not a licensed physician. For example, California’s Medical Board has indicated that determining the appropriate diagnostic tests for a particular condition and taking responsibility for the ultimate overall care of a patient, including providing treatment options available to the patient, would constitute the unlicensed practice of medicine if performed by an unlicensed person. Although we have structured our management services arrangements with our affiliated professional corporations to comply with applicable state corporate practice of medicine laws, violation of these corporate practice of medicine laws may result in civil or criminal fines, as well as sanctions imposed against the business corporation and/or the professional through licensure proceedings.</w:t>
      </w:r>
    </w:p>
    <w:p>
      <w:pPr>
        <w:pStyle w:val="TextBody"/>
        <w:bidi w:val="0"/>
        <w:spacing w:before="360" w:after="283"/>
        <w:jc w:val="left"/>
        <w:rPr>
          <w:rFonts w:ascii="Times New Roman" w:hAnsi="Times New Roman"/>
          <w:sz w:val="20"/>
        </w:rPr>
      </w:pPr>
      <w:r>
        <w:rPr>
          <w:rFonts w:ascii="Times New Roman" w:hAnsi="Times New Roman"/>
          <w:b/>
          <w:color w:val="000000"/>
          <w:sz w:val="20"/>
        </w:rPr>
        <w:t>Environmental and Other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facilities are subject on an ongoing basis to federal, state, and local laws and regulations governing the use, storage, handling, and disposal of regulated medical waste, hazardous waste, and biohazardous waste, including chemicals, biological agents and compounds and blood and other tissue specimens. Typically, we use licensed or otherwise qualified outside vendors to dispose of this waste. However, many of these laws and regulations provide for strict liability, holding a party potentially liable without regard to fault or negligence. As a result, we could be held liable for damages and fines if our, or others’, business operations or other actions result in contamination of the environment or personal injury due to exposure to hazardous materials. Our costs for complying with these laws and regulations cannot be estimated or predicted and depends on a number of factors, including the amount and nature of waste we produce, which depends in part on the number of tests we perform, and the terms we negotiate with our waste disposal vendors.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operations are also subject to extensive requirements established by the U.S. Occupational Safety and Health Administration relating to workplace safety for healthcare employees, including requirements to develop and implement programs to protect workers from exposure to blood-borne pathogens by preventing or minimizing any exposure through needle stick or similar penetrating injuries.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Sustainability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committed to operating sustainably and have dedicated the last couple of years to establishing the proper foundation and internal functions that would enable us to monitor and grow our Environmental, Social, and Governance, or ESG, strategy. We placed our ESG efforts and initiatives under the purview and oversight of the Nominating and Governance Committee. We have also implemented various policies that outline commitments and establish internal processes with respect to our ESG efforts. Additionally, we established an ESG working group, made up of members of our executive team and senior management. We seek to ensure our ESG strategy is effectively integrated into the Company’s overall business strategy by presenting all ongoing efforts, achievements, and challenges to the Board at quarterly meetings. These meetings give our Board the ability to assess and weigh in on ESG-related initiatives.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Environmental Impact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Fulgent, we prioritize a holistic view of protecting and preserving our precious natural resources, as outlined in our Climate Policy. We strive to incorporate climate-related risk assessments as part of our leadership team’s regular agenda. Our Board provides general oversight of energy management, climate risk and opportunities, strategy, and performance. The Board, through our ESG working group, provides additional oversight on climate-related projects, goals, and related opportunities.</w:t>
      </w:r>
    </w:p>
    <w:p>
      <w:pPr>
        <w:pStyle w:val="TextBody"/>
        <w:bidi w:val="0"/>
        <w:spacing w:before="360" w:after="283"/>
        <w:jc w:val="center"/>
        <w:rPr>
          <w:rFonts w:ascii="Times New Roman" w:hAnsi="Times New Roman"/>
          <w:sz w:val="20"/>
        </w:rPr>
      </w:pPr>
      <w:r>
        <w:rPr>
          <w:rFonts w:ascii="Times New Roman" w:hAnsi="Times New Roman"/>
          <w:b/>
          <w:color w:val="000000"/>
          <w:sz w:val="20"/>
        </w:rPr>
        <w:t>Employees and Human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growing and retaining a strong team is crucial to our success. As of February 15, 2024, we had 1,184 full-time employees for our laboratory service business, engaged in precision diagnostic and anatomic pathology testing, BioPharma services, software engineering, laboratory management, sales and marketing, and corporate and administrative activities, and we have 21 full-time employees engaged in research and development for our therapeutic development business. We offer a comprehensive compensation program that is designed to attract and reward talented individuals who possess the skills necessary to support our business objectives, assist in the achievement of our strategic goals and create long-term value for our stockholders. We provide competitive salaries, stock-based compensation, and bonus programs. We also provide an expansive benefit offering including medical, dental, and vision healthcare coverage; life and accidental death and dismemberment coverage; optional legal, pet insurance, hospitalization, critical illness and accident coverage; insurance and disability coverage; 401(k) investment plans with Company matching; tax-advantaged savings accounts; paid time off and leaves of absence; and wellness programs. We provide added work life balance to our employees through hybrid work arrangements. None of our employees are represented by a labor union or covered by collective bargaining agreements, and we believe our relationship with our employees is good.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persons currently serve as the directors and executive officers of Fulgent:</w:t>
      </w:r>
    </w:p>
    <w:p>
      <w:pPr>
        <w:pStyle w:val="TextBody"/>
        <w:bidi w:val="0"/>
        <w:jc w:val="left"/>
        <w:rPr/>
      </w:pPr>
      <w:r>
        <w:rPr/>
        <w:t> </w:t>
      </w:r>
    </w:p>
    <w:tbl>
      <w:tblPr>
        <w:tblW w:w="10022" w:type="dxa"/>
        <w:jc w:val="left"/>
        <w:tblInd w:w="0" w:type="dxa"/>
        <w:tblLayout w:type="fixed"/>
        <w:tblCellMar>
          <w:top w:w="28" w:type="dxa"/>
          <w:left w:w="28" w:type="dxa"/>
          <w:bottom w:w="28" w:type="dxa"/>
          <w:right w:w="28" w:type="dxa"/>
        </w:tblCellMar>
      </w:tblPr>
      <w:tblGrid>
        <w:gridCol w:w="4726"/>
        <w:gridCol w:w="5296"/>
      </w:tblGrid>
      <w:tr>
        <w:trPr/>
        <w:tc>
          <w:tcPr>
            <w:tcW w:w="4726" w:type="dxa"/>
            <w:tcBorders/>
            <w:vAlign w:val="center"/>
          </w:tcPr>
          <w:p>
            <w:pPr>
              <w:pStyle w:val="TableContents"/>
              <w:bidi w:val="0"/>
              <w:spacing w:before="0" w:after="283"/>
              <w:jc w:val="left"/>
              <w:rPr>
                <w:sz w:val="4"/>
                <w:szCs w:val="4"/>
              </w:rPr>
            </w:pPr>
            <w:r>
              <w:rPr>
                <w:sz w:val="4"/>
                <w:szCs w:val="4"/>
              </w:rPr>
            </w:r>
          </w:p>
        </w:tc>
        <w:tc>
          <w:tcPr>
            <w:tcW w:w="5296" w:type="dxa"/>
            <w:tcBorders/>
            <w:vAlign w:val="center"/>
          </w:tcPr>
          <w:p>
            <w:pPr>
              <w:pStyle w:val="TableContents"/>
              <w:bidi w:val="0"/>
              <w:spacing w:before="0" w:after="283"/>
              <w:jc w:val="left"/>
              <w:rPr>
                <w:sz w:val="4"/>
                <w:szCs w:val="4"/>
              </w:rPr>
            </w:pPr>
            <w:r>
              <w:rPr>
                <w:sz w:val="4"/>
                <w:szCs w:val="4"/>
              </w:rPr>
            </w:r>
          </w:p>
        </w:tc>
      </w:tr>
      <w:tr>
        <w:trPr/>
        <w:tc>
          <w:tcPr>
            <w:tcW w:w="4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Directors and Executive Officers</w:t>
            </w:r>
          </w:p>
        </w:tc>
        <w:tc>
          <w:tcPr>
            <w:tcW w:w="5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Ming Hsieh</w:t>
            </w:r>
          </w:p>
        </w:tc>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Directors and Chief Executive Officer</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Kim</w:t>
            </w:r>
          </w:p>
        </w:tc>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Hanlin (Harry) Gao, M.D., Ph.D., D.A.B.M.G., F.A.C.M.G.</w:t>
            </w:r>
          </w:p>
        </w:tc>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Scientific Officer</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Jian (James) Xie</w:t>
            </w:r>
          </w:p>
        </w:tc>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Operating Officer</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Regina (Reggie) Groves</w:t>
            </w:r>
          </w:p>
        </w:tc>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Non-Employee Director</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Linda Marsh</w:t>
            </w:r>
          </w:p>
        </w:tc>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Non-Employee Director</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Nohaile, Ph.D.</w:t>
            </w:r>
          </w:p>
        </w:tc>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Non-Employee Director</w:t>
            </w:r>
          </w:p>
        </w:tc>
      </w:tr>
    </w:tbl>
    <w:p>
      <w:pPr>
        <w:pStyle w:val="TextBody"/>
        <w:bidi w:val="0"/>
        <w:spacing w:before="360" w:after="283"/>
        <w:jc w:val="center"/>
        <w:rPr>
          <w:rFonts w:ascii="Times New Roman" w:hAnsi="Times New Roman"/>
          <w:sz w:val="20"/>
        </w:rPr>
      </w:pPr>
      <w:r>
        <w:rPr>
          <w:rFonts w:ascii="Times New Roman" w:hAnsi="Times New Roman"/>
          <w:b/>
          <w:color w:val="000000"/>
          <w:sz w:val="20"/>
        </w:rPr>
        <w:t>Employee Training and Engagement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dedicated and growing team of over 1,000 employees is a source of pride. They continuously work to expand our testing solutions and consistently provide the highest quality of care and accuracy. In an effort to recruit the best talent pool and to encourage the professional and personal development of every employee, we offer reimbursement for qualified educational expenses and successful completion of undergraduate, graduate, post-graduate, professional training, and licensure courses from accredited colleges, universities and professional organizations. In the past several years, employees have applied for a variety of courses, including Stanford Center for Professional Development, Google Project Management Courses, Clinical Genetic Molecular Biologist Scientist (CGMBS) Training Program, and Bachelor’s Degrees. We also provide mandatory training courses that we believe are important to our culture, corporate goals, our business and the continued development of our employees, on a variety of topics, including discrimination, harassment, HIPAA, insider trading, privacy, anti-corruption and anti-bribery, internally and/or through third-party providers. To facilitate employee engagement, in 2023, we conducted a recurrent employee feedback survey through TinyPulse and utilized the survey results to make various improvements.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Diversity and Inclusion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diverse employee pool is our greatest asset. We believe that the diversity of our workforce contributes to a healthy, respectful, and thriving work environment. As an equal opportunity employer, we are committed to fair and non-discriminatory treatment of all employees and potential employees. We empower all employees to do their best work by valuing diverse backgrounds and ideas, and we prohibit discrimination, harassment, or retaliation.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Consistent with our core belief in the values of diversity and inclusion, as of December 31, 2023, underrepresented minorities (which include women, Asian, and Hispanic persons) made up 50% or more of each major level of our organization, including our board of directors, senior management, and rank and file staff (see charts below).</w:t>
      </w:r>
    </w:p>
    <w:p>
      <w:pPr>
        <w:pStyle w:val="TextBody"/>
        <w:bidi w:val="0"/>
        <w:spacing w:before="240" w:after="283"/>
        <w:jc w:val="center"/>
        <w:rPr/>
      </w:pPr>
      <w:r>
        <w:rPr/>
        <w:drawing>
          <wp:inline distT="0" distB="0" distL="0" distR="0">
            <wp:extent cx="3657600" cy="1876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1876425"/>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drawing>
          <wp:inline distT="0" distB="0" distL="0" distR="0">
            <wp:extent cx="3657600" cy="1714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1714500"/>
                    </a:xfrm>
                    <a:prstGeom prst="rect">
                      <a:avLst/>
                    </a:prstGeom>
                  </pic:spPr>
                </pic:pic>
              </a:graphicData>
            </a:graphic>
          </wp:inline>
        </w:drawing>
      </w:r>
      <w:r>
        <w:rPr/>
        <w:t> </w:t>
      </w:r>
    </w:p>
    <w:p>
      <w:pPr>
        <w:pStyle w:val="TextBody"/>
        <w:bidi w:val="0"/>
        <w:spacing w:before="240" w:after="283"/>
        <w:jc w:val="center"/>
        <w:rPr/>
      </w:pPr>
      <w:r>
        <w:rPr/>
        <w:drawing>
          <wp:inline distT="0" distB="0" distL="0" distR="0">
            <wp:extent cx="3648075" cy="1695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48075" cy="1695450"/>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inclusive culture is fostered by recruiting and retaining qualified individuals from a broad range of backgrounds, being transparent in actions and communications, encouraging different points of view, and striving to treat everyone with respect and dignity. Additionally, we provide opportunities for employee engagement and management participation. We remain committed to raising the standard of Diversity and Inclusion in the life sciences industry as we seek to develop initiatives to promote cultural acceptance both within the organization and beyond.</w:t>
      </w:r>
    </w:p>
    <w:p>
      <w:pPr>
        <w:pStyle w:val="TextBody"/>
        <w:bidi w:val="0"/>
        <w:spacing w:before="360" w:after="283"/>
        <w:jc w:val="center"/>
        <w:rPr>
          <w:rFonts w:ascii="Times New Roman" w:hAnsi="Times New Roman"/>
          <w:sz w:val="20"/>
        </w:rPr>
      </w:pPr>
      <w:r>
        <w:rPr>
          <w:rFonts w:ascii="Times New Roman" w:hAnsi="Times New Roman"/>
          <w:b/>
          <w:color w:val="000000"/>
          <w:sz w:val="20"/>
        </w:rPr>
        <w:t>Workplace Safety and Health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committed to promoting a safe and healthy work environment, to establishing policies and procedures that support the safety program, and to fostering a workplace that is free from hazards, substance abuse, and violence. We currently operate 7 CLIA-certified and CAP-accredited labs across the United States. We seek to surpass the highest standards of diagnostic testing and to follow applicable safety laws and regulations. We encourage reporting of concerns across all of our physical locations. Because the health and safety of our employees is our priority, we have established policies and procedures aimed at reducing the risk of workplace injuries, and we provide regular training to all personnel on workplace safety. In 2023 and 2022, respectively, we only had 15 and 19 recordable injuries.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Access and Affordability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top priority is the health of patients. We believe no one should have to sacrifice their health due to financial considerations or other reasons. We work hard to provide patients with access to quality diagnostic testing, regardless of their economic status. We provide numerous flexible and affordable pay options which include: acceptance of commercial insurance plans; availability of cash pricing at a discounted rate to make our tests more accessible; financial assistance resources based on various criteria for patients who are insured with commercial insurance but need additional financial help; a self-pay option for patients who do not meet insurance coverage policies for testing, have high-deductible plans, or have no insurance coverage; and our Compassionate Care Program, which offers financial assistance and non-interest payment plans for patients in the U.S. with no medical insurance and limited financial resources.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incorporated in Delaware on May 13, 2016. We are the holding company of our subsidiaries, including primarily Fulgent Therapeutics LLC, which was initially formed in June 2011. On September 30, 2016, Fulgent Therapeutics LLC became our wholly owned subsidiary in a transaction we refer to as the Reorganization, in which the holders of all equity interests in Fulgent Therapeutics LLC immediately prior to the Reorganization became all of our stockholders immediately following the Reorganization.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headquarters are located at 4399 Santa Anita Avenue, El Monte, California 91731, and our telephone number is (626) 350-0537. Our website address is </w:t>
      </w:r>
      <w:r>
        <w:rPr>
          <w:rFonts w:ascii="Times New Roman" w:hAnsi="Times New Roman"/>
          <w:i/>
          <w:color w:val="000000"/>
          <w:sz w:val="20"/>
        </w:rPr>
        <w:t>www.fulgentgenetics.com</w:t>
      </w:r>
      <w:r>
        <w:rPr>
          <w:rFonts w:ascii="Times New Roman" w:hAnsi="Times New Roman"/>
          <w:color w:val="000000"/>
          <w:sz w:val="20"/>
        </w:rPr>
        <w:t>. The information contained on or that can be accessed through our website is not part of and is not incorporated into this report by this reference.</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file reports with the Securities and Exchange Commission, or the SEC, and make available, free of charge, on or through our website, our annual reports on Form 10-K, quarterly reports on Form 10-Q, current reports on Form 8-K, proxy and information statements and amendments to those reports filed or furnished pursuant to Section 13(a) or 15(d) of the Exchange Act as soon as reasonably practicable after we electronically file such material with, or furnish it to, the SEC on their website. The SEC maintains an internet site that contains reports, proxy and information statements, and other information regarding issuers that file electronically with the SEC at </w:t>
      </w:r>
      <w:r>
        <w:rPr>
          <w:rFonts w:ascii="Times New Roman" w:hAnsi="Times New Roman"/>
          <w:i/>
          <w:color w:val="000000"/>
          <w:sz w:val="20"/>
        </w:rPr>
        <w:t>www.sec.gov</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5" w:name="item_1a_risk_factors"/>
      <w:bookmarkEnd w:id="5"/>
      <w:r>
        <w:rPr>
          <w:rFonts w:ascii="Times New Roman" w:hAnsi="Times New Roman"/>
          <w:b/>
          <w:color w:val="000000"/>
          <w:sz w:val="20"/>
        </w:rPr>
        <w:t>Item 1A. Risk Factors.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stock involves a high degree of risk. Before making any investment decision with respect to our common stock, you should carefully consider the risks described below, together with the other risk factors set forth in this Item 1A, all other information included in this report, and the other reports and documents filed by us with the SEC. The risk factors described below are a summary of the principal risk factors associated with an investment in us.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Cybersecurity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attempted security incidents or breaches, loss of data, or other disruptions could expose us to material liability and materially and adversely affect our business, financial condition, and our reputation.</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Business and Strategy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may fluctuate significantly from period to period and can be difficult to predict.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and we may not be able to sustain profitability. At this time, we do not expect future material revenues from the sale of our COVID-19 tests and testing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integrate any acquired businesses and technologies, and this may adversely affect our business and results of operations. We may incur unexpected liabilities as a result of our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laboratory facilities become inoperable, if we are forced to vacate a facility, or if we are unable to obtain additional laboratory space as and when needed, we would be unable to perform our tests and our business would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our information technology systems and any material failure of these systems, due to hardware or software malfunctions, delays in operation, and/or material failures to implement new or enhanced systems or cybersecurity breaches, could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to obtain additional capital when needed and on acceptable terms may limit our ability to execute our business plans, and our liquidity needs could be materially affected by market fluctuations and general economic conditions. If we raise funds by issuing equity securities, our stockholders may experience substantial dilution.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charges relating to our goodwill and intangible assets could negatively affect our financial performance.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Reimbursement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or sustain profitability also depends on our collection of payment for the tests we deliver, which we may not be able to do successfully.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government laws and regulations related to submission of claims for our services could result in significant monetary damages and penalties and exclusion from the Medicare and Medicaid programs and corresponding foreign reimbursement programs. We are also subject to governmental audits, such as the current HRSA Audit, that could result in material refunds or settlements. Our business, prospects and financial condition may be adversely affected as the result of the current HRSA Audit.</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Regulatory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changes in laws, regulations or the enforcement discretion of the FDA with respect to the marketing of diagnostic products, or violations of laws or regulations by us, could materially and adversely affect our business, prospects, results of operations or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applicable federal, state, local and foreign laboratory licensing requirements, we could lose the ability to perform our tests and experience material disruptions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broad legal requirements regarding the information we test and analyze, and any failure to comply with these requirements could result in materially significant, penalties, materially damage our reputation and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business in a heavily regulated industry. Complying with the numerous statutes and regulations pertaining to our business is expensive and time-consuming, and any failure by us, our consultants or commercial partners to comply could result in substantial and material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modify our business practices, pay fines, incur significant expenses, or experience losses due to litigation or governmental investigations as a result of voluntary disclosure processes.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 Related to the Development of Drug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drug candidates are in early stages of development and may fail or suffer delays that materially and adversely affect their future commercial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drug candidate that we may attempt to develop, manufacture, or market in the United States will be subject to extensive regulation by the FDA, including regulations relating to development, preclinical testing, performance of clinical trials, manufacturing, and post-approval commercialization and will be subject to extensive regulations outside of the United States. Satisfaction of these and other regulatory requirements is costly, time-consuming, uncertain, and subject to unanticipated delays. The time required to obtain FDA approval, and any other required approvals for pharmaceutical products, including any accelerated approval, is unpredictable but typically requires years to several years and may never be obtained.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Intellectual Property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patent protection for any product candidate we develop, our competitors could develop and commercialize products or technology similar to ours, and our ability to successfully commercialize any product candidate we may develop, and our technology,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trade secret protection, non-disclosure agreements, and invention assignment agreements to protect our proprietary information, which may not be effective.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other proceedings or third-party claims of intellectual property infringement or misappropriation could require us to spend significant time and money and prevent us from selling our tests or developing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our obligations under license or technology agreements with third parties, we could lose license rights that are important to our business. If our third-party licensors fail to comply with the terms of our license arrangements, we may be forced to engage in litigation to protect our rights, which may not be successful.</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Common Stock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active, liquid trading market for our common stock may not be sustained, which could make it difficult for stockholders to sell their shares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common stock may be volatile, and you could lose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issuances of our common stock or rights to purchase our common stock, including pursuant to our equity incentive plan, could result in additional dilution to the percentage ownership of our stockholders and could cause the price of our common stock to fall.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intend to pay dividends on our common stock, so any returns will be limited to the value of our common stock.</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Cybersecurity Risks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Actual or attempted security incidents or breaches, loss of data, or other disruptions could expose us to material liability and materially and adversely affect our business, financial condition, and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generate, collect and store sensitive data, including personal health information, or PHI; personally identifiable information; intellectual property; and proprietary and other business-critical information, such as research and development data, commercial data, and other business and financial information. We manage and maintain the data we generate and collect and store data utilizing a combination of on-site systems and managed data center systems. We also communicate sensitive patient data when we deliver reports summarizing test results to our customers, which we deliver via our online encrypted web portal, encrypted email, or fax, or overnight courier. The secure processing, storage, maintenance, and transmission of this information is vital to our operations and business strategy, and we devote significant resources to protecting the confidentiality and integrity of this information. Although we have implemented security measures and other controls designed to protect sensitive information from unauthorized access, use, or disclosure, as disclosed previously, in 2022, one of our subsidiaries experienced security incidents to its information systems that resulted in the unauthorized access, use, and disclosure of PHI and other confidential information. These incidents have not materially affected our business. A breach or interruption could result in material legal claims or proceedings and could result in material liability or penalties under federal, state, or foreign laws that protect the privacy of personal information, discussed below under “We are subject to broad legal requirements regarding the information we test and analyze, and any failure to comply with these requirements could result in materially significant, penalties, materially damage our reputation and materially harm our business.” Additionally, unauthorized access, manipulation, loss, or dissemination could significantly damage our reputation and disrupt our operations, including our ability to perform our tests, analyze and provide test results, bill customers or other payors, process claims for reimbursement, provide customer service, conduct research and development activities, collect, process, and prepare company financial information, conduct education and outreach activities and manage the administrative aspects of our operations, as described further below under “We depend on our information technology systems and any material failure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systems, due to hardware or software malfunctions, delays in operation, and/or material failures to implement new or enhanced systems or cybersecurity breaches, could materially harm our business.”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Business and Strategy Risks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results of operations may fluctuate significantly from period to period and can be difficult to predict.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have experienced fluctuations from period to period, which we expect may continue in the future. These fluctuations can occur because of a variety of factors, including, among others, the amount and timing of sales of our tests and testing services, the prices we charge for our tests and testing services, customer or payor mix, general price degradation for our tests and testing services or other competitive factors, the rate and timing of our billings and collections, our ability to obtain reimbursement for our tests from third-party payors, our ability to maintain a broad and flexible testing menu, the timing and amount of our commitments and other payments, and exchange rate fluctuations, as well as the other risk factors discussed in this report. Our results have been, and may in the future be, impacted by events that may not recur regularly, in the same amounts or at all in the future. For instance, in 2020, we developed and began offering a series of COVID-19 tests. We experienced substantial revenue growth in 2020 and 2021 due primarily to the sales of, and growing demand, for these COVID-19 tests, but we have seen a decrease in our COVID-19 revenue in recent years due to the decline in prevalence of COVID-19. The fluctuations in our operating results may render period-to-period comparisons less meaningful, and investors should not rely on the results of any one period as an indicator of future performance. These fluctuations in our operating results could cause our performance in any particular period to fall below the expectations of securities analysts or investors or guidance we have provided to the public, which could negatively affect the price of our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have a history of losses, and we may not be able to sustain profitability. At this time, we do not expect future material revenues from the sale of our COVID-19 tests and testing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Although we achieved profitability for the years ended December 31, 2020, 2021, and 2022, we may not again be profitable in any future periods. Further, our revenue levels may not grow at historical rates or at all. We may incur additional losses in the future. While we experienced significant profitability in connection with the sale of our COVID-19 tests in previous years, the demand for these tests has declined and, currently, we do not expect future material revenue from the sale of our COVID-19 tests and testing services. Even if there is a reoccurrence of demand for our COVID-19 tests or other substantial revenue growth, we may be unable to again manage our resources to effectively respond to this demand such that our revenues would again materially increase. Any losses would have an adverse effect on our stockholders’ equity and working capital, which could negatively impact our operations and your investment in the Company. A failure to sustain or grow our revenue levels and to maintain profitability may negatively affect our business, financial condition, results of operations and cash flows, and the market price of our common stock may decline or continue to decline.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may not be successful in our efforts to integrate any acquired businesses and technologies, and this may adversely affect our business and results of operations. We may incur unexpected liabilities as a result of our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integrate any organizations or technology that we may acquire is subject to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integrate successfully the personnel, information systems, technology, and operations of the acquired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to maximize the potential financial and strategic benefits of the acquisition;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to realize the expected synergies of the acquired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possible impairment of relationships with employees and clients as a result of any integration of new businesses and management personnel;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impairment of goodwill, such as the impairment charge we incurred in the fourth quarter of 2023;</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increased demand on human resources and operating systems, procedures and controls;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reductions in future operating results as a result of the amortization of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Acquisitions are also accompanied by the risk that obligations and liabilities of an acquired business may not be adequately reflected in the historical financial statements of that business and the risk that historical financial statements may be based on assumptions, which are incorrect or inconsistent with our assumptions or approach to accounting policies. The acquisition and integration of businesses may not be managed effectively, and any failure to manage the integration process could lead to disruptions in the overall activities of the Company, a loss of clients and revenue, and increased expenses. Further, integration of an acquired business or technology could involve significant difficulties and could require management and capital resources that otherwise would be available for ongoing development of our existing business or pursuit of other opportunities. We may also acquire contingent liabilities in connection with the acquisitions of a business, which may be material, and any estimates we might make regarding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acquired contingent liabilities and the likelihood that these liabilities will materialize could differ materially from the liabilities actually incurred. These circumstances could materially harm our business,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have previously and may again in the future acquire businesses or assets, form joint ventures, make investments in other companies or technologies, or establish other strategic relationships, any of which could harm our operating results or dilute our stockholders’ ownership.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business strategy, we have previously and may again in the future pursue acquisitions of complementary businesses or assets (such as our acquisitions of Cytometry Specialist, Inc. or CSI; Fulgent Pharma; and Symphony Buyer, Inc., or Inform Diagnostics), investments in other companies (such as our investment in Helio Health), technology licensing arrangements, joint ventures, or other strategic relationships. As an organization, we have relatively limited experience with respect to acquisitions, investments, or the formation of strategic relationships or joint ventures. If we pursue relationships with strategic partners or other strategic relationships, our ability to establish and maintain these relationships could be challenging due to several factors. Factors include competition with other testing companies and internal and external constraints placed on pharmaceutical and other organizations that limit the number and type of relationships they can establish with companies like ours. Moreover, we may not be able to identify or complete any future acquisition, investment, technology license, joint venture, or other strategic relationship in a timely manner, on a cost-effective basis, or at all; and we may not realize the anticipated benefits of any acquisition, investment, or joint venture as needed to recoup our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finance any acquisitions, investments, joint ventures, or other strategic relationships, we may seek to raise additional funds through securities offerings, credit facilities, asset sales or collaborations, or licensing arrangements. To the extent these financing transactions call for the issuance of shares of our capital stock, our existing stockholder would experience dilution in their relative ownership of shares of our capital stock. Each of these methods of fundraising is subject to a variety of risks, including those discussed below under “Any inability to obtain additional capital when needed and on acceptable terms may limit our ability to execute our business plans, and our liquidity needs could be materially affected by market fluctuations and general economic conditions.” Further, additional funds from capital-raising transactions may not be available when needed, on acceptable terms or at all. Any inability to fund any acquisitions, investments, or strategic relationships we pursue could cause us to forfeit opportunities we believe are promising or valuable, which could harm our prospects. If we raise funds by issuing equity securities, our stockholders may experience substantial dilution.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mix of customers fluctuates from period to period, and our revenue is often concentrated among only a small number of customers, and the loss of or a reduction in sales to any of our customers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composition and concentration of our customer base often fluctuates from period to period, and in certain prior periods, a small number of customers accounted for a significant portion of our revenue. When customers who, to our knowledge, are under common control or otherwise affiliated with each other are aggregated, one of our customers contributed $35.7 million or 12% of our total revenue during the year ended December 31, 2023. We continue to see significant concentration in a single large customer. For these customers and for customers generally, tests are purchased on a test-by-test basis and not pursuant to any long-term purchasing arrangements. As a result, any or all of our customers, including affiliated customers or customers under common control who purchase large quantities of tests, could decide at any time to decrease, delay, or discontinue their orders from us, which could adversely affect our revenue. We believe some of these fluctuations in customer demand may be attributable, in part, to the nature of our business. Our traditional genetic testing customers can experience significant volatility in their testing demand from period to period in the ordinary course of their operations and certain of these customers are experiencing significant financial distress. Demand fluctuations, particularly for any large customers, often have a significant impact on our period-to-period performance regardless of their cause.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instance, during 2023, projects for certain of our BioPharma services clients were scaled back or terminated due to those customers experiencing significant financial distress. We have also experienced recent growth in demand from fertility clinics and other laboratory customers as a result of our Beacon Expanded Carrier screen. However, if demand for IVF or other assisted reproductive technologies declines, demand for our Beacon tests and services may also decline. In light of the recent overturn of Roe v. Wade and recent state court decisions, there is uncertainty regarding the potential regulatory treatment of embryos, which may cause demand for IVF, or other assisted reproductive technologies, to decline or to decline in certain jurisdictions. Further, if our laboratory customers decided to perform certain testing services internally, our business and results of operations could be materially and adversely harmed. Our ability to maintain or increase sales to our existing customers depends on a variety of factors, including the other risk factors discussed in this report, many of which are beyond our control. Because of these and other factors, sales to any of our customers, including any key, affiliated, or commonly controlled customers, may not continue in the amounts or at the rates as they have in the past, and such sales may never reach or exceed historical levels in any future period. The loss of any of our customers, or a reduction in orders or difficulties collecting payments for tests ordered by any of them, could significantly reduce our revenue and adversely affect our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face intense competition, which could intensify further in the future, and we may fail to maintain or again increase our revenue levels or sustain profitability if we cannot compete successfully.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our businesses in very competitive and evolving fields. While we believe that we compare favorably to these competitors, some of our competitors may have technical, competitive, or other advantages over us for the development of technologies and processes or greater experience in particular diagnostics or therapeutic development areas, and consolidation among pharmaceutical, diagnostic, and biotechnology companies can enhance such advantages.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 specifically, many of our competitors have longer operating histories, larger customer bases, larger research and development staffs, more expansive brand recognition, established manufacturing capabilities and facilities, and deeper market penetration; substantially greater financial, technological and research and development resources and selling and marketing capabilities with established sales forces; and considerably more experience dealing with third-party payors. As a result, they may be able to respond more quickly to changes in customer requirements or preferences, develop faster and better advancements for their technologies, product candidates and tests, create and implement more successful strategies for the promotion and sale of their tests, obtain more favorable results from third-party payors regarding coverage and reimbursement for their offerings, adopt more aggressive pricing policies for their tests, secure supplies from vendors on more favorable terms or devote substantially more resources to infrastructure and systems development. In addition, competitors may be acquired by, receive investments from, or enter into other commercial relationships with larger, well-established and well-financed companies, which may result in even more resources being concentrated among our competitors. Smaller or early-stage companies may also prove to be significant competitors, particularly through collaborative arrangements with large and established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laboratory services competitors include dozens of companies focused on pathology, genetic, and diagnostic testing services, including specialty and reference laboratories that offer traditional single-gene and multi-gene tests. As such, we face intense competition from other life science, biotechnology, pharmaceutical, research and development, and diagnostic companies. This competition is subject to rapid change, could be significantly affected by new product or testing introductions, and may intensify further in the future. With respect to our research and development business,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 Our commercial opportunities could be reduced or eliminated if our competitors develop and commercialize products that are safer, more effective, less expensive, more convenient or easier to administer, or have fewer or less severe effects than any products that we may develop. Our competitors also may obtain FDA, EMA, or other regulatory approval for their products more rapidly than we may obtain approval for our products, which could result in our competitors establishing a strong market position before we are able to enter the market. Even if our drug candidates achieve marketing approval, they may be priced at a significant premium over competitive products if any have been approved by then. The key competitive factors affecting the success of our product candidates are likely to be their efficacy, safety, and availability of reimbursement. We may not be able to compete effectively against competitive organizations. If we are unable to compete effectively, this could have a material adverse effect on our business and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If our laboratory facilities become inoperable, if we are forced to vacate a facility, or if we are unable to obtain additional laboratory space as and when needed, we would be unable to perform our tests, and our business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perform our tests at our CLIA-certified laboratories in El Monte, California; Irving, Texas; Needham, Massachusetts; Phoenix, Arizona; Alpharetta, Georgia; and New York, New York. Our laboratories and the equipment we use to perform our tests would be costly to replace and could require substantial lead time to replace and qualify for use. Additionally, any other laboratory facilities or equipment we may use could be damaged or rendered inoperable by severe weather events, natural disasters, which may be exacerbated by the effects of climate change, or man-made disasters which could render it difficult or impossible for us to perform our tests for some period of time. The inability to perform our tests or the backlog that could develop if a laboratory becomes inoperable for even a short time could result in adversely affected turnaround times, the loss of customers or harm to our reputation. Although we maintain insurance for damage to our property and disruption of our business, this insurance may not be sufficient to cover all of our potential losses and may not continue to be available to us on acceptable terms,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if we need to relocate from one laboratory facility to another laboratory facility or obtain additional laboratory space, we may have difficulty locating suitable space in a timely manner, on reasonable terms or at all. Even if acceptable space was available, it would be challenging, time-consuming, and expensive to obtain or transfer the licensure and accreditation required for a commercial laboratory like ours and the equipment used to perform our tests. These challenges could be amplified if we or our joint ventures or other commercial partners seek to procure and maintain laboratory space outside the United States as we pursue international expansion. If we are unable to obtain or are delayed in obtaining new laboratory space as needed, we may not be able to provide our existing tests, provide test results within acceptable turnaround times, or develop and launch new tests, which could result in harm to our business, reputation,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rely on commercial courier delivery services to transport specimens to our laboratory facilities in a timely and cost-efficient manner, and if these delivery services are disrupted, our business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on our ability to quickly and reliably deliver test results to our customers. We typically receive specimens from customers within days of shipment, or in some cases overnight, for analysis at our laboratory facilities. Disruptions in delivery service, whether due to labor disruptions, bad weather or natural disasters (including severe weather, fires or other natural events which may be exacerbated by climate change), labor strikes, work stoppages, or boycotts, pandemics or epidemics, terrorist acts or threats, force majeure events, or for other reasons, could adversely affect specimen integrity and our ability to process specimens in a timely manner, provide test results within acceptable turnaround times and otherwise service our customers. These circumstances could ultimately materially and adversely affect our reputation and our business. In addition, if we are unable to continue to obtain expedited delivery services on commercially reasonable terms, our operating results may be materially and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depend on our information technology systems and any material failure of these systems, due to hardware or software malfunctions, delays in operation, and/or material failures to implement new or enhanced systems or cybersecurity breaches,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information technology and telecommunications systems for significant elements of our operations, such as our laboratory information management systems, including test validation, specimen tracking and quality control; our bioinformatics analytical software systems; our reference library of information relating to genetic variants and their role in disease; personal information storage, maintenance, and transmission; our customer-facing web-based portal and customer service functions; our report production systems; our billing and reimbursement procedures; our scientific and medical data analysis and other research and development activities and programs; and our general and administrative activities, including disclosure controls, internal control over financial reporting and other public reporting functions. In addition, our third-party service providers depend on technology and telecommunications systems in order to provide contracted services for us. We expect we will need to continue to expand and strengthen a number of enterprise software systems that affect a broad range of business processes and functions, particularly if and as our operations grow, including, for example, systems handling human resources, financial and other disclosure controls and reporting, customer relationship management, regulatory compliance, security controls, and other infrastructure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technology and telecommunications systems are vulnerable to disruption and damage from a variety of sources, including power outages and other telecommunications or network failures, natural disasters, and the outbreak of war or acts of terrorism. Breaches resulting in the compromise, disruption, degradation, manipulation, loss, theft, destruction, or unauthorized disclosure of sensitive information can occur in a variety of ways, including but not limited to, negligent or wrongful conduct by employees or former employees or others with permitted access to our information technology systems and information, or wrongful conduct by hackers, competitors, or certain governments. Our third-party vendors and business partners face similar risks. Moreover, despite network security and back-up measures, our servers and other electronic systems are vulnerable to cybersecurity breaches, such as physical or electronic break-ins, computer viruses, ransomware attacks, phishing schemes, and similar disruptive events. Despite the precautionary measures we have taken to detect and prevent or solve problems that could affect our information technology and telecommunications systems, one of our subsidiaries has experienced security incidents to its information systems that resulted in the unauthorized access, use, and disclosure of PHI and other confidential information. To date, these incidents have not materially affected our business, however such incidents could cause significant downtime or failures of our systems or those used by our third-party service providers. Cyber-attacks come in many forms, including the deployment of harmful malware or ransomware, exploitation of vulnerabilities, phishing, and other use of social engineering, and other means to compromise the confidentiality, integrity, and availability of our information technology systems and confidential information. The techniques used by criminal elements to attack computer systems are sophisticated, change frequently and may originate from less regulated or remote areas of the world. Although we carry property, business interruption, and cyber liability insurance, the coverage may not be adequate to compensate for all losses that may occur in the event of system downtime or failure. Any such disruption or loss of information technology or telecommunications systems on which critical aspects of our operations depend could have a material adverse effect on our business and our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if and as our business grows, we will need to continually improve and expand the scope of our technology systems in order to maintain their adequacy for the scale of our operations. Any failure to make such improvements or any significant delay in the planned implementation of new or enhanced systems could render our systems obsolete or inadequate, in which case our service to our customers and our other business activities could suffer, and we could be more vulnerable to electronic breaches from outside 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computer systems are compromised, we could be subject to significant fines, damages, reputational harm, litigation, and enforcement actions, and we could lose trade secrets, the occurrence of which could materially harm our business, in addition to possibly requiring substantial and material expenditures of resources to remedy.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rely on a limited number of suppliers and, in some cases, a sole supplier, for certain laboratory substances, equipment and other materials, and any delays or difficulties securing these materials could disrupt our laboratory operations and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 limited number of suppliers for certain laboratory substances used in the chemical reactions incorporated into our tests and testing services, which we refer to as reagents, as well as for the sequencers, collection kits, and various other equipment and materials we use in our laboratory operations. In particular, we rely on Illumina as the sole supplier of the next generation sequencers and associated reagents we use to perform our genetic tests and as the sole provider of maintenance and repair services for these sequencers; on Roche Holdings AG for certain laboratory equipment, supplies and services for our immunohistochemistry services; on Beckman Coulter Diagnostics for certain laboratory equipment, supplies and services for our flow cytometry tests and testing services; on Leica Biosystems for an automated digital scanning solution to scale up the digital pathology operations; and on Abbott laboratories for certain laboratory equipment, supplies and services for our FISH tests and testing services. Additionally, our therapeutic development business relies on ANP Technologies, Inc. for certain laboratory services, equipment, tools, and drug intermediates in connection with our research and development efforts. We do not have long-term agreements with most of our suppliers and, as a result, they could cease supplying these materials and equipment generally to us at any time due to an inability to reach agreement with us on supply terms, disruptions in their operations, a determination to pursue other activities or lines of business, or they could fail to provide us with sufficient quantities of materials that meet our specifications, among other reasons. These suppliers may also be affected by natural disasters such as extreme weather events, fires or flooding (which may be exacerbated as a result of climate change), pandemics and health events, and disruptions of the global supply chain. While there are several sequencer suppliers that we believe could replace Illumina, and while we believe that we have sufficient alternative suppliers for our other needs, transitioning to a new supplier or locating a temporary substitute, if any are available, would be time-consuming and expensive, could result in interruptions in or otherwise affect the performance specifications of our laboratory operations or could require that we revalidate our tests. In addition, the use of equipment or materials provided by a replacement supplier could require us to alter our laboratory operations and procedures. Moreover, we believe there are currently only a few manufacturers that are capable of supplying and servicing certain equipment and other materials necessary for our laboratory operations, including sequencers and various associated reagents.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required for our tests our operations could be materially disrupted; our anticipated turnaround times or ability to deliver our testing services in a timely manner could be adversely impacted; our development efforts may be delayed or interrupted; and our business, financial condition, results of operations and reputation could be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The loss of any member of our senior management team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large part on the skill, experience, and performance of our executive management team and others in key leadership positions, especially Ming Hsieh, our founder, Chief Executive Officer and Chairman of our board of directors; Paul Kim, our Chief Financial Officer; Dr. Han Lin Gao, our Chief Scientific Officer and Laboratory Director; and Jian Xie, our President and Chief Operating Officer. Additionally, the success of our Fulgent Pharma business depends in large part on the skill, experience, and performance of our executive management team and others in key leadership positions, especially Ray Yin, its President and Chief Scientific Officer. The continued efforts of these persons will be critical to us as we continue to develop our technologies and focus on growing our business. If we lose one or more of these key executives, we could experience difficulties maintaining our operations, including our ability to compete effectively, advance our technologies, develop new tests, and implement our business strategies. All of our executives and employees, including Messrs. Hsieh, Kim, and Xie; Dr. Yin; and Dr. Gao, are at-will, meaning either we or the executive may terminate his employment at any time. We do not carry key person insurance for any of our executives or other employees. In addition, we do not have long-term retention agreements in place with any of our executives or key employees.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rely on highly skilled personnel in a broad array of disciplines, and if we are unable to hire, retain, or motivate these individuals, we may not be able to maintain the quality of our tests or grow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including our research and development programs, laboratory operations, and administrative functions, largely depend on our continued ability to identify, hire, train, motivate, and retain highly skilled personnel for all areas of our organization, including biostatisticians, geneticists, software engineers, laboratory directors, and specialists, sales, and marketing experts and other scientific, technical, and managerial personnel. Competition in our industry for qualified executives and other employees is intense, and we may not be able to attract or retain the qualified personnel we need to execute our business plans due to high levels of competition for these personnel among our competitors, other life science businesses, universities, and public and private research institutions. In addition, our compensation arrangements may not be successful in attracting new employees and retaining and motivating our existing employees. If we are not able to attract and retain the necessary personnel to accomplish our business objectives, we may experience constraints that could adversely affect our ability to expand our business and support our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operations, and our sales and marketing and research and development efforts, which would negatively affect our prospects for future growth and success.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reputation and business could be damaged by negative publicity.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been and may again be subject to negative publicity. Reputational risk, including as a result of negative publicity, is inherent in our business. Negative publicity can result from actual or alleged conduct in a number of areas, including legal and regulatory compliance, corporate governance, litigation, inadequate protection of health information, illegal or unauthorized acts taken by third parties that supply products or services to us, and the conduct of our employees or agents. In particular, COVID-19 and access to fertility services have been politically controversial topics, and our provision of COVID-19 testing and related services has subjected us to negative publicity and we may again be subject to negative publicity in connection with our testing services provided to fertility clinics or provided in support of assisted reproductive technology. Negative publicity can damage our reputation and business even if these statements about us are untrue. Damage to our reputation could adversely impact our ability to attract new and to maintain existing customers, employees, and business relationships. This damage and these circumstances may have a material adverse effect on our financial condition, prospects, and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may not be successful in developing and marketing new tests, which could negatively impact our performance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future success will depend in part on our ability to continue to expand our test and testing service offerings and develop and sell new tests and testing services and on our ability to expand our presence in new and existing markets, including our presence in the molecular diagnostic and cancer testing markets. We may not be successful in launching or marketing any new tests we may develop; in expanding into any new or existing markets; and, even if we are successful, the demand for our tests could decrease or may not continue to increase at historical rates due to resulting sales of any new tests. Development of new tests is time-consuming and costly, as development and marketing of new tests requires us to conduct research and development activities regarding the new tests and to further scale our laboratory processes and infrastructure to be able to analyze increasing amounts of more diverse data. Further, we may be unable to discover or develop and launch new tests for a variety of reasons, including failure of any proposed test to perform as expected, lack of validation or reference data for the test, or failure to demonstrate the utility of the test. Any new test we are able to discover and develop may not be launched in a timely manner, meet applicable regulatory standards, successfully compete with other technologies and available tests, avoid infringing the proprietary rights of others, achieve coverage and adequate reimbursement from third-party payors, be capable of performance at commercial levels and at reasonable costs, be successfully marketed, or achieve sufficient market acceptance for us to recoup our time and capital investment in the development of the test. Any failure to successfully develop, market, and sell new tests could negatively impact our ability to attract and retain customers, our revenue,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are exposed to additional business, regulatory, political, operational, financial, and economic risks related to our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customer base includes international customers from a variety of geographic markets. As part of our strategy, we aim to increase our volume of direct sales to international customers in a variety of markets by conducting targeted marketing outreach activities and, if opportunities arise, engaging distributors or establishing other types of arrangements, such as additional joint ventures or other relationships. However, we may never be successful in achieving these objectives, and even if we are successful, these strategies may not result in meaningful or any increases in our customer base, test volumes, or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Doing business internationally involves a number of risks,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the laws and regulations of multiple jurisdictions, which may be conflicting or subject to increasing stringency or other changes, including privacy and data protection regulations, tax laws, employment laws, healthcare regulatory requirements, and other related approvals, including permitting and licensing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logistics associated with the shipment of blood or other tissue specimens, including infrastructure conditions, transportation delays, and the impact of U.S. and local laws and regulations, such as export and import restrictions, tariffs, or other charges and other trade barriers, all of which involve increased risk related to the trade policies of the current administration, which may threaten existing and proposed trade agreements and impose more restrictive U.S. export-import regulations that impact our business;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limits on our ability to penetrate international markets, including legal and regulatory requirements that would force us to conduct our tests locally by building additional laboratories or engaging in joint ventures or other relationships in order to offer our tests in certain countries, which relationships could involve significant time and resources to establish, deny us control over certain aspects of the foreign operations, or reduce the economic value to us of these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by us, any joint venturers, or other arrangements we have or may establish, or by any distributors or other commercial partners we have engaged or may engage to obtain any regulatory approvals required to market, sell, and use our tests in various countries;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challenges predicting the market for our tests and services generally and tailoring our test menu to meet varying customer expectations in different countries and territories;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difficulties gaining market share in territories in which we do not have a strong physical presence or brand awareness;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complexities and difficulties obtaining protection for and enforcing our intellectual property rights;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difficulties in staffing and managing foreign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complexities associated with managing multiple payor coverage and reimbursement regimes, government payors, or patient self-pay systems;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financial risks, such as longer payment cycles, difficulty collecting trade accounts receivable and the impact of local and regional financial conditions on demand and payment for our tests;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inflationary pressures, such as those the global market is currently experiencing, which have and may increase costs for materials, supplies, and services;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exposure to foreign currency exchange rate fluctuations, conversions of currencies, and the risk of repatriation of certain foreign currencies;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natural disasters; political and economic instability, including wars , terrorism and political unrest, such as conflicts in the Ukraine and the Middle East; outbreak of disease; boycotts; and other business restrictions;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regulatory and compliance risks related to applicable anti-bribery laws, including requirements to maintain accurate information and control over activities that may fall within the purview of these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factors could significantly harm our existing relationships with international customers or derail our international expansion plans, which would cause our revenue and results of operations to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are exposed to a number of additional risks and challenges related to our joint venture in China. These risks include, among others, difficulties predicting the market for genetic testing in Asia; competitive factors in this market, including challenges securing market share; local differences in customer demands and preferences and the regulatory environment and regulatory requirements; the interpretation or enforcement of laws, regulations, and rules in China and many of the other risks of doing business internationally that are discussed above. Although we believe this joint venture could result in expanded long-term opportunities to address the genetic testing market in Asia, this belief could turn out to be wrong, and we may never realize these or any other benefits we anticipate from our joint venture. Moreover, any joint venture we may seek to establish may never produce sufficient revenue for us to recover our capital and other investments in the joint venture, and we could become subject to liabilities based on our involvement in the joint venture’s operations. The materialization of any of these risks could materially harm our performance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If we are sued for product or professional liability, we could face substantial liabilities that exceed our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on our ability to provide reliable and accurate test results, including tests that incorporate rapidly evolving information about the role of genes and gene variants in disease and clinically relevant outcomes associated with these variants. Hundreds of genes can be implicated in some disorders. Overlapping networks of genes and symptoms can be implicated in multiple conditions. As a result, and particularly with respect to pathology tests, substantial judgment is required in order to interpret the results of each test we perform and produce a report summarizing these results. Errors, such as failures to detect genomic variants with high accuracy, or mistakes, such as failures to completely and correctly identify the significance of gene variants or to detect disease, could subject us to product liability or professional liability claims. Any such claim against us could result in substantial damages and be costly and time-consuming to defend. Although we maintain liability insurance, including for errors and omissions, our insurance may not fully protect us from the financial impact of defending against these types of claims or any judgments, fines, or settlement costs arising out of any such claims. Additionally, any liability claim brought against us, with or without merit, could increase our insurance rates or prevent us from securing adequate insurance coverage in the future. Moreover, any liability lawsuit could damage our reputation or force us to suspend sales of our tests. The occurrence of any of these events could have a material adverse effect on our business, reputation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Fulgent Pharma’s business involves the testing of new drugs on patients in clinical trials and will continue to involve the additional testing of drugs on patients in the future. Our involvement in the clinical trials and development process creates a risk of liability for personal injury to or death of patients, particularly those with life-threatening illnesses, resulting from adverse reactions to the drugs administered during testing or after product launch, respectively. Although we maintain the types and amounts of insurance we view as customary and appropriate in the industries and countries in which we operate, if we are required to pay significant damages or incur significant defense costs in connection with any personal injury claim that is outside the scope of indemnification agreements we have with our clients, if any indemnification agreement is not performed in accordance with its terms or if our liability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exceeds the amount of any applicable indemnification limits or available insurance coverage, our financial condition, results of operations and reputation could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insurance coverage is increasingly expensive and difficult to obtain. Inability to obtain or maintain sufficient insurance coverage at an acceptable cost or to otherwise protect against potential product or other legal or administrative liability claims could prevent or inhibit customer relationships, the clinical development, commercial production, and sale of any of our products and product candidates, which could adversely affect our business.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Any inability to obtain additional capital when needed and on acceptable terms may limit our ability to execute our business plans, and our liquidity needs could be materially affected by market fluctuations and general economic conditions. If we raise funds by issuing equity securities, our stockholders may experience substantial dilution.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capital expenditures and operating expenses to increase over the next several years as we seek to expand our infrastructure, other commercial operations, and research and development activities. As of December 31, 2023, we had cash, cash equivalents, and marketable securities of approximately $847.7 million. We may seek to fund future cash needs through securities offerings, credit facilities, or other debt financings, asset sales, collaborations or licensing arrangements. Additional funding may not be available to us when needed, on acceptable terms or at all. For example, the COVID-19 pandemic initially caused extreme disruption and volatility in the global capital markets followed by a period of high market demand for life science and diagnostic company equities and then a period of less demand for these equities in 2022 and 2023. These circumstances and high volatility in capital markets generally may reduce our ability to access capital and/or adversely affect the stability of the depository institutions maintaining our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If we are unable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Inflation may adversely affect us by materially increasing our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Recently, inflation has increased throughout the U.S. economy. Inflation can adversely affect us by materially increasing the costs of clinical trials and research, the development of our tests and product candidates, administration, and other costs of doing business. We may experience material increases in the prices of labor and other costs of doing business. In an inflationary environment, cost increases may materially outpace our expectations, causing us to use our cash and other liquid assets faster than forecasted. If this happens, we may need to raise additional capital to fund our operations, which may not be available in sufficient amounts or on reasonable terms, if at all, sooner than expected.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If we are unable to maintain effective internal control over financial reporting, investors could lose confidence in the accuracy and completeness of our reported financial information, and the market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maintain internal control over financial reporting and report any material weaknesses in these internal controls. Section 404 of the Sarbanes-Oxley Act requires that we evaluate and determine the effectiveness of our internal control over financial reporting and annually provide a management report on these internal controls. We have incurred and expect to continue to incur significant expenses and devote substantial management effort toward compliance with the auditor attestation requirements of Section 404 of the Sarbanes-Oxley Act. Although we have implemented systems, processes and controls and performed this evaluation as of the end of 2023, we will need to maintain and enhance these controls if and as we grow. Moreover, we may need to hire additional personnel and devote more resources to our financial reporting function in order to do so, which will increase our operating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one or more material weaknesses is identified during the process of evaluating our internal controls or if we do not detect errors on a timely basis, our financial statements may be materially misstated. In addition, in that event, our management would be unable to conclude that our internal control over financial reporting is effective. In addition, now that we are no longer an emerging growth company, we are required to include an attestation report on internal control over financial reporting issued by our independent registered public accounting firm. Any failure to develop or maintain effective controls, or any difficulties encountered in their implementation or improvement, could materially harm our results of operations, cause us to fail to meet our reporting obligations, result in a restatement of our financial statements for prior periods, or adversely affect the results of management evaluations and independent registered public accounting firm audits of our internal control over financial reporting that we are required to include in our periodic reports that will be filed with the SEC. If we or our auditors were to conclude that our internal control over financial reporting was not effective because one or more material weaknesses had been identified or if internal control deficiencies result in the restatement of our financial results, investors could lose confidence in the accuracy and completeness of our financial disclosures and the price of our common stock could decline.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and other requirements of the Exchange Act. 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However,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 and stock price.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investments in marketable securities are subject to certain risks which could affect our overall financial condition, results of operations, or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invest a portion of our available cash and cash equivalents by purchasing marketable securities in a managed portfolio and direct investments in a variety of debt securities, including corporate debt securities, municipal bonds, U.S. government and agency debt securities, and debt instruments issued by foreign governments. The primary objective of our investment activity is to maintain the safety of principal, preserve capital and provide for future liquidity requirements while maximizing yields without significantly increasing risk. Should any of our investments or marketable securities lose value or have their liquidity impaired, it could materially affect our overall financial condition. Additionally, should we choose or are required to sell these securities in the future at a loss, our consolidated operating results or cash flows may be materially and adversely affected.</w:t>
      </w:r>
    </w:p>
    <w:p>
      <w:pPr>
        <w:pStyle w:val="TextBody"/>
        <w:bidi w:val="0"/>
        <w:spacing w:before="360" w:after="283"/>
        <w:jc w:val="left"/>
        <w:rPr>
          <w:rFonts w:ascii="Times New Roman" w:hAnsi="Times New Roman"/>
          <w:sz w:val="20"/>
        </w:rPr>
      </w:pPr>
      <w:r>
        <w:rPr>
          <w:rFonts w:ascii="Times New Roman" w:hAnsi="Times New Roman"/>
          <w:b/>
          <w:color w:val="000000"/>
          <w:sz w:val="20"/>
        </w:rPr>
        <w:t>We maintain cash deposits in excess of federally insured limits. Adverse developments affecting financial institutions, including bank failures, could adversely affect our liquidity and financial performance</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our cash, cash equivalents, and marketable securities with high quality, accredited financial institutions. However, some of these accounts exceed the Federal Deposit Insurance Corporation, or FDIC, insurance limit of $250,000 and, while we believe the Company is not exposed to significant credit risk due to the financial strength of these depository institutions or investments, if any such depositary institution fails to return our deposits, or if a depository institution is subject to other adverse conditions in the financial or credit markets, this could further impact access to our invested cash or cash equivalents and could adversely impact our operating liquidity and financial performance. Further, the failure or collapse of one or more of these depository institutions or default on these investments could materially adversely affect our ability to recover these assets and/or materially harm our financial condition.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have been the subject of a shareholder class action, which was dismissed without prejudice; and may be subject to further shareholder litigation in the future; our costs of defending such litigation, arbitration and other proceedings and any adverse outcome of such litigation, arbitration, or other proceeding may have a material adverse effect on our business and the results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been, and may from time to time in the future be, involved in and subject to material litigation and other legal proceedings, including shareholder litigation. These proceedings may not always resolve in our favor and may materially and adversely affect our business. While the recent shareholder class action was dismissed, it was dismissed without prejudice, so there is no assurance that another complaint may not be filed in the future. Regardless of outcome, litigation can have an adverse impact on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defense and settlement costs, diversion of management resources, negative publicity, and reputational harm, among other factors.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Political uncertainty may have an adverse impact on our operating performance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political uncertainty may have an adverse impact on our operating performance and results of operations. In particular, the United States continues to experience significant political events that cast uncertainty on global financial and economic markets, especially in light of the upcoming presidential election. It is presently unclear exactly what actions the new administration in the United States will implement, and if implemented, how these actions may impact the pharmaceutical and diagnostics industries in the United States. Any actions taken by a new U.S. administration may have a negative impact on the United States economies and on our business, financial conditions, and results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Impairment charges relating to our goodwill and intangible assets could negatively affect our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previously and may again in the future pursue acquisitions of complementary businesses or assets, and we may not realize all the economic benefit from those acquisitions, which could cause an impairment of goodwill or intangibles. We assess goodwill and indefinite-lived intangibles for impairment at least annually or whenever events or changes in circumstances indicate the carrying value may not be recoverable. Events and conditions that could result in an impairment of our goodwill and intangible assets include a decline in our stock price and market capitalization, reduced future cash flow estimates, slower growth rates in industry segments in which we participate, or other factors leading to reduction in expected long-term growth or profitability. We may be required to record a significant charge in our consolidated financial statements during the period in which any impairment of our goodwill or amortizable intangible assets is determined, which may negatively affect our financial condition and results of operations. For example, during our fiscal 2023 annual goodwill impairment analysis, we fully impaired goodwill of $71.8 million associated with the acquisition of Inform Diagnostics, $27.5 million associated with the acquisition of CSI, and $21.0 million associated with the restructuring of Fujian Fujun Gene Biotech Co., Ltd, or FF Gene Biotech, which was principally driven by a sustained decline in our market price and capitalization.</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Reimbursement Risks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ability to achieve or sustain profitability also depends on our collection of payment for the tests we deliver, which we may not be able to do successfully.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focused primarily on providing our tests to hospitals, medical institutions and other laboratories, our traditional genetic testing customer base. Our customer base for our COVID-19 tests is principally comprised of governmental bodies, municipalities, and large corporations who pay us directly or through third-party payors. In March 2020, the Coronavirus Aid, Relief, and Economic Security Act, or CARES Act, was enacted, providing for reimbursement to healthcare providers for COVID-19 tests provided to uninsured individuals through a program administered by HRSA. However, HRSA announced that the program ceased accepting COVID-19 testing claims as of March 22, 2022, due to a lack of sufficient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healthcare policy changes that influence the way healthcare is financed or other changes in the market that impact payment rates by institutional or non-institutional customers could also affect our collection rates. If we are unable to convince hospitals, medical institutions and other laboratories of the value and benefit provided by our tests and testing services, these customers may slow, or stop altogether, their purchases of our tests. Moreover, our ability to collect payment for our tests and testing services in a timely manner or at all from our healthcare provider customers may decline to the extent we expand our business into new healthcare provider customer groups, including individual physicians and other practitioners, from which collection rates are often significantly lower than hospitals, medical institutions and other laboratories and which involve substantial additional risks that are discussed in these risk factors below. Our collection risks also include the potential for default or bankruptcy by the party responsible for payment and other risks associated with payment collection generally. Any inability to maintain our past payment collection levels could cause our revenue and ability to achieve profitability to decline and adversely affect our business, prospects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third-party payors do not provide coverage and adequate reimbursement for our tests and testing services, our potential for growth and our ability to collect revenue for these tests and testing services could be limited and our results of operations may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Coverage and reimbursement by third-party payors, including managed care organizations, other private health insurers and government healthcare programs, such as Medicare and Medicaid, for the types of tests we perform can be limited and uncertain. Our customers may not order our tests or testing services unless third-party payors cover and provide adequate reimbursement for a substantial portion of the price of the tests. If we are not able to obtain coverage and an acceptable level of reimbursement for our tests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third-party payors, the patient for whom the test is ordered typically will owe a greater co-insurance, deductible or co-payment amount or may be expected to pay the entire cost of the test out-of-pocket, which could dissuade practitioners from ordering our tests and, if ordered, could result in a delay in or decreased likelihood of collecting payment, whether from patients or from third-party payors. We believe our ability to increase the amount of tests and testing services we sell to our healthcare provider customers and any corresponding revenue depends in part on our ability to achieve and maintain broad coverage and reimbursement for our tests from third-party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Coverage and reimbursement by a third-party payor depends on a number of factors, including a payor’s determination that a test or testing service is appropriate, medically necessary, and cost-effective. Each payor makes its own decision as to whether to establish a policy or enter into a contract to cover our tests and the amount it will reimburse for each test, and any determination by a payor regarding coverage and amount of reimbursement for our tests would likely be made on an indication-by-indication basis. Even if a test has been approved for reimbursement for any particular indication or in any particular jurisdiction, there is no guarantee this test will remain approved for reimbursement or that any similar or additional tests will be approved for reimbursement in the future. Moreover, there can be no assurance that any new tests we launch will be reimbursed at all or at rates comparable to the rates of any previously reimbursed tests. In addition, the coding procedure used by all third-party payors with respect to establishing payment rates for various procedures, including our tests, is complex, does not currently adapt well to the tests we perform and may not enable coverage and adequate reimbursement rates for our tests. If physicians fail to provide appropriate diagnosis codes for tests that they order, we may not be reimbursed for our tests. Additionally, if we are not able to obtain sufficient clinical information in support of our tests, third-party payors could designate our tests as experimental or investigational and decline to cover and reimburse our tests because of this designation. As a result of these factors, obtaining approvals from third-party payors to cover our tests and testing services and establishing adequate reimbursement levels is an unpredictable, challenging, time-consuming and costly process, and we may never be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contracted directly with national health insurance companies to become an in-network provider and enrolled as a supplier in the Medicare program and a provider in some state Medicaid programs, and we have also received payment for our tests from other third-party payors as an out-of-network provider. Although becoming an in-network provider or enrolling as a supplier or provider means that we have agreed with these payors to provide certain of our tests at negotiated or set fee schedule rates, it does not obligate any physicians or other practitioners to order our tests or guarantee that we will receive reimbursement for our tests from these or any other payors at adequate levels. As a result, these payor relationships, any other similar relationships we may establish in the future, or any additional payments we may receive from other payors as an out-of-network provider, may not amount to acceptable levels of reimbursement for our tests or meaningful or any increases in our customer base or the number of tests we sell. We expect to focus on increasing coverage and reimbursement for our current tests and any future tests we may develop, but we cannot predict whether, under what circumstances, or at what payment levels payors will cover and reimburse us for our tests. Further, even if we are successful, we believe it could take several years to achieve coverage and adequate contracted reimbursement with third-party payors. If we fail to establish and maintain broad coverage and reimbursement for our tests, our ability to maintain or grow our test volume, customer base, collectability rates and revenue levels could be limited and our future prospects and our business could suffer.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Failure to comply with government laws and regulations related to submission of claims for our services could result in significant monetary damages and penalties and exclusion from the Medicare and Medicaid programs and corresponding foreign reimbursement programs. We are also subject to governmental audits that could result in material refunds or settlement. Our business, prospects and financial condition may be adversely affected as the result of the current HRSA Audit.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laws and regulations governing the submission of claims for payment for our services, such as those relating to: coverage of our tests and testing services under Medicare, Medicaid, HRSA, and other state, federal and foreign healthcare programs; the amounts that we may bill for our services; and the party to which we must submit claims. Our failure to comply with applicable laws and regulations could result in our inability to receive payment for our services or in attempts by state and federal healthcare programs, such as HRSA, Medicare and Medicaid, to recover payments already made. Submission of claims in violation of these laws and regulations, identified through an audit or through the Company’s control processes, can result, as noted above, in recoupment of payments already received, substantial civil monetary penalties, and exclusion from state and federal healthcare programs, and can subject us to liability under the federal False Claims Act and similar laws. The failure to report and return an overpayment to the HRSA and Medicare or Medicaid programs within 60 days of identifying its existence can give rise to liability under the False Claims Act. Further, a government agency could attempt to hold us liable for causing the improper submission of claims by another entity for services that we performed if we were found to have knowingly participated in the arrangement at issue. Similar to other laboratories in the industry, the Company is currently being audited by HRSA with respect to its reimbursement for COVID-19 tests furnished to patients believed to be uninsured. The Company is fully cooperating and working with HRSA’s auditors to resolve any issues, including any reimbursed amounts that may need to be returned to HRSA. There is uncertainty with respect to the methodology HRSA will use and whether and how they will extrapolate audit results as well as uncertainty around the amount or settlement based on the audit results. The results of the HRSA audit may materially and adversely affect the Company’s business, prospects,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“Contingencies” in Note 8, </w:t>
      </w:r>
      <w:r>
        <w:rPr>
          <w:rFonts w:ascii="Times New Roman" w:hAnsi="Times New Roman"/>
          <w:i/>
          <w:color w:val="000000"/>
          <w:sz w:val="20"/>
        </w:rPr>
        <w:t>Debt, Commitments and Contingencies</w:t>
      </w:r>
      <w:r>
        <w:rPr>
          <w:rFonts w:ascii="Times New Roman" w:hAnsi="Times New Roman"/>
          <w:color w:val="000000"/>
          <w:sz w:val="20"/>
        </w:rPr>
        <w:t xml:space="preserve"> for additional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Billing and collections processing for our tests is complex and time-consuming, and any delay in transmitting and collecting claims could have an adverse effect on our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Billing for our tests is complex, time-consuming and expensive. Depending on the billing arrangement and applicable law, we may bill various different parties for our tests. This includes billing customers directly, as in the case of our hospital and other medical institution customers, as well as billing through Medicare, Medicaid, insurance companies and patients, all of which may have different billing requirements. We may face increased risk in our collection efforts due to the complexities of these billing requirements, including long collection cycles and lower collection rates, which could adversely affect our business,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Several factors make this billing process complex,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contractual restrictions in our customer contracts that may limit our ability to utilize certain third-party billing service providers;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differences between the list price for our tests and the reimbursement rates of payors;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compliance with complex federal and state regulations related to billing government healthcare programs, including Medicare and Medicaid;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disputes among payors as to which party is responsible for payment;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differences in coverage among payors and the effect of patient co-payments or co-insurance;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differences in information and billing requirements among payors;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incorrect or missing billing information;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resources required to manage the billing and claims appeals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developed internal systems and procedures to handle these billing and collections functions, but we will need to make significant efforts and expend substantial resources to further develop our systems and procedures to handle these aspects of our business, which could become increasingly important as we focus on increasing test volumes from non-hospital and medical institution customer groups and establishing coverage and reimbursement policies with third-party payors. As a result, these billing complexities, along with the related uncertainty in obtaining payment for our tests, could negatively affect our revenue and cash flows, our ability to achieve or sustain profitability and the consistency and comparability of our results of operations. In addition, if claims for our tests are not submitted to payors on a timely basis, or if we are required to switch to a different provider to handle our processing and collections functions, our revenue and our business could be adversely affected.</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Regulatory Risks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Any changes in laws, regulations, or the enforcement discretion of the FDA with respect to the marketing of diagnostic products, or violations of laws or regulations by us, could materially and adversely affect our business, prospects, results of operations, or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laws and regulations governing the marketing of diagnostic products are evolving, extremely complex and in many instances, have no significant regulatory or judicial interpretations of these laws and regulations. Pursuant to its authority under the federal FDC Act, the FDA has jurisdiction over medical devices, including IVDs, and, therefore, potentially our clinical laboratory tests.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the FDA has statutory authority to assure that medical devices and IVDs, including potentially our tests, are safe and effective for their intended uses, the FDA had historically exercised enforcement discretion and not enforced applicable provisions of the FDC Act and regulations with respect to LDTs, which are a particular type of medical device. We believe our tests are not currently subject to the FDA’s medical device regulations and the applicable FDC Act provisions due to their status as LDTs. However, in October 2023, the FDA issued a proposed rule aimed at regulating LDTs under the current medical device framework and proposing to phase out its existing enforcement discretion policy for this category of diagnostic tests. The agency’s proposal envisions that the LDT enforcement policy phase-out process would occur in gradual stages over a total period of four years, with pre-market approval applications for high-risk tests to be submitted by the 3.5-year mark, although more details are expected to be provided with the upcoming final rule. The likelihood of the FDA finalizing the proposed rule in April 2024 (as is currently projected), as well as potential litigation challenging the agency’s authority to take such action, is uncertain at this time. Affected stakeholders continue to press for a comprehensive legislative solution to create a harmonized paradigm for oversight of LDTs by both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and CMS, instead of implementation of the proposed FDA administrative action, which may be disruptive to the industry and to patient access to certain diagnostic tests.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though we presently commercialize our tests as LDTs, our tests may in the future become subject to more onerous regulation by the FDA. For example, the FDA may disagree with our assessment that our tests fall within the definition of an LDT and seek to regulate our tests as medical devices or the proposed rule to regulate LDTs as medical devices may be implemented.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Separately, members of Congress have been working with stakeholders for several years on a possible bill to reform the regulation of in vitro clinical tests including LDTs. For example, as drafted and re-introduced for consideration by the current Congress, the Verifying Accurate, Leading-edge IVCT Development Act, or the VALID Act, has been garnering bipartisan and bicameral support. The VALID Act would codify into law the term “in vitro clinical test” to create a new medical product category separate from medical devices that includes products currently regulated as IVDs, as well as LDTs. The VALID Act would also create a new system for labs and hospitals to use to submit their tests electronically to the FDA for approval, which is aimed at reducing the amount of time it takes for the agency to approve such tests, and establish a new program to expedite the development of diagnostic tests that can be used to address a current unmet need for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unclear whether the VALID Act would be passed by Congress in its current form or signed into law by President Biden. Until the FDA finalizes LDT regulations through the ongoing notice-and-comment rulemaking process or the VALID Act or other legislation is passed reforming the federal government’s regulation of LDTs, it is unknown how the FDA may regulate our tests in the future and what testing and data may be required to support any required clearance or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Congress enacts comprehensive legislation to regulate in vitro diagnostics or if the FDA finalizes its proposal to enforce medical device requirements for LDTs, or if the FDA disagrees with our assessment that our tests meet the criteria to be marketed LDTs, we could, for the first time, be subject to enforcement of a variety of regulatory requirements, including registration and listing, medical device reporting and quality control, and we could be required to obtain premarket clearance or approval for our existing tests and any new tests we may develop, which may force us to cease marketing our tests until we obtain the required clearance or approval. The premarket review process can be lengthy, expensive, time-consuming and unpredictable. Further, obtaining premarket clearance may involve, among other things, successfully completing clinical trials. Clinical trials require significant time and cash resources and are subject to a high degree of risk, including risks of experiencing delays, failing to complete the trial or obtaining unexpected or negative results. If we are required to obtain premarket clearance or approval and/or conduct premarket clinical trials, our development costs could significantly increase, our introduction of any new tests we may develop may be delayed and sales of our existing tests could be interrupted or stopped. Any of these outcomes could reduce our revenue or increase our costs and materially adversely affect our business, prospects, results of operations or financial condition. Moreover, any cleared or approved labeling claims may not be consistent with our current claims or adequate to support continued adoption of and reimbursement for our tests. For instance, if we are required by the FDA to label our tests as investigational, or if labeling claims the FDA allows us to make are limited, order levels may decline and reimbursement may be adversely affected. As a result, we could experience significantly increased development costs and a delay in generating additional revenue from our existing tests or from tests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while we qualify all materials used in our products in accordance with the regulations and guidelines of CLIA, the FDA could promulgate regulations or guidance documents impacting our ability to purchase materials necessary for the performance of our tests. If any of the reagents we obtain from suppliers and use in our tests are affected by future regulatory actions, our business could be adversely affected, including by increasing the cost of testing or delaying, limiting or prohibiting the purchase of reagents necessary to perform testing with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to comply with any applicable FDA requirements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If we fail to comply with applicable federal, state, local and foreign laboratory licensing requirements, we could lose the ability to perform our tests and experience material disruptions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CLIA, a federal law that establishes quality standards for all laboratory testing and is intended to ensure the accuracy, reliability, and timeliness of patient results. CLIA requires that we hold a certificate specific to the categories of laboratory testing that we perform and that we comply with various standards with respect to personnel qualifications, facility administration, proficiency testing, quality control, quality assurance, and inspections. CLIA certification is required in order for us to be eligible to bill federal and state healthcare programs, as well as many private third-party payors, for our tests. We have obtained CLIA certification to conduct our tests at our laboratories in El Monte, California; Irving, Texas; Needham, Massachusetts; Phoenix, Arizona; Alpharetta, Georgia; and New York, New York.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elect to have our laboratories accredited by CAP. CMS has deemed CAP standards to be equally or more stringent than CLIA regulations and has approved CAP as a recognized accrediting organization. Inspection by CAP is performed in lieu of inspection by CMS for CAP-accredited laboratories. Because we are accredited by CAP, we are deemed to also comply with CLIA. In addition, some countries outside the United States require CAP accreditation as a condition to permitting clinical laboratories to test samples taken from their citizens. Failure to maintain CAP accreditation could have a material adverse effect on the sales of our tests and the results of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required to maintain a license to conduct testing in the State of California. California laws establish standards for day-to-day operation of our clinical reference laboratory in El Monte, including with respect to the training and skills required of personnel, quality control and proficiency testing requirements. In addition, because we receive test specimens originating from New York, we have obtained a state laboratory permit for our California laboratory from the New York State Department of Health, or DOH. The New York state laboratory laws and regulations are equal to or more stringent than CLIA. In addition, the laboratory director must maintain a Certificate of Qualification issued by New York’s DOH in permitted categories.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on-site routine and complaint-driven inspections under both California and New York state laboratory laws and regulations. If we are found to be out of compliance with either California or New York requirements, the CA Department of Public Health or New York’s DOH may suspend, restrict or revoke our license or laboratory permit, respectively (and, with respect to California, may exclude persons or entities from owning, operating or directing a laboratory for two years following such license revocation), assess civil monetary penalties, or impose specific corrective action plans, among other sanctions. Any such actions could materially and adversely affect our business by prohibiting or limiting our ability to offer testing.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certain other states require us to maintain out-of-state laboratory licenses or obtain approval on a test-specific basis to perform testing on specimens from these states. Additional states could adopt similar licensure requirements in the future, which could require us to modify, delay or discontinue our operations in such jurisdictions. We are also subject to regulation in foreign jurisdictions, which we expect will increase as we seek to expand international utilization of our tests or if jurisdictions in which we pursue operations adopt new or modified licensure requirements. Foreign licensure requirements could require review and modification of our tests in order to offer them in certain jurisdictions or could impose other limitations, such as restrictions on the transport of human blood or other tissue necessary for us to perform our tests that may limit our ability to make our tests available outside the United States. Additionally, complying with licensure requirements in new jurisdictions may be expensive, time-consuming and subject us to significant and unanticipated delays.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to comply with applicable clinical laboratory licensure requirements could result in a range of enforcement actions, including license suspension, limitation or revocation, directed plan of correction, onsite monitoring, civil monetary penalties, civil injunctive suits, criminal sanctions and exclusion from the Medicare and Medicaid programs, as well as significant adverse publicity. Any sanction imposed under CLIA, its implementing regulations or state or foreign laws or regulations governing clinical laboratory licensure, or our failure to renew our CLIA certificate or any other required local, state or foreign license or accreditation, could have a material adverse effect on our business, financial condition and results of operations. In such case, even if we were able to bring our laboratory back into compliance, we could incur significant expenses and lose revenue while doing so.</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are subject to broad legal requirements regarding the information we test and analyze, and any failure to comply with these requirements could result in materially significant, penalties, materially damage our reputation and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federal and state laws that protect the privacy and security of personal information, including the HIPAA, HITECH, and similar state laws, as well as numerous other federal, state and foreign laws, including consumer protection laws and regulations, that govern the collection, dissemination, use, access to, confidentiality and security of patient health information. In addition, new laws and regulations that further protect the privacy and security of medical records or medical information are regularly considered by federal and state governments. Further, with the recent increase in publicity regarding data breaches resulting in improper dissemination of consumer information, federal and state governments have passed or are considering laws regulating the actions that a business must take if it experiences a data breach, such as prompt disclosure to affected customers. The FTC and states’ Attorneys General have also brought enforcement actions and prosecuted some data breach cases as unfair and/or deceptive acts or practices under the FTC Act and comparable state laws.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We intend to continue to comprehensively protect all personal information and to comply with all applicable laws regarding the protection of such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failure to implement appropriate security measures to protect the confidentiality and integrity of personal information or any breach or other failure of these systems resulting in the unauthorized access, manipulation, disclosure, or loss of this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could result in our noncompliance with these laws. Penalties for failure to comply with a requirement of HIPAA and HITECH vary significantly depending on the failure and could include civil monetary or criminal penalties.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European Union formally adopted the GDPR, which applies to all European Union member states. The GDPR introduced stringent new data protection and operational requirements in the European Union for companies that receive or process personal data of European residents, as well as substantial fines for breaches of the data protection rules. It has increased our responsibility and liability in relation to personal data that we process, and we are required to maintain additional mechanisms ensuring compliance with the GDPR. The GDPR is a complex law, and the regulatory guidance is still evolving, including with respect to how the GDPR should be applied in the context of clinical studies and the collection, processing, and storage of sensitive personal data, including genetic information and testing. Furthermore, many of the countries within the European Union are still in the process of drafting supplementary data protection legislation in key fields where the GDPR allows for national variation, including the fields of clinical study and other health-related information. Additionally, in 2021, the United Kingdom’s UK GDPR rules became effective. These variations in the law may raise our costs of compliance and result in greater legal risks. On July 16, 2020, the highest Court of Justice of the European Union, or the CJEU, issued a landmark opinion in the case </w:t>
      </w:r>
      <w:r>
        <w:rPr>
          <w:rFonts w:ascii="Times New Roman" w:hAnsi="Times New Roman"/>
          <w:i/>
          <w:color w:val="000000"/>
          <w:sz w:val="20"/>
        </w:rPr>
        <w:t>Maximilian Schrems vs. Facebook</w:t>
      </w:r>
      <w:r>
        <w:rPr>
          <w:rFonts w:ascii="Times New Roman" w:hAnsi="Times New Roman"/>
          <w:color w:val="000000"/>
          <w:sz w:val="20"/>
        </w:rPr>
        <w:t xml:space="preserve"> (Case C-311/18), or Schrems II. This decision calls into question certain data transfer mechanisms as between the European Union member states and the U.S. The CJEU is the highest court in Europe, and the </w:t>
      </w:r>
      <w:r>
        <w:rPr>
          <w:rFonts w:ascii="Times New Roman" w:hAnsi="Times New Roman"/>
          <w:i/>
          <w:color w:val="000000"/>
          <w:sz w:val="20"/>
        </w:rPr>
        <w:t>Schrems II</w:t>
      </w:r>
      <w:r>
        <w:rPr>
          <w:rFonts w:ascii="Times New Roman" w:hAnsi="Times New Roman"/>
          <w:color w:val="000000"/>
          <w:sz w:val="20"/>
        </w:rPr>
        <w:t xml:space="preserve"> decision heightens the burden on data importers to assess U.S. national security laws on their business and future actions of European Union data protection authorities are difficult to predict at this early date. Consequently, there is some risk of any such data transfers from the European Union being halted by one or more European Union member states. Any contractual arrangements requiring the transfer of personal data from the European Union to us in the United States will require greater scrutiny and assessments as required under </w:t>
      </w:r>
      <w:r>
        <w:rPr>
          <w:rFonts w:ascii="Times New Roman" w:hAnsi="Times New Roman"/>
          <w:i/>
          <w:color w:val="000000"/>
          <w:sz w:val="20"/>
        </w:rPr>
        <w:t>Schrems II</w:t>
      </w:r>
      <w:r>
        <w:rPr>
          <w:rFonts w:ascii="Times New Roman" w:hAnsi="Times New Roman"/>
          <w:color w:val="000000"/>
          <w:sz w:val="20"/>
        </w:rPr>
        <w:t xml:space="preserve"> and may have an adverse impact on cross-border transfers of personal data or increase costs of 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many states, such as California (where one of our clinical laboratories is located), have implemented similar privacy laws and regulations, such as the CMIA, that impose restrictive requirements regulating the use and disclosure of patient health information and other personal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In addition to the CMIA, California also enacted the CCPA, which became effective on January 1, 2020. The CCPA has been characterized as the first “GDPR-like” privacy statute to be enacted in the United States because it mirrors a number of the key provisions of the GDPR. The CCPA establishes a new privacy framework for covered businesses in the State of California by creating an expanded definition of personal information, establishing new data privacy rights for California residents, imposing special rules on the collection of personal data from minors, and creating a new and potentially severe statutory damages framework for violations of the CCPA and for businesses that fail to implement reasonable security procedures and practices to prevent data breaches. Additionally, the CPRA took full effect on January 1, 2023. The CPRA amends and expands the CCPA significantly, potentially resulting in further uncertainty, additional costs and expenses in an effort to comply, and additional harm and liability for failure to comply. Among other things, the CPRA established the CPPA, a new regulatory authority charged with administering and enforcing the CRPA and privacy rights in California. The CPPA has the power to levy fines and bring other enforcement actions. The CPRA could impact our operations or that of our collaborators and business partners and impose new regulatory requirements and increase costs of compliance. Texas, Virginia, Connecticut, Utah, and Colorado enacted their own consumer privacy laws similar to CCPA and CPRA, all of which became effective at various points in 2023. Other states are considering similar legislation, adding to the complexity, costs, and risk of compliance. Like the GDPR and CCPA, many of these state laws categorize medical or health data, genetic data, and biometric data that can be used to identify a natural person as “sensitive data” and the processing or collection of such will require additional compliance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interplay of federal and state laws may be subject to varying interpretations by courts and government agencies, creating complex compliance issues for us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Additionally, the interpretation, application and interplay of consumer and health-related data protection laws in the United States, Europe and elsewhere are often uncertain, contradictory and in flux. As a result, it is possible that laws may be interpreted and applied in a manner that is inconsistent with our current practices. Moreover, these laws and their interpretations are constantly evolving and may become more stringent or inclusive over time. For example, increasing concerns about health information privacy have recently prompted the federal government to issue guidance taking a newly expansive view of the scope of the laws and regulations that they enforce. Complying with these laws or any new laws or interpretations of their application could involve significant time and substantial costs or require us to change our business practices and compliance procedures in a manner potentially adverse to our business. We may not be able to obtain or maintain compliance with the diverse privacy and security requirements in all of the jurisdictions in which we currently or plan to do business, and failure to comply with any of these requirements could result in material civil or criminal penalties, materially harm our reputation and materially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states, including California, New York, and Massachusetts, have also implemented genetic testing, informed consent, or other privacy laws imposing specific patient consent requirements and requirements for protecting certain test results. As regulatory focus on genetic privacy issues continues to increase and laws and regulations concerning the protection of personal information expand and become more complex, these potential risks to our business could intensify.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Ethical, legal, and social concerns related to the use of genetic information could reduce demand for our tests.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Genetic testing has raised ethical, legal, and social issues regarding privacy and the appropriate uses of the resulting information. Government authorities could, for social or other purposes, limit or regulate the use of genetic information or genetic testing or prohibit testing for genetic predisposition to certain conditions, particularly for those that have no known cure. Similarly, these concerns may cause patients to refuse to use, or physicians to be reluctant to order, genetic tests such as ours, even if permissible. These and other ethical, legal, and social concerns may limit market acceptance and adoption of our tests or reduce the potential markets for our tests, any of which could have an adverse effect on our business, financial condition and results of operations. In addition, California has enacted the Genetic Information Privacy Act that imposes privacy requirements on direct-to-consumer genetic testing companies that could change the discussion among patients and physicians related to genetic testing as a whole and potentially reduce consumer interest in such testing more broadly.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conduct business in a heavily regulated industry. Complying with the numerous statutes and regulations pertaining to our business is expensive and time-consuming, and any failure by us, our consultants, or commercial partners to comply could result in substantial and material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CLIA’s and CAP’s regulation of our laboratory activities;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FDA laws and regulations, including but not limited to requirements for offering LDTs;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federal and state laws and standards affecting reimbursement by government healthcare programs, including certain coding requirements to obtain reimbursement and certain changes to the payment mechanism for clinical laboratory services resulting from PAMA;</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healthcare program;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federal Stark Law, which generally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federal False Claims Act, which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EKRA, which imposes criminal penalties for knowing or willful payment or offer, or solicitation or receipt, of any remuneration, whether directly or indirectly, overtly or covertly, in cash or in kind, in exchange for the referral or inducement of laboratory testing (among other health care services) covered by healthcare benefit programs (including commercial insurers) unless a specific exception applies;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ACA, which, among other things, establishes a requirement for providers and suppliers to report and return any overpayments received from the Medicare and Medicaid programs;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federal Physician Payments Sunshine Act and various state laws on reporting relationships with health care providers and customers, which could be determined to apply to our LDTs;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prohibition on reassignment of Medicare claims and other Medicare and Medicaid billing and coverage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FCPA and applicable foreign anti-bribery laws;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federal, state and local regulations relating to the handling and disposal of regulated medical waste, hazardous waste and biohazardous waste and workplace safety for healthcare employees;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laws and regulations relating to health and safety, labor and employment, public reporting, taxation and other areas applicable to businesses generally, all of which are subject to change, including, for example, the significant changes to the taxation of business entities were enacted in December 2017;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similar foreign laws and regulations that apply to us in the countries in which we operate or may operate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genetic testing industry is currently under a high degree of government scrutiny. The OIG and a variety of states’ Attorneys General have issued fraud alerts regarding a variety of cancer genetic testing fraud schemes, and the Department of Justice has announced indictments and guilty pleas in such fraud schemes involving a variety of individuals and entities, including genetic testing and other laboratories, physicians who ordered genetic testing for a large volume of patients without treating them, and third parties who arranged for the genetic testing by approaching patients through telemarketing calls, booths at public events, health fairs, and door-to-door visits. These individuals then shared the proceeds received from Medicare, TRICARE, and other third-party payors, and these activities allegedly violated the federal Anti-Kickback Statute and other criminal laws. This increased regulatory scrutiny could decrease demand for our testing services or increase our costs of regulatory compliance, either of which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future growth of our business, including, in particular, growth of our international business and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 Our Picture Genetics line of at-home genetic test offerings are patient-initiated screening tests, which may receive greater scrutiny from regulatory authorities than our traditional testing services that are offered directly to health care providers.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adopted policies and procedures designed to comply with these laws and regulations and, in the ordinary course of our business, we conduct internal reviews of our compliance with these laws. Our compliance is also subject to review by applicable government agencies.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Any action brought against us for violation of these or other laws or regulations, even if we successfully defend against it, could cause us to incur significant legal expenses, divert our management’s attention from the operation of our business and materially harm our reputation. In relation to a recent advisory opinion issued by the OIG, the Company’s subsidiary, Inform Diagnostics, initiated a voluntary disclosure process with the appropriate government contact. The Company currently has estimated and recorded $6.9 million as a liability in its financial statements in connection with this voluntary disclosure. This estimate may be incorrect, and the actual amount of liability may be lower or may materially exceed this estimate. If our operations, including the conduct of our employees, consultants and commercial partners, are found to be in violation of any of these laws and regulations, (including in connection with the voluntary disclosure process described above), we may be subject to applicable penalties associated with the violation, including administrative, civil and criminal penalties, damages, fines, individual imprisonment, exclusion from participation in federal healthcare programs, refunding of payments received by us and curtailment or cessation of our operations, which could materially harm our reputation, business, prospects or results of operations.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may be required to modify our business practices, pay fines, incur significant expenses, or experience losses due to litigation or governmental investigations.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and in the ordinary course of our business, we have been and again may be subject to litigation or governmental investigation on a variety of matters in the United States or foreign jurisdictions, including, without limitation, regulatory, intellectual property, product liability, antitrust, consumer, false claims, whistleblower, Qui Tam, privacy, anti-kickback, anti-bribery, environmental, commercial, securities and employment litigation and claims and other legal proceedings that may arise from the conduct of our business. As noted above, we are currently subject to the HRSA audit and have initiated the voluntary disclosure process. Our activities relating to our products and services are subject to extensive regulation in the United States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jurisdictions. Like many companies in our industry, we have in the ordinary course of business received inquiries, subpoenas, civil investigative demands, or CIDs, and other types of information requests from government authorities. As previously disclosed, we have received a CID issued by the U.S. Department of Justice pursuant to the False Claims Act related to its investigation of allegations of medically unnecessary laboratory testing, improper billing for laboratory testing, and remuneration received or provided in violation of the Anti-Kickback Statute and the Stark Law. This CID requests information and records relating to certain of our customers named in the CID. As we also disclosed in prior filings, we are also aware that the SEC is conducting a non-public formal investigation, which appears to relate to the subject matters raised in the CID requests and our related disclosures and revenues reported in our Exchange Act reports filed for 2018 through 2020. We are fully cooperating with both the SEC and the U.S. Department of Justice and are responding promptly to their requests. We cannot predict when the investigations will be resolved, the outcome of the investigations, or the potential impact on our business, which may ultimately be greater than we expect. In addition, government investigations and litigation generally may divert the attention of our management team and resources from our core business. As such, the time and attention of our management team in responding to these matters may limit their time available to devote to our business, and we may also incur significant expenses or experience losses in relation to these matters. As a result of these matters, we may also be required to alter the conduct of our operations or be subject to other penalties. Any of these circumstances may adversely affect our business, prospects, reputation and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Healthcare policy changes, including recently enacted and proposed new legislation reforming the U.S. healthcare system, could cause significant harm to our business,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ACA made a number of substantial changes to the way healthcare is financed both by governmental and private payors. The ACA also introduced mechanisms to reduce the per capita rate of growth in Medicare spending if expenditures exceed certain targets. Any such reductions could affect reimbursement payments for our tests.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2014, Congress passed PAMA, which included substantial changes to the way in which clinical laboratory services are be paid under Medicare CLFS. Under PAMA, certain clinical laboratories are required to periodically report to CMS private payor payment rates and volumes for their tests, and laboratories that fail to report the required payment information may be subject to substantial civil monetary penalties. Medicare reimbursement for CDLTs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Additionally, state legislatures have increasingly passed legislation and implemented regulations designed to control the cost of health care services, including clinical laboratory and pathology services. </w:t>
      </w:r>
      <w:r>
        <w:rPr>
          <w:rFonts w:ascii="Times New Roman" w:hAnsi="Times New Roman"/>
          <w:color w:val="1A1A1A"/>
          <w:sz w:val="20"/>
        </w:rPr>
        <w:t>States may pursue a variety of strategies to control spending growth, including but not limited to promoting competition, reducing prices through regulation, imposing spending targets and promoting payment reform. These cost containment strategies may result in less favorable reimbursement rates and in some cases could negatively impact our ability to change or expand our operations in certain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laws and regulations, or in their application, may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laboratory testing industry is highly regulated, and failure to comply with applicable regulatory, supervisory, accreditation, registration or licensing requirements may adversely affect our business, financial condition and results of operations. In particular, the laws and regulations governing the marketing and research of clinical diagnostic testing are extremely complex and in many instances there are no clear regulatory or judicial interpretations of these laws and regulations, increasing the risk that we may be found to be in violation of these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genetic testing industry as a whole is a growing industry and regulatory agencies such as HHS or the FDA may apply heightened scrutiny to new developments in the field, or the U.S. Congress may do so. Since 2017, Congress has been working on legislation to create an LDT and IVD regulatory framework that would be separate and distinct from the existing medical device regulatory framework, and recent momentum appears to be building around a comprehensive bill called the VALID Act. The VALID Act would codify into law the term “in vitro clinical test” to create a new medical product category separate from medical devices,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bring all such products within the scope of the FDA’s oversight. It is unclear whether the VALID Act would be passed by Congress in its current form or signed into law by President Biden. Although the VALID Act was re-introduced in the current Congress but not otherwise considered, the FDA’s October 2023 publication of an LDT proposed rule that would apply the existing medical device framework to laboratory-developed products has renewed stakeholder calls for a more targeted approach to modernizing federal oversight of clinical diagnostic tests. It remains possible that congressional action in this area could displace the need for the FDA to complete its recently proposed rulemaking.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there has been a recent trend of increased U.S. federal and state regulation, scrutiny and enforcement relating to payments made to referral sources, which are governed by laws and regulations including the Stark law, the federal Anti-Kickback Statute, the federal False Claims Act, as well as state equivalents of such laws. For example, EKRA was passed in October 2018 as part of the Substance Use-Disorder Prevention that Promotes Opioid Recovery and Treatment for Patients and Communities Act. EKRA imposes criminal penalties for knowing or willful payment or offer, or solicitation or receipt, of any remuneration, whether directly or indirectly, overtly or covertly, in cash or in kind, in exchange for the referral or inducement of laboratory testing (among other health care services) payable by a “healthcare benefit program” (which includes private insurance companies), unless a specific exception applies. We cannot assure you that our relationships with physicians, sales representatives, hospitals, customers, or any other party will not be subject to scrutiny or will survive regulatory challenge under such laws. If imposed for any reason, sanctions under the EKRA could have a negative effect on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If the hazardous materials we use in our operations cause contamination or injury, we could be liable for resulting damages.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require the use of regulated medical waste, hazardous waste and biohazardous waste, including chemicals, biological agents and compounds and blood and other tissue specimens. We are subject on an ongoing basis to federal, state and local laws and regulations governing the use, storage, handling and disposal of these hazardous materials and other specified waste products. Although we typically use licensed or otherwise qualified outside vendors to dispose of this waste, applicable laws and regulations could hold us liable for damages and fines if our or others’ business operations or other actions result in contamination to the environment or personal injury due to exposure to hazardous materials. We cannot eliminate the risk of contamination or injury, and any liability imposed on us for any resulting damages or injury could exceed our resources or any applicable insurance coverage. The cost to secure such insurance coverage and to comply with these laws and regulations could become more significant in the future and any failure to comply could result in substantial costs and other business and reputational consequences, any of which could negatively affect our operating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If we were deemed to be an investment company under the Investment Company Act of 1940, as amended, applicable restrictions could make it impractical for us to continue our business as currently conducted and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Investment Company Act of 1940, or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 and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it is currently being conducted and could have a material adverse effect on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Our joint venture in China is subject to risks and uncertainties relating to the laws and regulations of China and the changes in relations between the United States and China. If the Chinese government determines that our joint venture does not comply with applicable regulations, our business could be adversely affected. If the regulatory agencies of the People’s Republic of China, or the PRC, determine that the agreements that establish the structure and relationship for our operations in China do not comply with PRC regulatory restrictions on foreign investment, we could be subject to severe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its current leadership, the government of China has been pursuing economic reform policies, including by encouraging foreign trade and investment. However, there is no assurance that the Chinese government will continue to pursue such policies, that such policies will be successfully implemented, that such policies will not be significantly altered, or that such policies will be beneficial to our partnerships or activities in China. China’s system of laws can be unpredictable, especially with respect to foreign investment and foreign trade. The U.S. government has called for substantial changes to foreign trade policy with China and has raised, and has proposed to further raise in the future, tariffs on several Chinese goods. China has retaliated with increased tariffs on U.S. goods. Moreover, China’s legislature has adopted a national security law to substantially change the way Hong Kong has been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governed since the territory was handed over by the United Kingdom to China in 1997. This law increases the power of the central government in Beijing over Hong Kong, limits the civil liberties of residents of Hong Kong and could restrict the ability of businesses in Hong Kong to continue to conduct business or to continue to with business as previously conducted. The U.S. State Department has indicated that the United States no longer considers Hong Kong to have significant autonomy from China. The U.S. State Department has recently enacted sanctions related to China’s governing of Hong Kong. Any further changes in U.S. trade policy could trigger retaliatory actions by affected countries, including China, resulting in trade wars. Any regulatory changes and changes in United States and China relations may have a material adverse effect on our partnerships or activities in China, which could materially harm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there are uncertainties regarding the interpretation and application of PRC laws, rules, and regulations, including, but not limited to, the laws, rules and regulations governing the validity and enforcement of our joint venture in China.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We cannot assure you that the PRC regulatory authorities will not determine that our joint venture in China does not violate PRC laws, rules or regulations. If the PRC regulatory authorities determine that our current joint venture or any joint ventures, we may enter into in the future are in violation of applicable PRC laws, rules or regulations, our joint venture in China may become invalid or unenforceable, which will substantially affect our operations adversely. The PRC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PRC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U.S. government will refrain from imposing additional restrictions or constraints on dealings or investments in China, including our joint venture.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could be adversely affected by violations of the FCPA and other anti-bribery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international operations are subject to various anti-bribery laws, including the FCPA and similar anti-bribery laws in the non-U.S. jurisdictions in which we operate. The FCPA prohibits companies and their intermediaries from offering, making, or authorizing improper payments to non-U.S. or foreign officials for the purpose of obtaining or retaining business or securing any other improper advantage. These laws are complex and far-reaching in nature, and we may be required in the future to alter one or more of our practices to be in compliance with these laws or any changes to these laws or their interpretation.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engage in significant business outside the United States, and we plan to increase our international operations in the future. These operations could involve dealings with governments, foreign officials, and state-owned entities, such as government hospitals, outside the United States. In addition, we may engage distributors, other commercial partners or third-party intermediaries, such as representatives or contractors, or establish joint ventures or other arrangements to manage or assist with promotion and sale of our tests abroad and obtaining necessary permits, licenses and other regulatory approvals. Any such third parties could be deemed to be our agents and we could be held responsible for any corrupt or other illegal activities of our employees or these third parties, even if we do not explicitly authorize or have actual knowledge of such activities. We have instituted policies, procedures, and internal controls reasonably designed to promote compliance with the FCPA and other anti-corruption laws and we exercise a high degree of vigilance in maintaining, implementing and enforcing these policies and controls. However, these policies and controls could be circumvented or ignored, and we cannot guarantee compliance with these laws and regulations. Any violations of these laws or allegations of such violations could disrupt our operations, involve significant management distraction, involve significant costs and expenses, including legal fees, and harm our reputation. Additionally, other U.S. companies in the medical device and pharmaceutical fields have faced substantial fines and criminal penalties in the recent past for violating the FCPA and we could also incur these types of penalties, including criminal and civil penalties, disgorgement, and other remedial measures, if we violate the FCPA or other applicable anti-bribery laws. Any of these outcomes could result in a material adverse effect on our business, prospects, financial condition, or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services present the potential for embezzlement, identity theft, or other similar illegal behavior by our employees, consultants, service providers or commercial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involve the use and disclosure of personal and business information that could be used to impersonate third parties or otherwise gain access to their data or funds. If any of our employees, consultants, service providers, or commercial partners takes, converts or misuses these funds or data, we could be liable for any resulting damages, which could harm our financial condition and damage our business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could be adversely affected by alleged violations of the FTC Act or other truth-in-advertising and consumer protection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advertising for laboratory services is subject to federal truth-in-advertising laws enforced by the FTC, as well as comparable state consumer protection laws. Under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 In conjunction with the launch of our Picture Genetics line of at-home genetic test offerings that are initiated by consumers, we plan to increase our advertising activities that would be subject to these federal and state truth-in-advertising laws. Any actual or perceived non-compliance with those laws could lead to an investigation by the FTC or a comparable state agency or could lead to allegations of misleading advertising by private plaintiffs. Any such action against us would disrupt our business operations, cause damage to our reputation, and result in a material adverse effect on our business.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Risks Related to the Development of Drug Candidates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drug candidates are in early stages of development and may fail or suffer delays that materially and adversely affect their future commercial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early in our development efforts, with only one drug candidate having entered clinical trials (FID-007). Generally, before obtaining marketing approval for the commercial distribution of drug candidates, we must conduct preclinical tests and clinical trials to demonstrate sufficient safety and efficacy of our drug candidates in patients. Failure can occur at any time during the development or clinical trial process and our future clinical trial results may not be successful. As a result, we may not have, or we may deem it imprudent to use, additional financial resources to continue development of a drug candidate if there are issues that could delay or prevent marketing approval of, or ability to commercialize, our drug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inconclusive results from clinical trials, or the clinical trials of others for similar drug candidates, leading to a decision or requirement to conduct additional preclinical testing or clinical trials or abandon a program;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therapeutic-related side effects experienced by participants in its clinical trials or by individuals using drugs or other drugs similar to its drug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delays in submitting INDs or comparable foreign clinical trial applications or delays or failure in obtaining the necessary approvals from regulators to commence a clinical trial, or a suspension or termination of a clinical trial once commenced;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conditions imposed by the FDA or comparable foreign authorities regarding the scope or design of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delays in enrolling research subjects or high drop-out rates of research subjects enrolled in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delays or difficulties in its clinical trials due to quarantines or other restrictions resulting from the COVID-19 pandemic or other public health emergencies;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unfavorable FDA or other regulatory agency inspection and review of a clinical trial site or the manufacturing location(s) for a drug candidate;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inadequate supply or quality of drug candidate clinical material or other raw materials or supplies necessary for the conduct of our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of third-party contractors or investigators to comply with regulatory requirements or otherwise meet their contractual obligations in a timely manner, or at all;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delays and changes in regulatory requirements, policy and guidelines, including with respect to our technology in particular;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varying interpretations of data by the FDA and similar foreign regulatory agencies.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drug candidates we pursue may not demonstrate the necessary safety or efficacy requirements for marketing approval.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Clinical trials are costly, time consuming and inherently risky, and we may fail to demonstrate safety and efficacy to the satisfaction of applicable regulatory authorities, and may never obtain regulatory approval for, or successfully commercialize certain or any of our drug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development is expensive, time consuming and involves significant risk. We cannot guarantee that any clinical trials will be conducted as planned or completed on schedule, if at all. A failure of one or more clinical trials can occur at any stage of development. Events that may prevent successful or timely completion of clinical development include but are not limited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delays in patient enrollment for our clinical trials due to public health emergencies or pandemics, natural disasters, staffing shortages, or other events, which may affect our ability to initiate and/or complete preclinical studies, conduct ongoing clinical trials, and delay initiation of planned and future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inability to generate satisfactory preclinical, toxicology or other in vivo or in vitro data or to develop diagnostics capable of supporting the initiation or continuation of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delays in reaching agreement on acceptable terms with CROs, and clinical trial sites, the terms of which can be subject to extensive negotiation and may vary significantly among different CROs and clinical trial sites;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delays or failure in obtaining required an IRB approval at each clinical trial site;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to obtain or delays in obtaining a permit from regulatory authorities to conduct a clinical trial;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delays in recruiting or failure to recruit sufficient eligible volunteers or subjects in our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by clinical trial sites or CROs or other third parties to adhere to clinical trial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by our clinical trial sites, CROs or other third parties to perform in accordance with the good clinical practices requirements of the FDA or applicable foreign regulatory guidelines;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subjects withdrawing from our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adverse events or other issues of concern significant enough for the FDA, or comparable foreign regulatory authority, to put a clinical trial or an IND on clinical hold;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occurrence of adverse events associated with our drug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regulatory requirements and guidance that require amending or submitting new clinical protocols;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 of clinical trials of our drug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negative or inconclusive results from our clinical trials which may result in us deciding, or regulators requiring us, to conduct additional clinical trials or abandon development programs in other ongoing or planned indications for a drug candidate;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delays in reaching agreement on acceptable terms with third-party manufacturers or an inability to manufacture sufficient quantities of our drug candidates for use in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inability to successfully complete clinical development and obtain regulatory approval for one or more of our drug candidates could result in additional costs to us or impair our ability to generate revenue. In addition, if we make manufacturing or formulation changes to our drug candidates, we may need to conduct additional nonclinical studies and/or clinical trials to show that the results obtained from such new formulation are consistent with previous results. Clinical trial delays could also shorten any periods during which our drug candidates have patent protection and may allow competitors to develop and bring products to market before we do, which could impair our ability to successfully commercialize our drug candidates and may harm our business and results of operation.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a clinical trial may be suspended or terminated by the company, the IRBs of the institutions in which such trials are being conducted, the Data Safety Monitoring Board, or DSMB,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an investigational drug, changes in governmental regulations, administrative actions or lack of adequate funding to continue the clinical trial. Clinical holds may be placed prior to a clinical trial even beginning, in order to address potential safety and risk concerns of regulatory authorities, and partial or complete clinical holds can be imposed at any time during a trial. Furthermore, while we perform certain similar functions internally, we expect to rely on CROs and clinical trial sites to ensure proper and timely conduct of our clinical trials and while we expect to enter into agreements governing those CROs’ committed activities we have limited influence over their actual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there are delays in the completion of, or termination of, any clinical trial of drug candidates, the commercial prospects of those drug candidates may be harmed. In addition, any delays in completing clinical trials will increase costs, slow down product development and approval processes, and jeopardize the ability to commence product sales and generate revenue.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marketing approval of drug candidates.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Product development involves a lengthy and expensive process with an uncertain outcome, and results of earlier preclinical studies and clinical trials may not be predictive of future clinical trial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testing is expensive and generally takes many years to complete, and the outcome is inherently uncertain. Failure can occur at any time during the clinical development process. Clinical trials may produce negative or inconclusive results, and we or any current or future collaboration partners may decide, or regulators may require us, to conduct additional clinical trials or non-clinical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studies. We will be required to demonstrate with substantial evidence through well-controlled clinical trials that our drug candidates are safe and effective for use in a diverse population before we can seek marketing approvals for their commercial sale. The results of preclinical studies and early clinical trials of our drug candidates may not be predictive of the results of larger, later-stage controlled clinical trials. Drug candidates that have shown promising results in early-stage clinical trials may still suffer significant setbacks or failure in subsequent clinical trials. Our clinical trials to date have been conducted on a small number of subjects in limited numbers of clinical trial sites for a limited number of indications. We will have to conduct larger, well-controlled trials in our proposed indications to verify the results obtained to date and to support any regulatory submissions for further clinical development. A number of companies in the biopharmaceutical industry have suffered significant setbacks or failure in advanced clinical trials due to lack of efficacy or adverse safety profiles despite promising results in earlier, smaller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from time to time, we may publish or report interim or preliminary data from our clinical trials. For example, we have previously announced and included interim data for our drug candidate, FID-007 in this Annual Report. Interim or preliminary data from clinical trials that we may conduct, including any interim data we have reported for FID-007,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is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therefore do not know whether any clinical trials we may conduct will demonstrate consistent or adequate efficacy and safety sufficient to obtain marketing approval to market our drug candidates.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Any drug candidate that we may attempt to develop, manufacture, or market in the United States will be subject to extensive regulation by the FDA, including regulations relating to development, preclinical testing, performance of clinical trials, manufacturing and post-approval commercialization and will be subject to extensive regulations outside of the United States. Satisfaction of these and other regulatory requirements is costly, time consuming, uncertain and subject to unanticipated delays. The time required to obtain FDA approval, and any other required approvals for pharmaceutical products, including any accelerated approval, is unpredictable but typically requires years to several years and may never be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that we may wish to develop, manufacture or market in countries other than the United States will also be subject to numerous foreign regulatory requirements governing the conduct of clinical trials, manufacturing and marketing, pricing and third-party reimbursement among other things in such countries. The foreign marketing approval process includes all of the risks and uncertainties associated with FDA approval described above as well as risks attributable to the satisfaction of local regulations in such foreign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marketing approval for pharmaceutical products requires the submission of extensive preclinical and clinical data and supporting information to FDA and comparable regulatory authorities for each therapeutic indication to establish the product candidate’s safety and efficacy. Securing marketing approval also typically requires the submission of information about the product manufacturing process, and in many cases the inspection of manufacturing, processing, and packaging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or there may be deficiencies in manufacturing compliance by us or by our contract manufacturing organizations and partners that could result in the candidate not being approved. Moreover, we have not obtained marketing approval for any drug candidate in any jurisdiction and it is possible that none of our existing drug candidates or any drug candidates we may seek to develop in the future will ever obtain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Drug candidates could fail to receive, or could be delayed in receiving, marketing approval for many reasons, including any one or more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European Medicines Agency, or EMA, or comparable foreign regulatory authorities may disagree with the design or implementation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satisfaction of the FDA, EMA or comparable foreign regulatory authorities that a product candidate is safe and effective for its proposed indication(s) for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EMA or comparable foreign regulatory authorities for marketing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comparable foreign regulatory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of product candidates may not be sufficient to support the submission of an application to obtain marketing approval in the United States or elsewhere;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review of clinical trial sites and data, the FDA or comparable foreign regulatory authorities may find record keeping or the record keeping of clinical trial sites to be inadequate or may identify other deficiencies related to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manufacturing processes or facilities of third-party manufacturers with which we or Fulgent Pharma contract for clinical and commercial supplies may fail to meet the requirements of the FDA, EMA or comparable foreign regulatory authorities;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medical standard of care or the approval policies or regulations of the FDA, EMA or comparable foreign regulatory authorities may significantly change in a manner that renders our clinical data insufficient for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none of the drug candidates we may develop will obtain the marketing approvals necessary for us or our collaborators to sell the products either in the United States or any other country. Furthermore, approval by the FDA of a therapeutic product does not assure approval by regulatory authorities outside the United States or vice versa. Even if approval for a therapeutic product is obtained, such approval may be subject to limitations on the indicated uses or appropriate patient population that could result in a significantly reduced potential market size for the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utilize the FDA’s Section 505(b)(2) pathway for most of our product candidates, which are being developed using its nano-drug delivery platform technology. If that pathway is not available, the development of such product candidates will likely take significantly longer, cost significantly more and entail significantly greater complexity and risk than currently anticipated, and, in any case, may not be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develop and seek approval for our drug candidates developed using our nano-drug delivery platform technology, including FID-007 and other candidates it may develop, pursuant to the FDA’s 505(b)(2) pathway. If the FDA determines that we may not use this regulatory pathway, then we would need to seek regulatory approval via a “full” or “stand-alone” NDA under Section 505(b)(1) of the FDC Act. This would require us to conduct additional clinical trials, provide additional safety and efficacy data and other information, and meet additional standards for regulatory approval, including possibly nonclinical data. If this were to occur, the time and financial resources required to obtain FDA approval, as well as the development complexity and risk associated with these programs, would likely substantially increase, which could have a material adverse effect on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Drug Price Competition and Patent Term Restoration Act of 1984, informally known as the Hatch-Waxman Act, added Section 505(b)(2) to the FDC Act. Section 505(b)(2) permits the filing of an NDA where at least some of the information required for approval comes from studies and information that were not conducted by or for the applicant and for which the applicant has not obtained a right of reference. Utilization of the Section 505(b)(2) NDA pathway could expedite the development program for our lead drug candidate, FID-007.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Notwithstanding the approval of an increasing number of products by the FDA under Section 505(b)(2) over the last few years, certain brand-name pharmaceutical companies and others have objected to the FDA’s interpretation of Section 505(b)(2). If the FDA’s interpretation of Section 505(b)(2) is successfully challenged, or Congress were to amend the statute to alter the currently available regulatory pathway, the FDA may change its 505(b)(2) policies and practices, which could delay or even prevent the FDA from approving any NDA we submit under Section 505(b)(2). In addition, the pharmaceutical industry is highly competitive, and Section 505(b)(2) NDAs are subject to special requirements designed to protect the patent rights of sponsors of previously approved drugs referenced in a Section 505(b)(2) NDA. Even if we are able to utilize the Section 505(b)(2) regulatory pathway for one or more of our candidates, there is no guarantee this would ultimately lead to faster product development or earlier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any delay resulting from our inability to pursue the FDA's 505(b)(2) pathway could result in new competitive products reaching the market more quickly than its product candidates, which may have a material adverse impact on our competitive position and prospects. Even if we are allowed to pursue the FDA's 505(b)(2) pathway for one or more of our drug candidates, we cannot assure you that such candidates will receive the requisite approvals for commercialization.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commercial success will depend upon attaining significant market acceptance of our drug candidates, if approved, among physicians, patients, third-party payors and other members of the medical community.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regulatory approval for our drug candidates, the approved products may nonetheless fail to gain sufficient market acceptance among physicians, third-party payors, patients and other members of the medical community, which is critical to commercial success. If an approved product does not achieve an adequate level of acceptance, we may not generate significant product revenues or any profits from operations. The degree of market acceptance of any drug candidate for which we receive approval depends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potential advantages compared to alternative treatments or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perceptions by the medical community, physicians, and patients, regarding the safety and effectiveness of our products and 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market for such drug candidate, based on the size of the patient subsets that we are targeting, in the territories for which we gain regulatory approval and have commercial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of the drug candidate as demonstrated through broad commercial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offer our drug candidates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adequate reimbursement and pricing for our products from governmental health programs and other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cost-effectiveness of our product relative to competing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adequacy of supply of our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any such marketing approval in relation to other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restrictions on concomitant use of other medications;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support from patient advocacy groups;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sales, marketing and distribution efforts by us and our licensees and distributors, if 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drug candidates may cause undesirable side effects that could delay or prevent their marketing approval, limit the commercial profile of an approved label, or result in significant negative consequences following marketing approval,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Undesirable side effects caused by our drug candidates could cause us, our collaborators or regulatory authorities, to interrupt, delay or halt clinical trials. These circumstances could result in a more restrictive label or the delay or denial of marketing approval by the FDA or other regulatory authorities. Results of our clinical trials or the clinical trials of our collaborators could reveal a high and unacceptable severity of adverse side effects and it is possible that patients enrolled in these clinical trials could respond in unexpected ways. Such side effects could also affect patient recruitment or the ability of enrolled patients to complete the trial or result in potential product liability claims. Further, clinical trials by their nature utilize a sample of the potential patient population. Rare and severe side effects of our drug candidates may only be uncovered with a significantly larger number of patients exposed to our drug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that any of our drug candidates receives marketing approval and we, our collaborators or others identify undesirable side effects caused by a product or any other similar drugs, any of the following adverse events could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their approval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marketing of the particular product or the manufacturing processes for the product or any component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the addition of safety-related labeling statements, such as a “black box” warning or a contraindication;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 or to implement other aspects of a REMS such as a restricted distribution program or educational programs for prescribers;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adverse side effects caused by any drugs that may be similar in nature to our drug candidates could delay or prevent marketing approval of our drug candidates, limit the commercial profile of an approved label for our drug candidates, or result in significant negative consequences for our drug candidates following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above described events could prevent us from achieving or maintaining market acceptance of our drug candidates, if approved, and could delay, impede and/or substantially increase the costs of commercializing our drug candidates thus significantly impacting our ability to successfully commercialize our drug candidates and generate revenue. Any of the above described occurrences may materially and adversely affect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If our drug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sales, marketing, or distribution capabilities for prescription pharmaceutical products. If any of our drug candidates is approved for marketing in the U.S. or elsewhere, we will need to expand our internal sales, marketing and distribution capabilities to commercialize such approved drug candidates in the United States and other territories, or we will need to enter into collaborations with third parties to perform these services. Any internal effort would be expensive and time-consuming, and we would need to commit significant financial and managerial resources to develop an internal marketing and sales force with technical expertise and the related supporting distribution, administration and compliance capabilities. If we were to rely on additional third parties with these capabilities to market our future therapeutics or were to decide to co-promote products with any of our current or future collaborators, we would need to establish and maintain or revise existing marketing and distribution arrangements with these partners, and there can be no assurance that we will be able to enter into such arrangements on acceptable terms or at all. Further, there can be no assurance that these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rely on third parties to conduct portions of our clinical trials and certain of our non-clinical studies and intend to continue to do so. If these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expect to continue our current clinical trials and expect to initiate clinical trials in the near term for other drug candidates, we do not independently conduct clinical trials. In particular, while we perform certain functions internally, we currently rely and intend to continue to rely on third-party CROs, clinical data management organizations and consultants to help us design, conduct, supervise and monitor clinical trials of our drug candidates. As a result, we will have less control over the timing, quality and other aspects of our clinical trials than we would have had we conducted them on our own. There is a limited number of third-party service providers that specialize or have the expertise required to achieve our business objectives. If any of our relationships with these third-party CROs or clinical investigators terminate, we may not be able to enter into arrangements with alternative CROs or investigators or to do so on commercially reasonable terms.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non-clinical studies or clinical trials. These third parties may also be susceptible to disruption as a result of health crises such as the COVID-19 pandemic or periods of societal unrest or conflict. If we cannot contract with acceptable third parties on commercially reasonable terms, or at all, or if these third parties do not carry out their contractual duties, satisfy the legal and regulatory requirements for the conduct of non-clinical studies or clinical trials or meet expected deadlines for any reason, our clinical development programs could be delayed and otherwise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all events, we will be responsible for ensuring that each of our non-clinical studies and clinical trials is conducted in accordance with the general investigational plan and protocols for the relevant study or trial. The FDA requires non-clinical studies to be conducted in accordance with good laboratory practices and clinical trials to be conducted in accordance with GCPs including practices and requirements for designing, conducting, recording and reporting the results of non-clinical studies and clinical trials to assure that data and reported results are credible and accurate and that the rights, integrity and confidentiality of clinical trial participants are protected. Our reliance on third parties we do not control will not relieve us of these responsibilities and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adverse development or delay in our clinical trials could have a material and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rely on third parties to supply and manufacture our drug candidates, and we expect to continue to rely on third parties to manufacture and supply our therapeutics, if approved. The development of drug candidates and the commercialization of any drug candidates, if approved, could be stopped, delayed, or made less profitable if any of these third parties fail to provide us with sufficient quantities of drug candidates or therapeutics, fail to do so at acceptable quality levels or prices, or fail to maintain or achieve satisfactory regulatory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have, nor do we plan to acquire, the infrastructure or capability internally to develop and manufacture our drug candidates for use in the conduct of our trials or for commercial supply, if our therapeutics are approved. Instead, we rely on, and expect to continue to rely on third-party providers to manufacture the supplies for our non-clinical studies and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rely on a limited number of third-party contract manufacturers for our required raw materials and other components for our non-clinical research and clinical trials, as well as for the manufacture of supplies for our drug candidates. To the extent any of our manufacturing partners are unable to fulfill these obligations in a timely manner, our clinical trials may be delayed, and our business may be adversely affected. In general, reliance on third-party providers may expose us to more risk than if we were to manufacture our drug candidates ourselves. We do not control the operational processes of the contract manufacturing organizations with whom we contract, and are dependent on these third parties for the production of our drug candidates in accordance with relevant regulations (such as cGMP), which include, among other things, quality control and the maintenance of records and documentation.</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Intellectual Property Risks</w:t>
      </w:r>
    </w:p>
    <w:p>
      <w:pPr>
        <w:pStyle w:val="TextBody"/>
        <w:bidi w:val="0"/>
        <w:spacing w:before="120" w:after="283"/>
        <w:jc w:val="left"/>
        <w:rPr>
          <w:rFonts w:ascii="Times New Roman" w:hAnsi="Times New Roman"/>
          <w:sz w:val="20"/>
        </w:rPr>
      </w:pPr>
      <w:r>
        <w:rPr>
          <w:rFonts w:ascii="Times New Roman" w:hAnsi="Times New Roman"/>
          <w:b/>
          <w:color w:val="000000"/>
          <w:sz w:val="20"/>
        </w:rPr>
        <w:t>If we are unable to obtain and maintain patent protection for any product candidate we develop, our competitors could develop and commercialize products or technology similar to ours, and our ability to successfully commercialize any product candidate we may develop, and our technology,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United States and other countries with respect to any product candidate and other technologies we may develop. Given that the development of our drug and therapeutic technology is at an early stage, our intellectual property portfolio with respect to certain aspects of our technology and any drug and any product candidates; however, there can be no assurance that any such patent applications will issue as granted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Composition of matter patents for biological and pharmaceutical products are generally considered to be the strongest form of intellectual property protection for those types of products, as such patents provide protection without regard to any method of use. We cannot be certain, however, that the claims in our future patent applications covering the composition of matter of any product candidates will be considered patentable by the United States Patent and Trademark Office (“USPTO”), or by patent offices in foreign countries, or that the claims in any of its issued patents will be considered valid and enforceable by courts in the United States or foreign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in some cases, we may not be able to obtain issued claims covering compositions of matter relating to any product candidates it develops and instead may need to rely on filing patent applications with claims covering a method of use and/or method of manufacture. Method of use patents protect the use of a product for the specified method. This type of patent does not prevent a competitor from making and marketing a product that is identical to any product we develop for an indication that is outside the scope of the patented method. Moreover, even if competitors do not actively promote their products for its targeted indications, physicians may prescribe these products “off-label” for those uses that are covered by its method of use patents. Although off-label prescriptions may infringe or contribute to the infringement of method of use patents, the practice is common, and such infringement is difficult to prevent or prosecute.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any product candidate we develop could have a material adverse effect on our business, financial condition, results of operations, and prospects.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rely on trade secret protection, non-disclosure agreements. and invention assignment agreements to protect our proprietary information, which may not be effective.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trade secret protection, non-disclosure agreements and invention assignment agreements with our employees, consultants and third-parties to protect our confidential and proprietary information. Although our competitors have utilized and are expected to continue to utilize technologies and methods similar to ours and have aggregated and are expected to continue to aggregate libraries of genetic information similar to ours, we believe our success will depend in part on our ability to develop proprietary methods and libraries and to defend any advantages afforded to us by these methods and libraries relative to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If we do not protect our intellectual property and other confidential information adequately, competitors may be able to use our proprietary technologies and information and thereby erode any competitive advantages our intellectual property and other confidential information provide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be able to protect our proprietary trade secret rights from unauthorized use by third parties only to the extent these rights are effectively maintained as confidential. We expect to rely primarily on trade secret and contractual protections for our confidential and proprietary information, and we have taken security measures we believe are appropriate to protect this information. These measures, however, may not provide adequate protection for our trade secrets, know-how, or other confidential information. We seek to protect our proprietary information by, among other things, entering into confidentiality agreements with employees, consultants and other third parties. These confidentiality agreements may not sufficiently safeguard our trade secrets and other confidential information and may not provide adequate remedies in the event of unauthorized use or disclosure of this information. Enforcing a claim that a party illegally disclosed or misappropriated a trade secret or other proprietary information could be difficult, expensive, and time-consuming; and the outcome could be unpredictable. In addition, trade secrets or other confidential information could otherwise become known or be independently developed by others in a manner that could prevent legal recourse by us. If any of our trade secrets or other confidential or proprietary information were disclosed or misappropriated or if any such information was independently developed by a competitor, our competitive position could be harmed, and our business could suffer.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Litigation or other proceedings or third-party claims of intellectual property infringement or misappropriation could require us to spend significant time and money and prevent us from selling our tests or developing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ability to succeed will depend in part on our avoidance of infringement of patents and other proprietary rights owned by third parties, including the intellectual property rights of competitors. There are numerous third-party-owned U.S. and foreign patents, pending patent applications and other intellectual property rights that cover technologies relevant to our testing and testing services. We may be unaware of patents or other intellectual property rights that a third party might assert are infringed by our business, and there may be pending patent applications that, if issued, could be asserted against us. As a result, our existing or future operations may be alleged or found to infringe existing or future patents or other intellectual property rights of others. Moreover, as we continue to sell our existing tests and if we launch new tests and enter new markets, competitors may claim that our tests infringe or misappropriate their intellectual property rights as part of strategies designed to impede our existing operations or our entry into new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patent infringement or misappropriation of intellectual property lawsuit was brought against us, we could be forced to discontinue or delay our development or sales of any tests or other activities that are the subject of the lawsuit while it is pending, even if it is not ultimately successful. In the event of a successful claim of infringement against us, we could be forced to pay substantial damages, including treble damages and attorneys’ fees if we were found to have willfully infringed patents; obtain one or more licenses, which may not be available on commercially reasonable terms when needed or at all; pay royalties, which may be substantial; or redesign any infringing tests or other activities, which may be impossible or require substantial time and expense. In addition, third parties making claims against us for infringement or misappropriation of their patents or other intellectual property rights could seek and obtain injunctive or other equitable relief, which, if granted, could prohibit us from performing some or all of our tests. Further, defense against these claims, regardless of their merit or success, could cause us to incur substantial expenses, be a substantial diversion to our management and other employee resources and significantly harm our reputation. Any of these outcomes could delay our introduction of new tests, significantly increase our costs, or prevent us from conducting certain of our essential activities, which could materially adversely affect our ability to operate and grow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may be subject to claims challenging the inventorship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claims that former employees, collaborators or other third parties have an interest in our owned patents, trade secrets, or other intellectual property as an inventor or co-inventor. For example, we may have inventorship disputes arise from conflicting obligations of consultants or others who are involved in developing our products or product candidates and other proprietary technologies we may develop. Litigation may be necessary to defend against these and other claims challenging inventorship or our ownership of our owned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product candidates and other proprietary technologies we may develop.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Developments in patent law could have a negative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Supreme Court, other federal courts, the U.S. Congress or the USPTO may change the standards of patentability, and any such changes could have a negative impact on our business.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Three cases involving diagnostic method claims and “gene patents” have been decided by the Supreme Court in recent years. In March 2012, the Supreme Court issued a decision in </w:t>
      </w:r>
      <w:r>
        <w:rPr>
          <w:rFonts w:ascii="Times New Roman" w:hAnsi="Times New Roman"/>
          <w:i/>
          <w:color w:val="000000"/>
          <w:sz w:val="20"/>
        </w:rPr>
        <w:t>Mayo Collaborative v. Prometheus Laboratories</w:t>
      </w:r>
      <w:r>
        <w:rPr>
          <w:rFonts w:ascii="Times New Roman" w:hAnsi="Times New Roman"/>
          <w:color w:val="000000"/>
          <w:sz w:val="20"/>
        </w:rPr>
        <w:t xml:space="preserve">, or </w:t>
      </w:r>
      <w:r>
        <w:rPr>
          <w:rFonts w:ascii="Times New Roman" w:hAnsi="Times New Roman"/>
          <w:i/>
          <w:color w:val="000000"/>
          <w:sz w:val="20"/>
        </w:rPr>
        <w:t>Prometheus</w:t>
      </w:r>
      <w:r>
        <w:rPr>
          <w:rFonts w:ascii="Times New Roman" w:hAnsi="Times New Roman"/>
          <w:color w:val="000000"/>
          <w:sz w:val="20"/>
        </w:rPr>
        <w:t xml:space="preserve">, a case involving patent claims directed to optimizing the amount of drug administered to a specific patient, holding that the applicable patents’ claims failed to incorporate sufficient inventive content above and beyond mere underlying natural correlations to allow the claimed processes to qualify as patent-eligible processes that apply natural laws. In June 2013, the Supreme Court decided Association for </w:t>
      </w:r>
      <w:r>
        <w:rPr>
          <w:rFonts w:ascii="Times New Roman" w:hAnsi="Times New Roman"/>
          <w:i/>
          <w:color w:val="000000"/>
          <w:sz w:val="20"/>
        </w:rPr>
        <w:t>Molecular Pathology v. Myriad Genetics</w:t>
      </w:r>
      <w:r>
        <w:rPr>
          <w:rFonts w:ascii="Times New Roman" w:hAnsi="Times New Roman"/>
          <w:color w:val="000000"/>
          <w:sz w:val="20"/>
        </w:rPr>
        <w:t xml:space="preserve">, or </w:t>
      </w:r>
      <w:r>
        <w:rPr>
          <w:rFonts w:ascii="Times New Roman" w:hAnsi="Times New Roman"/>
          <w:i/>
          <w:color w:val="000000"/>
          <w:sz w:val="20"/>
        </w:rPr>
        <w:t>Myriad</w:t>
      </w:r>
      <w:r>
        <w:rPr>
          <w:rFonts w:ascii="Times New Roman" w:hAnsi="Times New Roman"/>
          <w:color w:val="000000"/>
          <w:sz w:val="20"/>
        </w:rPr>
        <w:t xml:space="preserve">, a case challenging the validity of patent claims relating to the breast cancer susceptibility genes BRCA1 and BRCA2, holding that isolated genomic DNA that exists in nature, such as the DNA constituting the BRCA1 and BRCA2 genes, is not patentable subject matter, but that cDNA, which is an artificial construct created from ribonucleic acid transcripts of genes, may be patent eligible. In June 2014, the Supreme Court decided </w:t>
      </w:r>
      <w:r>
        <w:rPr>
          <w:rFonts w:ascii="Times New Roman" w:hAnsi="Times New Roman"/>
          <w:i/>
          <w:color w:val="000000"/>
          <w:sz w:val="20"/>
        </w:rPr>
        <w:t>Alice Corporation Pty. Ltd. v. CLS Bank International</w:t>
      </w:r>
      <w:r>
        <w:rPr>
          <w:rFonts w:ascii="Times New Roman" w:hAnsi="Times New Roman"/>
          <w:color w:val="000000"/>
          <w:sz w:val="20"/>
        </w:rPr>
        <w:t xml:space="preserve">, or </w:t>
      </w:r>
      <w:r>
        <w:rPr>
          <w:rFonts w:ascii="Times New Roman" w:hAnsi="Times New Roman"/>
          <w:i/>
          <w:color w:val="000000"/>
          <w:sz w:val="20"/>
        </w:rPr>
        <w:t>Alice</w:t>
      </w:r>
      <w:r>
        <w:rPr>
          <w:rFonts w:ascii="Times New Roman" w:hAnsi="Times New Roman"/>
          <w:color w:val="000000"/>
          <w:sz w:val="20"/>
        </w:rPr>
        <w:t xml:space="preserve">, which affirmed the </w:t>
      </w:r>
      <w:r>
        <w:rPr>
          <w:rFonts w:ascii="Times New Roman" w:hAnsi="Times New Roman"/>
          <w:i/>
          <w:color w:val="000000"/>
          <w:sz w:val="20"/>
        </w:rPr>
        <w:t xml:space="preserve">Prometheus </w:t>
      </w:r>
      <w:r>
        <w:rPr>
          <w:rFonts w:ascii="Times New Roman" w:hAnsi="Times New Roman"/>
          <w:color w:val="000000"/>
          <w:sz w:val="20"/>
        </w:rPr>
        <w:t xml:space="preserve">and </w:t>
      </w:r>
      <w:r>
        <w:rPr>
          <w:rFonts w:ascii="Times New Roman" w:hAnsi="Times New Roman"/>
          <w:i/>
          <w:color w:val="000000"/>
          <w:sz w:val="20"/>
        </w:rPr>
        <w:t>Myriad</w:t>
      </w:r>
      <w:r>
        <w:rPr>
          <w:rFonts w:ascii="Times New Roman" w:hAnsi="Times New Roman"/>
          <w:color w:val="000000"/>
          <w:sz w:val="20"/>
        </w:rPr>
        <w:t xml:space="preserve"> decisions and provided additional interpretation.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If we make efforts to seek patent protection for our product candidates, products, technologies, and tests, these efforts may be negatively impacted by the </w:t>
      </w:r>
      <w:r>
        <w:rPr>
          <w:rFonts w:ascii="Times New Roman" w:hAnsi="Times New Roman"/>
          <w:i/>
          <w:color w:val="000000"/>
          <w:sz w:val="20"/>
        </w:rPr>
        <w:t>Prometheus</w:t>
      </w:r>
      <w:r>
        <w:rPr>
          <w:rFonts w:ascii="Times New Roman" w:hAnsi="Times New Roman"/>
          <w:color w:val="000000"/>
          <w:sz w:val="20"/>
        </w:rPr>
        <w:t xml:space="preserve">, </w:t>
      </w:r>
      <w:r>
        <w:rPr>
          <w:rFonts w:ascii="Times New Roman" w:hAnsi="Times New Roman"/>
          <w:i/>
          <w:color w:val="000000"/>
          <w:sz w:val="20"/>
        </w:rPr>
        <w:t>Myriad</w:t>
      </w:r>
      <w:r>
        <w:rPr>
          <w:rFonts w:ascii="Times New Roman" w:hAnsi="Times New Roman"/>
          <w:color w:val="000000"/>
          <w:sz w:val="20"/>
        </w:rPr>
        <w:t xml:space="preserve"> and </w:t>
      </w:r>
      <w:r>
        <w:rPr>
          <w:rFonts w:ascii="Times New Roman" w:hAnsi="Times New Roman"/>
          <w:i/>
          <w:color w:val="000000"/>
          <w:sz w:val="20"/>
        </w:rPr>
        <w:t xml:space="preserve">Alice </w:t>
      </w:r>
      <w:r>
        <w:rPr>
          <w:rFonts w:ascii="Times New Roman" w:hAnsi="Times New Roman"/>
          <w:color w:val="000000"/>
          <w:sz w:val="20"/>
        </w:rPr>
        <w:t xml:space="preserve">decisions, rulings in other cases or guidance or procedures issued by the USPTO. However, we cannot fully predict the impact of the </w:t>
      </w:r>
      <w:r>
        <w:rPr>
          <w:rFonts w:ascii="Times New Roman" w:hAnsi="Times New Roman"/>
          <w:i/>
          <w:color w:val="000000"/>
          <w:sz w:val="20"/>
        </w:rPr>
        <w:t>Prometheus</w:t>
      </w:r>
      <w:r>
        <w:rPr>
          <w:rFonts w:ascii="Times New Roman" w:hAnsi="Times New Roman"/>
          <w:color w:val="000000"/>
          <w:sz w:val="20"/>
        </w:rPr>
        <w:t xml:space="preserve">, </w:t>
      </w:r>
      <w:r>
        <w:rPr>
          <w:rFonts w:ascii="Times New Roman" w:hAnsi="Times New Roman"/>
          <w:i/>
          <w:color w:val="000000"/>
          <w:sz w:val="20"/>
        </w:rPr>
        <w:t>Myriad</w:t>
      </w:r>
      <w:r>
        <w:rPr>
          <w:rFonts w:ascii="Times New Roman" w:hAnsi="Times New Roman"/>
          <w:color w:val="000000"/>
          <w:sz w:val="20"/>
        </w:rPr>
        <w:t xml:space="preserve"> and </w:t>
      </w:r>
      <w:r>
        <w:rPr>
          <w:rFonts w:ascii="Times New Roman" w:hAnsi="Times New Roman"/>
          <w:i/>
          <w:color w:val="000000"/>
          <w:sz w:val="20"/>
        </w:rPr>
        <w:t>Alice</w:t>
      </w:r>
      <w:r>
        <w:rPr>
          <w:rFonts w:ascii="Times New Roman" w:hAnsi="Times New Roman"/>
          <w:color w:val="000000"/>
          <w:sz w:val="20"/>
        </w:rPr>
        <w:t xml:space="preserve"> decisions on the ability of genetic testing, biopharmaceutical, or other companies to obtain or enforce patents relating to DNA, genes or genomic-related discoveries in the future, as the contours of when claims reciting laws of nature, natural phenomena or abstract ideas may meet patent eligibility requirements are not clear and may take years to develop via interpretation at the USPTO and in the courts. There are many previously issued patents claiming nucleic acids and diagnostic methods based on natural correlations that issued before these recent Supreme Court decisions and, although many of these patents may be invalid under the standards set forth in these decisions, they are presumed valid and enforceable until they are successfully challenged and third parties holding these patents could allege that we infringe or request that we obtain a license under such patents. Whether based on patents issued before or after these Supreme Court decisions, we could be forced to defend against claims of patent infringement or obtain license rights, if available, under these patents. In particular, although the Supreme Court has held in </w:t>
      </w:r>
      <w:r>
        <w:rPr>
          <w:rFonts w:ascii="Times New Roman" w:hAnsi="Times New Roman"/>
          <w:i/>
          <w:color w:val="000000"/>
          <w:sz w:val="20"/>
        </w:rPr>
        <w:t xml:space="preserve">Myriad </w:t>
      </w:r>
      <w:r>
        <w:rPr>
          <w:rFonts w:ascii="Times New Roman" w:hAnsi="Times New Roman"/>
          <w:color w:val="000000"/>
          <w:sz w:val="20"/>
        </w:rPr>
        <w:t>that isolated genomic DNA is not patent-eligible subject matter, third parties could allege that our activities infringe other classes of gene-related patent claims. There are numerous risks associated with any patent infringement claim that may be brought against us, as discussed above under “Litigation or other proceedings or third-party claims of intellectual property infringement or misappropriation could require us to spend significant time and money and prevent us from selling our tests or developing drug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Leahy-Smith America Invents Act, or America Invents Act, which was signed into law in 2011, includes a number of significant changes to U.S. patent law. These changes include a transition from a “first-to-invent” system to a “first-to-file” system, changes to the way issued patents are challenged, and changes to the way patent applications are disputed during the examination process. These changes may favor larger and more established companies that have greater resources to devote to patent application filing and prosecution. The USPTO has developed new regulations and procedures to govern the full implementation of the America Invents Act, but the impact of the America Invents Act on the cost of prosecuting any patent applications we may file, our ability to obtain patents based on our discoveries if we pursue them, and our ability to enforce or defend any patents that may issue remains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substantive changes to U.S. patent law could affect our susceptibility to patent infringement claims and our ability to obtain any patents we may pursue and, if obtained, to enforce or defend them, any of which could have a material adverse effect on our business.</w:t>
      </w:r>
    </w:p>
    <w:p>
      <w:pPr>
        <w:pStyle w:val="TextBody"/>
        <w:bidi w:val="0"/>
        <w:spacing w:before="360" w:after="283"/>
        <w:jc w:val="left"/>
        <w:rPr>
          <w:rFonts w:ascii="Times New Roman" w:hAnsi="Times New Roman"/>
          <w:sz w:val="20"/>
        </w:rPr>
      </w:pPr>
      <w:r>
        <w:rPr>
          <w:rFonts w:ascii="Times New Roman" w:hAnsi="Times New Roman"/>
          <w:b/>
          <w:color w:val="000000"/>
          <w:sz w:val="20"/>
        </w:rPr>
        <w:t>Obtaining and maintaining our patent protection depends on compliance with various procedural, document submission, fee payment, and other requirements imposed by government patent agencies, and its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 applications will be due to be paid to the USPTO and various government patent agencies outside of the United States over the lifetime of its owned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or technology,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Worldwide, we own or exclusively in-license over 30 issued or allowed patents and over 10 active patent applications as of December 31, 2023. This includes 10 issued or allowed US patents. Patent applications in these patent families, if granted, are expected to expire as far out as 2044 subject to any patent term disclaimers, adjustments, or extensions. Patents and/or patent applications in these families are active in multiple jurisdictions, including, the United States, Australia, Canada, China, European Patent Organization, German, New Zealand, Japan, and Switzerland. In addition to these owned and exclusively licensed patents and active patent applications, we also license patents on a non-exclusive and/or territory-restricted basis. Our intellectual property portfolio includes important patents and patent applications directed to our technologies. This includes patent filings relating to our nano-drug delivery platform technology for delivery of water insoluble or poorly soluble drugs for treatments of disease conditions, including cancer. In particular, as of December 31, 2023, we own or exclusively in-license 28 issued patents and 5 patent applications relating to FID-007. Individual patent terms extend for varying periods of time, depending upon the date of filing of the patent application, the date of patent issuance, and the legal term of patents in the countries in which they are obtained.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2017, Fulgent Pharma LLC entered into an exclusive license agreement with ANP, as amended December 28, 2017. Under the agreement, ANP granted Fulgent Pharma LLC an exclusive, worldwide, royalty bearing, perpetual, irrevocable, and sublicensable license to certain rights in patents and patent applications under which we may develop and commercialize FID-007 and related formulations for human therapeutic, prophylactic, and diagnostic uses. As of December 31, 2023, this IP suite includes 28 patents and 5 patent applications that relate to FID-007. Patents and/or patent applications in these families are active in multiple jurisdictions, including, the United States, Australia, Canada, China, European Patent Organization, German, New Zealand, Japan, and Switzerland. Patents in these patent families, if granted, are expected to expire in 2034 subject to any patent term disclaimers, adjustments, or extensions.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future issued patents covering product candidates we develop could be found invalid or unenforceable if challenged in court or before administrative bodies in the United States or abroad.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our owned patents before administrative bodies in the United States or abroad, even outside the context of litigation. Such mechanisms include re-examination, post-grant review, </w:t>
      </w:r>
      <w:r>
        <w:rPr>
          <w:rFonts w:ascii="Times New Roman" w:hAnsi="Times New Roman"/>
          <w:i/>
          <w:color w:val="000000"/>
          <w:sz w:val="20"/>
        </w:rPr>
        <w:t>inter partes</w:t>
      </w:r>
      <w:r>
        <w:rPr>
          <w:rFonts w:ascii="Times New Roman" w:hAnsi="Times New Roman"/>
          <w:color w:val="000000"/>
          <w:sz w:val="20"/>
        </w:rPr>
        <w:t xml:space="preserve"> review, interference proceedings, derivation proceedings, and equivalent proceedings in foreign jurisdictions (e.g., opposition proceedings). Such proceedings could result in the revocation of, cancellation of, or amendment to our future patents in such a way that they no longer cover its product candidate or other technologies.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any product candidates it develops or other technologies. Such a loss of patent protection would have a material adverse impact on our business, financial condition, results of operations, and prospects.</w:t>
      </w:r>
    </w:p>
    <w:p>
      <w:pPr>
        <w:pStyle w:val="TextBody"/>
        <w:bidi w:val="0"/>
        <w:spacing w:before="360" w:after="283"/>
        <w:jc w:val="left"/>
        <w:rPr>
          <w:rFonts w:ascii="Times New Roman" w:hAnsi="Times New Roman"/>
          <w:sz w:val="20"/>
        </w:rPr>
      </w:pPr>
      <w:r>
        <w:rPr>
          <w:rFonts w:ascii="Times New Roman" w:hAnsi="Times New Roman"/>
          <w:b/>
          <w:color w:val="000000"/>
          <w:sz w:val="20"/>
        </w:rPr>
        <w:t>Patent terms may be inadequate to protect our competitive position on our products and services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Patent terms may be shortened or lengthened by, for example, terminal disclaimers, patent term adjustments, supplemental protection certificates, and patent term extensions. Although extensions may be available, the life of a patent, and the protection it affords, is limited. Patent term extensions and supplemental protection certificates, and the like, may be impacted by the regulatory process and may not significantly lengthen patent term. Non-payment or delay in payment of patent fees or annuities, delay in patent filings or delay in extension filing, whether intentional or unintentional, may also result in the loss of patent rights important to our business. In such an event, competitors might be able to enter the market earlier than would otherwise have been the case.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and abroad, if all maintenance fees/annuity fees are timely paid, the natural expiration of a patent is generally 20 years from its earliest non-provisional filing date. The protection a patent affords is limited. Even if patents covering our products are obtained, once the patent life has expired, we may be open to competition from competitive products. Given the amount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of time required for the development, testing, and regulatory review of new products, patents protecting such products might expire before or shortly after such products are commercialized. As a result, our future owned and licensed patent portfolio may not provide us with sufficient rights to exclude others from commercializing products similar or identical to ours. </w:t>
      </w:r>
    </w:p>
    <w:p>
      <w:pPr>
        <w:pStyle w:val="TextBody"/>
        <w:bidi w:val="0"/>
        <w:spacing w:before="360" w:after="283"/>
        <w:jc w:val="left"/>
        <w:rPr>
          <w:rFonts w:ascii="Times New Roman" w:hAnsi="Times New Roman"/>
          <w:sz w:val="20"/>
        </w:rPr>
      </w:pPr>
      <w:r>
        <w:rPr>
          <w:rFonts w:ascii="Times New Roman" w:hAnsi="Times New Roman"/>
          <w:b/>
          <w:color w:val="000000"/>
          <w:sz w:val="20"/>
        </w:rPr>
        <w:t>If we do not obtain patent term extension and/or data exclusivity for any product candidate that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 we may develop, one or more of our future owned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United States and/or foreign countries and territories because of, for example, failing to exercise due diligence during the testing phase or regulatory review process, failing to apply within applicable deadlines, failing to apply prior to expiration of relevant future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prospects could be materially harmed. </w:t>
      </w:r>
    </w:p>
    <w:p>
      <w:pPr>
        <w:pStyle w:val="TextBody"/>
        <w:bidi w:val="0"/>
        <w:spacing w:before="360" w:after="283"/>
        <w:jc w:val="left"/>
        <w:rPr>
          <w:rFonts w:ascii="Times New Roman" w:hAnsi="Times New Roman"/>
          <w:sz w:val="20"/>
        </w:rPr>
      </w:pPr>
      <w:r>
        <w:rPr>
          <w:rFonts w:ascii="Times New Roman" w:hAnsi="Times New Roman"/>
          <w:b/>
          <w:color w:val="000000"/>
          <w:sz w:val="20"/>
        </w:rPr>
        <w:t>We may be subject to claims challenging the inventorship of its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claims that former employees, collaborators, or other third parties have an interest in its owned patent rights, trade secrets, or other intellectual property as an inventor or co-inventor. For example, we may have inventorship disputes arise from conflicting obligations of employees, consultants, or others who are involved in developing its product candidate or other technologies. Litigation may be necessary to defend against these and other claims challenging inventorship or its ownership of its owned patent rights, trade secrets, or other intellectual property. If we fail in defending any such claims, in addition to paying monetary damages, we may lose valuable intellectual property rights, such as exclusive ownership of, or right to use, intellectual property that is important to its product candidate,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may not be able to enforce our intellectual property rights outside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laws of some foreign countries do not protect proprietary rights to the same extent as the laws of the United States, and many companies have encountered significant challenges in establishing and enforcing their proprietary rights outside the United States. These challenges can be caused by the absence of rules and methods for the establishment and enforcement of intellectual property rights in certain jurisdictions. In addition, the legal systems of some countries, particularly developing countries, do not favor the enforcement of certain intellectual property protection, especially relating to healthcare. These aspects of many foreign legal systems could make it difficult for us to prevent or stop the misappropriation of our intellectual property rights in these jurisdictions. Moreover, changes in the law and legal decisions by courts in foreign countries could affect our ability to obtain adequate protection for our technologies and enforce our intellectual property rights.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 As a result, our efforts to protect and enforce our intellectual property rights outside the United States may prove inadequate, in which case our ability to remain competitive and grow our business and revenue could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intellectual property rights in every country throughout the world. Filing, prosecuting, and defending patents on drug candidates in all countries throughout the world would be prohibitively expensive, and our intellectual property rights in some countries outside the United States and Europe can be less extensive than those in the United States. In addition, the laws of foreign countries do not protect intellectual property rights to the same extent as federal and state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otherwise infringing products to territories where we have patent protection but where enforcement is not as strong as that in the United States. These products may compete with our drug candidates, and our patents or other intellectual property rights may not be effective or sufficient to prevent them from competing.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Third parties may assert that our employees or consultants have wrongfully used or disclosed confidential information or misappropriated trade secrets.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employ individuals who were previously employed at universities and biometric solution, genetic testing, diagnostic, or other healthcare companies, including our competitors or potential competitors. Further, we may become subject to ownership disputes in the future arising from, for example, conflicting obligations of consultants or others who are involved in developing our and other parties’ technologies and intellectual property rights. 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rights, including trade secrets or other proprietary information, of a former employer or other third-party. Litigation may be necessary to defend against these claims, should they arise. If we fail in defending against any such claims, we could be subject to monetary damages and the loss of valuable intellectual property rights or personnel. Even if we are successful in defending against any such claims, litigation could result in substantial costs, distract management and other employees, and damage our reputation.</w:t>
      </w:r>
    </w:p>
    <w:p>
      <w:pPr>
        <w:pStyle w:val="TextBody"/>
        <w:bidi w:val="0"/>
        <w:spacing w:before="360" w:after="283"/>
        <w:jc w:val="left"/>
        <w:rPr>
          <w:rFonts w:ascii="Times New Roman" w:hAnsi="Times New Roman"/>
          <w:sz w:val="20"/>
        </w:rPr>
      </w:pPr>
      <w:r>
        <w:rPr>
          <w:rFonts w:ascii="Times New Roman" w:hAnsi="Times New Roman"/>
          <w:b/>
          <w:color w:val="000000"/>
          <w:sz w:val="20"/>
        </w:rPr>
        <w:t>If we fail to comply with our obligations under license or technology agreements with third parties, we could lose license rights that are important to our business. If our third-party licensors fail to comply with the terms of our license arrangements, we may be forced to engage in litigation to protect our rights, which may not be 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license certain intellectual property, including technologies and patents, from third parties, that is important to our research and development efforts; and in the future we may enter into additional agreements that provide us with licenses to valuable intellectual property or technology. For example, our business is substantially dependent upon certain intellectual property rights that we license from ANP under the ANP License Agreement. Under the ANP License Agreement, ANP granted Fulgent Pharma LLC an exclusive, worldwide, royalty bearing, perpetual, irrevocable, and sublicensable license to certain rights in patents and patent applications under which we may develop and commercialize FID-007 and related formulations for human therapeutic, prophylactic, and diagnostic uses. Therefore, our commercial success will depend to a large extent on our ability to maintain and comply with our obligations under the ANP License Agreement. The ANP License Agreement provides ANP the right to terminate for an uncured breach by us, or if we are insolvent, the subject of a bankruptcy proceeding, or potentially other reasons. If ANP were to terminate the ANP License Agreement, the development and commercialization of FID-007 would be adversely affected, our potential for generating revenue from this program would be adversely affected and attracting new partners would be made more difficult. As a result, we would likely be subject to increased competition within our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other technology in-licenses that we may enter into in the future will contain similar provisions and impose similar obligations on us. If we fail to comply with any of the obligations under our license agreements, we may be required to pay damages and the licensor may have the right to terminate the license. Termination by the licensor could cause us to lose valuable rights, prevent us from continuing related research and development activities, or otherwise materially and negatively impact our business. If our licensors fail to abide by the terms of a license agreement, if they fail to enforce licensed intellectual property against infringing third parties, if the licensed intellectual property is found to be invalid or unenforceable, or if we are unable to enter into necessary license agreements on acceptable terms or at all, we may be forced to engage in litigation to enforce our rights. This litigation may not be successful and may consume substantial amounts of time and resources. These circumstances could have a material adverse effect on our business, development efforts,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Common Stock Risks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An active, liquid trading market for our common stock may not be sustained, which could make it difficult for stockholders to sell their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active trading market for our common stock may not be sustained. Further, Mr. Hsieh, our founder, Chief Executive Officer and Chairman of our board of directors, beneficially owns approximately 29% of our outstanding voting equity as of December 31, 2023. As a result, fewer shares are actively traded in the public market, which reduces the liquidity of our common stock. The lack of an active trading market could impair our stockholders’ ability to sell their shares at the desired time or at a price considered reasonable. Further, an inactive trading market may impair our ability to raise capital by selling shares of our common stock in the future, and may impair our ability to enter into strategic relationships or acquire companies or technologies using shares of our common stock as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is listed on the Nasdaq Global Market, or Nasdaq, under the symbol “FLGT.” If we fail to satisfy the continued listing standards of Nasdaq, however, we could be de-listed, which would negatively impact the price and liquidity of our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The price of our common stock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experienced, and may continue to experience, wide fluctuations and significant volatility. This volatility may be exacerbated by the relatively small and illiquid market for our common stock. Other factors that may contribute to this volatility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from existing tests or new tests that may emerge, particularly if competitive factors in our industry, including prices for testing and testing services, become more acute or the introduction of new products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failures to meet or exceed financial estimates and projections of the investment community or guidance we have provided to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 of new or updated research or reports by securities analysts or changed recommendations for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investments, strategic relationships,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our investments in our business and the market’s perception of these investments and their impact on our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laws or regulations applicable to our business or our tests;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when we are able to obtain marketing approval to market any of our drug candidates and the outcome of meetings with applicable regulatory agencies, including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success, costs and timing of preclinical studies and clinical trials for our current or future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any our drug candidates, if approved, to achieve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management or other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coverage and reimbursement by current or potential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obtain additional funding as and when needed on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with respect to our or others’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liability claims or other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political, industry and market conditions, including factors not directly related to our operating performance or the operating performance of our competitors, such as increased uncertainty in the U.S. regulatory environment for healthcare, trade and tax-related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events that affect, or have the potential to affect, general economic conditions, including but not limited to political unrest, global trade wars, natural disasters, act of war, terrorism, or disease outbreaks;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the other risk factors discussed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stock market in general, and the market for the stock of companies in the life sciences and technology industries in particular, has experienced extreme price and volume fluctuations in recent years that have, at times, been unrelated or disproportionate to the operating performance of specific companies. These broad market and industry factors may negatively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such company. This type of litigation, if instituted against us, could result in substantial costs, a diversion of our management’s attention and resources and could damage our reputation.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principal stockholders and management own a significant percentage of our capital stock and are able to exert significant control over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directors, beneficial owners of 5% or more of our outstanding voting equity and their respective affiliates collectively beneficially own approximately 45% of our outstanding voting equity as of December 31, 2023, and of this, Mr. Hsieh, our founder, Chief Executive Officer and Chairman of our board of directors, by himself beneficially owns approximately 29% of our outstanding voting equity as of December 31, 2023. As a result, these stockholders have the ability to control matters submitted to our stockholders for approval, including elections of directors, amendments to our organizational documents or approval of any merger, sale of assets or other major corporate transaction. This concentration of ownership may prevent or discourage unsolicited acquisition proposals or offers to acquire our common stock that some of our stockholders feel are in their best interests, as the interests of these stockholders may not coincide with the interests of our other stockholders and they may act in a manner that advances their best interests and not necessarily those of all of our stockholders. Further, this concentration of ownership could adversely affect the prevailing market price for our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Sales of a substantial number of shares of our common stock in the public market, or the perception that such sales could occur, could cause the price of our common stock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Any such sales, or the perception in the market that sales are pending or could occur, could reduce the market price of our common stock. The vast majority of the outstanding shares of our common stock are freely tradable without restriction in the public market, subject to certain volume and manner of sale limitations applicable to shares held by our affiliates, as that term is defined in the Securities Act. In addition, subject to similar limitations and any other applicable legal and contractual limitations, all of the shares of our common stock subject to outstanding equity-based awards or reserved for issuance pursuant to such awards we may grant in the future are registered under the Securities Act or are otherwise eligible under applicable securities laws for free trading in the public market upon their issuance.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Future issuances of our common stock or rights to purchase our common stock, including pursuant to our equity incentive plan, could result in additional dilution to the percentage ownership of our stockholders and could cause the price of our common stock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raise capital or for other strategic purposes, we may sell common stock, convertible securities or other equity securities in one or more transactions at prices and in a manner we determine from time to time. We also may issue common stock or grant other equity awards for compensatory purposes under our equity incentive plan. If we issue common stock, convertible securities or other equity securities, including equity awards under our equity incentive plan, our then-existing stockholders could be materially diluted by such issuances and, if we otherwise issue preferred stock, new investors could gain rights, preferences and privileges senior to the holders of our common stock, any of which could cause the price of our common stock to decline.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do not intend to pay dividends on our common stock, so any returns will be limited to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anticipate that we will retain any future earnings to finance the continued development, operation and expansion of our business. As a result, we do not anticipate declaring or paying any cash dividends or other distributions in the foreseeable future. Further, if we were to enter into a credit facility or issue debt securities or preferred stock in the future, we may become contractually restricted from paying dividends. If we do not pay dividends, our common stock may be less valuable because stockholders must rely on sales of their common stock after price appreciation, which may never occur, to realize any gains on their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If securities or industry analysts do not publish research or reports about our business or if they issue an adverse or misleading opinion regarding our common stock,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industry or securities analysts publish about us or our business. If one or more of these analysts ceases coverage of us or fails to publish reports on us regularly, we could lose visibility in the financial markets, which could cause the price and trading volume of our common stock to decline. Further, if any of these analysts issues an adverse or misleading opinion regarding us, our business model, our industry or our stock performance or if our operating results fail to meet analyst expectations, the price of our common stock could also decline.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Provisions in our charter documents and Delaware law could discourage, delay or prevent a change in control of our company or changes in our management and depress the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and bylaws contain provisions that could depress the market price of our common stock by acting to discourage, delay or prevent a change in control of our company or changes in our management that our stockholders may deem advantageous. These provisions,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without further action by our stockholders, up to 1.0 million shares of undesignated or “blank check” preferred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 thus requiring all stockholder actions to be taken at a duly noticed and held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Chairman of our board of directors or our President, thereby eliminating the ability of our stockholders to call special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only our board of directors to establish the number of directors and fill vacancies on the board of directors, except as may be required by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our board of directors to amend our bylaws, subject to the power of our stockholders to repeal any such amendment;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 not permit cumulative voting by our stockholders on the election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stockholders to propose nominees for election as directors or matters to be acted upon at annual meetings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are subject to Section 203 of the Delaware General Corporation Law, or DGCL, which imposes certain restrictions on mergers, business combinations and other transactions between us and holders of 15% or more of our common stock. Section 203 may have the effect of discouraging, delaying or preventing a change in control of our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Holders of our common stock could be adversely affected if we issue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our certificate of incorporation, our board of directors is authorized to issue up to 1.0 million shares of preferred stock without any action by our stockholders. Our board of directors also has the power, without stockholder approval, to set the terms of any series of preferred stock that may be issued, among others, including voting rights, dividend rights and preferences over our common stock with respect to dividends or in the event of a dissolution, liquidation or winding up. If we issue preferred stock in the future that has preferences over our common stock with respect to payment of dividends or upon a liquidation, dissolution or winding up, or if we issue preferred stock that is convertible into our common stock at greater than a one-to-one ratio, the voting and other rights of the holders of our common stock and the market price of our common stock could be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certificate of incorporation designates the Court of Chancery of the State of Delaware as the sole and exclusive forum for certain types of actions and proceedings that may be initiated by our stockholders, which could limit our stockholders’ ability to obtain a judicial forum they consider favorable for disputes with us or our directors, officers or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and bylaws provide that, unless we consent in writing to the selection of an alternative forum, the Court of Chancery of the State of Delaware shall be the sole and exclusive forum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derivative action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direct action brought by a stockholder against us or any of our directors, officers or other employees, alleging a breach of a fiduciary duty;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brought by a stockholder against us or any of our directors, officers or other employees, alleging a violation of the DGCL, our certificate of incorporation or our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brought by a stockholder against us or any of our directors, officers or other employees, asserting a claim against us governed by the internal affairs doctrine.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refer to the forgoing limitations as the Exclusive Forum Provisions. The Exclusive Forum Provisions do not apply to (i) actions in which the Court of Chancery in the State of Delaware concludes that an indispensable party is not subject to the jurisdiction of the Delaware courts, and (ii) actions in which a federal court has assumed exclusive jurisdiction of a proceeding.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the Exclusive Forum Provisions do not apply to actions brought to enforce a duty or liability created by the Exchange Act or the rules and regulations thereunder, or Exchange Act Claims. Further, the clause in our certificate of incorporation excepting “actions in which a federal court has assumed exclusive jurisdiction of a proceeding” from the Exclusive Forum Provisions is not intended to mean that a federal court must take any actual or affirmative action to assume jurisdiction over an Exchange Act Claim, as Section 27 of the Exchange Act creates exclusive federal jurisdiction over all Exchange Act Claims, regardless of whether a federal court takes any action. The Exclusive Forum Provisions also do not apply to federal and state suits brought to enforce any duty or liability created by the Securities Act or the rules and regulations thereunder, or Securities Act Claims. To the extent applicable or enforceable, the Exclusive Forum Provisions may limit a stockholder’s ability to bring a claim in a judicial forum it finds favorable for disputes with us or our directors, officers or other employees, which may discourage these lawsuits. Alternatively, for Securities Act Claims, Exchange Act Claims or claims for which a court were to find these Exclusive Forum Provisions inapplicable or unenforceable for one or more of the specified types of actions or proceedings, we may incur additional costs associated with resolving these matters in other jurisdictions, which could adversely affect our business, financial condition or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bookmarkStart w:id="6" w:name="item_1b_unresolved_staff_comments"/>
      <w:bookmarkEnd w:id="6"/>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7" w:name="item_1c_cybersecurity"/>
      <w:bookmarkEnd w:id="7"/>
      <w:r>
        <w:rPr>
          <w:rFonts w:ascii="Times New Roman" w:hAnsi="Times New Roman"/>
          <w:b/>
          <w:color w:val="000000"/>
          <w:sz w:val="20"/>
        </w:rPr>
        <w:t>Item 1C.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the critical importance of maintaining the trust and confidence of customers, clients, patients, business partners, and employees toward our business and are committed to protecting the confidentiality, integrity, and availability of our business operations and systems. Our board of directors is actively involved in oversight of our risk management activities, and cybersecurity represents an important element of our overall approach to risk management. Our cybersecurity policies, standards, processes, procedures, and practices are based on recognized frameworks established by the National Institute of Standards and Technology, or NIST and other applicable industry standards. In general, we seek to address cybersecurity risks through a comprehensive, cross-functional approach that is focused on preserving the confidentiality, security, integrity, and availability of the information that we collect and store by identifying, preventing, and mitigating cybersecurity threats and effectively responding to cybersecurity incidents when they occur.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Management and Strategy; Effect of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and regular oversight of our programs for security monitoring for internal and external threats to ensure the confidentiality and integrity of our information assets. We consider risks from cybersecurity threats alongside other company risks as part of our overall risk assessment process. We employ a range of tools and services, including regular network and endpoint monitoring, vulnerability assessments, penetration testing, threat monitoring and tabletop exercises to inform our risk identification and assessment.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identify our cybersecurity threat risks by comparing our processes to standards set by NIST and Center for Internet Security, as well as by engaging experts to attempt to infiltrate our information systems. To provide for the availability of critical data and systems, maintain regulatory compliance, manage our material risks from cybersecurity threats, and protect against and respond to cybersecurity incidents, we also perform periodic risk assessments, which includes cybersecurity risks, monitor emerging data protection laws and implement changes to our processes that are designed to comply with such laws; through our policies, practices, and/or contracts (as applicable), require employees and certain third parties to treat confidential information and data with care; periodically update our relevant policies and procedures; 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 provide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regular, mandatory training for our employees regarding cybersecurity threats as a means to equip them with effective tools and knowledge necessary to identify or address cybersecurity threats and to communicate our evolving information security policies, standards, processes and practices; conduct regular phishing email simulations to enhance awareness and responsiveness to possible threats; conduct annual cybersecurity training for our board of directors and senior management; run tabletop exercises to simulate a response to a cybersecurity incident and use the findings to improve our processes and technologies; leverage the NIST incident handling framework to help us identify, protect, detect, respond, and recover when there is an actual or potential cybersecurity incident; engage consultants to help us oversee and manage cybersecurity risks, processes, and incident response measures; and carry information security risk insurance that provides protection against the potential losses arising from a cybersecurity incident.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incident response plan outlines and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 Our incident response plan further outlines the roles and responsibilities of various employees, managers, and senior leadership with respect to performing a materiality assessment and responding to cybersecurity events that are deemed material, as well as provides rapid escalation procedures after a cybersecurity incident. In the event of an incident, we intend to follow our incident response plan, which outlines the steps to be followed from incident detection to mitigation, recovery, and notification, including notifying functional areas (e.g. legal), as well as senior leadership and our board of directors, as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cyber risk management program is integrated within the Company’s enterprise risk management system and addresses both the corporate information technology environment and customer-facing products and services. The risk management program is focused on safeguarding the organization's digital assets, ensuring continuous business operations, and minimizing the potential impact of cyber threats. Regular assessments, including penetration tests, are performed. These inputs form the basis of a risk register that is integrated into the overall enterprise risk management program to further inform the Company’s strategy assessing the likelihood, impact, and velocity of these risks on a forward-looking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above processes, we regularly engage with consultants, and other third parties, review our cybersecurity program to help identify areas for continued focus, improvement, and compliance. We engage them, specifically, to assist us with cybersecurity risk assessments, external threat environment reviews, internal cybersecurity policy compliance and near-term incident response. Our processes also address cybersecurity threat risks associated with our use of third-party service providers, including our key suppliers, which have access to consumer, patient, and employee data or our systems. In addition, cybersecurity considerations affect the selection and oversight of our third-party service providers. We periodically perform diligence on certain third parties that have access to our systems, data, or facilities that house such systems or data; and we monitor cybersecurity threat risks identified through such diligence.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“Actual or attempted security incidents or breaches, loss of data, or other disruptions could expose us to material liability and materially and adversely affect our business, financial condition, and our reputation,” which disclosures are incorporated by reference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last three fiscal years, we have not experienced any material cybersecurity incidents. As of the date of this report, we do not believe that risks from any cybersecurity threats, including as a result of any previous cybersecurity incidents, have materially affected or are reasonably likely to affect us, including our business strategy, results of operations or financial condition. However, these threats pose a risk to the security of our systems and networks and the confidentiality, availability, and integrity of our data. Cybersecurity attacks could also include attacks targeting patient, employee, or customer data or the security, integrity, and/or reliability of the hardware and software we utilize in our business operations. It is possible that our information technology systems and networks, or those managed or provided by third parties, could have vulnerabilities, which could go unnoticed for a period of time. While various procedures and controls have been and are being utilized to mitigate such risks, there can be no guarantee that the actions and controls we have implemented and are implementing will be sufficient to protect and mitigate associated risks to our systems, information, or other property. For more information, see the risk factors included in Item 1A of this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date of this report, we do not believe that risks from any cybersecurity threats as a result of any previous cybersecurity incidents, have materially affected or are reasonably likely to affect us, including our business strategy, results of operations or financial condition. However, we are aware that changes in our IT systems, including those provided by third parties, could expose us to risk in the future. We cannot guarantee that controls we will implement to mitigate this risk will eliminate it. See Item 1A of this Annual Report for discussion of this risk.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Cybersecurity Governance;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is an important part of our risk management processes and an area of focus for our board of directors and management. In general, our board of directors oversees risk management activities designed and implemented by our management and considers specific risks, including, for example, risks associated with our strategic plan, business operations, and capital structure. Our board of directors executes its oversight responsibility for risk management both directly and through delegating oversight of certain of these risks to its committees, and our board of directors has authorized our audit committee to oversee risks from cybersecurity threats.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least quarterly, our board of directors receives an update from management of our cybersecurity threat risk management and strategy processes, covering topics such as data security posture, any results from third-party assessments, progress towards pre-determined risk-mitigation-related goals, our incident response plan, material cybersecurity threat risks or incidents and developments, as well as the steps management has taken to respond to such risks. In such sessions, our board of directors generally receives materials that include a cybersecurity dashboard and/or other materials discussing current and emerging material cybersecurity threat risks and describing our ability to mitigate those risks, as well as recent developments, evolving standards, technological developments, and information security considerations arising with respect to our peers and third parties, and discusses such matters with our Chief Information Security Officer and/or General Counsel and Chief Privacy Officer. Our board of directors also receive prompt and timely information regarding any cybersecurity incident that meets established reporting thresholds, as well as ongoing updates regarding any such incident until it has been addressed.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Members of board of directors are also encouraged to regularly engage in conversations with management on cybersecurity-related news and events and discuss any updates to our cybersecurity risk management and strategy programs. Material cybersecurity threat risks are also considered during separate board meeting discussions of important matters like enterprise risk management, operational budgeting, business continuity planning, mergers and acquisitions, brand management, and other relevant matters. Our Chief Information Security Officer advises our Board on the specific vulnerabilities we identified and the controls we put in place to mitigate our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cybersecurity program is managed by a dedicated team, which is led by our Chief Information Security Officer, (CISO who reports to the Chief Operating Officer and has to the ability to communicate directly to our CEO if necessary. Our CISO has over 20 years of IT experience, including over 18 years of cybersecurity experience, holds an M.S. degree in Information Security, and is a Certified Information Systems Security Professional (CISSP). As discussed above, our CISO and/or General Counsel and Chief Privacy Officer report to our board of directors about cybersecurity threat risks, among other cybersecurity related matters, on a quarterly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cybersecurity risk management and data strategy processes are further overseen by management team members.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Such individuals have extensive prior work experience in various roles involving managing information security, developing cybersecurity strategy, implementing effective information and cybersecurity programs, as well as several relevant degrees and certifications. </w:t>
      </w:r>
    </w:p>
    <w:p>
      <w:pPr>
        <w:pStyle w:val="TextBody"/>
        <w:bidi w:val="0"/>
        <w:spacing w:before="360" w:after="283"/>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headquarters and laboratory operations are located in El Monte, California, where we own and occupy 61,612 square feet of building space situated on 2.6 acres of land. We have built a CLIA-certified laboratory at this location. We use these facilities for laboratory testing and management activities and certain research and development, administrative and other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CLIA-certified laboratories located in Irving, Texas; Alpharetta, Georgia; Phoenix, Arizona; Needham, Massachusetts; and New York, New York. In Irving, Texas, we lease and occupy approximately 172,000 square feet under a lease that will expire in May 2024. In Alpharetta, Georgia, we lease and occupy approximately 65,000 square feet under a lease that will expire in March 2028. In Phoenix, Arizona, we lease and occupy approximately 25,000 square feet under a lease that will expire in November 2025. In Needham, Massachusetts, we lease and occupy approximately 21,000 square feet under a lease that will expire in September 2027. In New York, New York, we lease and occupy approximately 400 square feet under a lease that will expire in September 2024. We use these facilities for laboratory testing and certain administrative and other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own another real property located in Coppel, Texas, which consists of approximately 96,500 square feet of building space situated on 6.8 acres of land. We are building a CLIA-certified laboratory at this location. We believe our existing facilities are adequate for our current and expected near-term needs and additional space would be available on commercially reasonable terms if required.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From time to time, we may be involved in legal proceedings arising in the ordinary course of our business. As disclosed in Note 8, </w:t>
      </w:r>
      <w:r>
        <w:rPr>
          <w:rFonts w:ascii="Times New Roman" w:hAnsi="Times New Roman"/>
          <w:i/>
          <w:color w:val="000000"/>
          <w:sz w:val="20"/>
        </w:rPr>
        <w:t>Debt, Commitments and Contingencies</w:t>
      </w:r>
      <w:r>
        <w:rPr>
          <w:rFonts w:ascii="Times New Roman" w:hAnsi="Times New Roman"/>
          <w:color w:val="000000"/>
          <w:sz w:val="20"/>
        </w:rPr>
        <w:t xml:space="preserve"> to the Consolidated Financial Statements, we are engaged in certain legal investigations, audits and voluntary disclosure processes, and the disclosure set forth in Note 8 relating to these certain legal matters is incorporated herein by reference.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outcome of these matters are inherently uncertain, and there can be no assurances that a favorable outcome will be obtained.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Regardless of outcome, litigation can have an adverse impact on us due to defense and settlement costs, diversion of management resources, negative publicity and reputational harm, among other factors.</w:t>
      </w:r>
    </w:p>
    <w:p>
      <w:pPr>
        <w:pStyle w:val="TextBody"/>
        <w:bidi w:val="0"/>
        <w:spacing w:before="360" w:after="283"/>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b/>
          <w:color w:val="000000"/>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29, 2016, our common stock was listed for trading on Nasdaq under the symbol “FLGT.” There was no public market for our common stock prior to September 29, 2016.</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1, 2024, there were 14 holders of record of our common stock, plus an indeterminate number of additional stockholders whose shares of our common stock are held on their behalf by brokerage firms or other agents.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sz w:val="20"/>
        </w:rPr>
      </w:pPr>
      <w:r>
        <w:rPr>
          <w:rFonts w:ascii="Times New Roman" w:hAnsi="Times New Roman"/>
          <w:color w:val="000000"/>
          <w:sz w:val="20"/>
        </w:rPr>
        <w:t>We currently anticipate that we will retain any future earnings to finance the continued development, operation and expansion of our business. As a result, we do not anticipate declaring or paying any cash dividends or other distributions in the foreseeable future. Any determination to pay dividends would be at the discretion of our board of directors and would depend on our results of operation, financial condition and other factors that our board of directors, in its discretion, considers relevant</w:t>
      </w:r>
      <w:r>
        <w:rPr>
          <w:rFonts w:ascii="Times New Roman" w:hAnsi="Times New Roman"/>
          <w:b/>
          <w:color w:val="000000"/>
          <w:sz w:val="20"/>
        </w:rPr>
        <w:t>.</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Use of Proceeds from Registered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used $146.7 million of the net proceeds from sales of our common stock, of which, $4.5 million was used for contributions to FF Gene Biotech prior to the FF Gene Biotech Acquisition, $126.4 million was used to fund the Company’s operation and a business combination, and $15.8 million was used to pay off the investment margin loan. All other net proceeds from sales of our common stock are invested in investment-grade and interest-bearing securities, such as corporate bonds, municipal bonds, and U.S. government and U.S. agency debt securities. There has been no material change in the planned use of proceeds from the sales of our common stock from that described in the Prospectus.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Common Stock 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 compares the cumulative total stockholder return, calculated on a dividend-reinvested basis, in Fulgent's Common Stock, the NASDAQ Composite Index, and the NASDAQ Biotechnology Index for the five years ended December 31, 2023. The comparison assumes that $100 was invested in the Company’s common stock, the NASDAQ Composite Index, and the NASDAQ Biotechnology Index as of the market close on December 31, 2018. Note that historic stock price performance is not necessarily indicative of future stock price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5324475" cy="44958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324475" cy="4495800"/>
                    </a:xfrm>
                    <a:prstGeom prst="rect">
                      <a:avLst/>
                    </a:prstGeom>
                  </pic:spPr>
                </pic:pic>
              </a:graphicData>
            </a:graphic>
          </wp:inline>
        </w:drawing>
      </w: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Information on Share Repurchases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common stock repurchased by the Company during the year ended December 31, 2023 and the average price paid per share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7"/>
        <w:gridCol w:w="146"/>
        <w:gridCol w:w="200"/>
        <w:gridCol w:w="1279"/>
        <w:gridCol w:w="146"/>
        <w:gridCol w:w="146"/>
        <w:gridCol w:w="331"/>
        <w:gridCol w:w="895"/>
        <w:gridCol w:w="146"/>
        <w:gridCol w:w="146"/>
        <w:gridCol w:w="310"/>
        <w:gridCol w:w="1982"/>
        <w:gridCol w:w="146"/>
        <w:gridCol w:w="146"/>
        <w:gridCol w:w="381"/>
        <w:gridCol w:w="2063"/>
        <w:gridCol w:w="195"/>
      </w:tblGrid>
      <w:tr>
        <w:trPr/>
        <w:tc>
          <w:tcPr>
            <w:tcW w:w="1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 Price Paid Per Share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 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 Maximum Dollar Value that May Yet Be Purchased Under the Plans or Programs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2022 (5/1/2022 - 5/31/2022)</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12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9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248,515,000</w:t>
            </w:r>
          </w:p>
        </w:tc>
        <w:tc>
          <w:tcPr>
            <w:tcW w:w="195" w:type="dxa"/>
            <w:tcBorders/>
            <w:shd w:fill="CFF0FC" w:val="clear"/>
            <w:vAlign w:val="center"/>
          </w:tcPr>
          <w:p>
            <w:pPr>
              <w:pStyle w:val="TableContents"/>
              <w:bidi w:val="0"/>
              <w:spacing w:before="0" w:after="283"/>
              <w:jc w:val="left"/>
              <w:rPr/>
            </w:pPr>
            <w:r>
              <w:rPr/>
              <w:t> </w:t>
            </w:r>
          </w:p>
        </w:tc>
      </w:tr>
      <w:tr>
        <w:trPr/>
        <w:tc>
          <w:tcPr>
            <w:tcW w:w="15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2022 (6/1/2022 - 6/30/2022)</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9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239,429,000</w:t>
            </w:r>
          </w:p>
        </w:tc>
        <w:tc>
          <w:tcPr>
            <w:tcW w:w="195" w:type="dxa"/>
            <w:tcBorders/>
            <w:shd w:fill="FFFFFF" w:val="clear"/>
            <w:vAlign w:val="center"/>
          </w:tcPr>
          <w:p>
            <w:pPr>
              <w:pStyle w:val="TableContents"/>
              <w:bidi w:val="0"/>
              <w:spacing w:before="0" w:after="283"/>
              <w:jc w:val="left"/>
              <w:rPr/>
            </w:pPr>
            <w:r>
              <w:rPr/>
              <w:t> </w:t>
            </w:r>
          </w:p>
        </w:tc>
      </w:tr>
      <w:tr>
        <w:trPr/>
        <w:tc>
          <w:tcPr>
            <w:tcW w:w="15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2022 (8/1/2022 - 8/31/2022)</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12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9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227,657,000</w:t>
            </w:r>
          </w:p>
        </w:tc>
        <w:tc>
          <w:tcPr>
            <w:tcW w:w="195" w:type="dxa"/>
            <w:tcBorders/>
            <w:shd w:fill="CFF0FC" w:val="clear"/>
            <w:vAlign w:val="center"/>
          </w:tcPr>
          <w:p>
            <w:pPr>
              <w:pStyle w:val="TableContents"/>
              <w:bidi w:val="0"/>
              <w:spacing w:before="0" w:after="283"/>
              <w:jc w:val="left"/>
              <w:rPr/>
            </w:pPr>
            <w:r>
              <w:rPr/>
              <w:t> </w:t>
            </w:r>
          </w:p>
        </w:tc>
      </w:tr>
      <w:tr>
        <w:trPr/>
        <w:tc>
          <w:tcPr>
            <w:tcW w:w="15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2022 (9/1/2022 - 9/30/2022)</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9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204,752,000</w:t>
            </w:r>
          </w:p>
        </w:tc>
        <w:tc>
          <w:tcPr>
            <w:tcW w:w="195" w:type="dxa"/>
            <w:tcBorders/>
            <w:shd w:fill="FFFFFF" w:val="clear"/>
            <w:vAlign w:val="center"/>
          </w:tcPr>
          <w:p>
            <w:pPr>
              <w:pStyle w:val="TableContents"/>
              <w:bidi w:val="0"/>
              <w:spacing w:before="0" w:after="283"/>
              <w:jc w:val="left"/>
              <w:rPr/>
            </w:pPr>
            <w:r>
              <w:rPr/>
              <w:t> </w:t>
            </w:r>
          </w:p>
        </w:tc>
      </w:tr>
      <w:tr>
        <w:trPr/>
        <w:tc>
          <w:tcPr>
            <w:tcW w:w="15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2022 (10/1/2022 - 10/31/2022)</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12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9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195,661,000</w:t>
            </w:r>
          </w:p>
        </w:tc>
        <w:tc>
          <w:tcPr>
            <w:tcW w:w="195" w:type="dxa"/>
            <w:tcBorders/>
            <w:shd w:fill="CFF0FC" w:val="clear"/>
            <w:vAlign w:val="center"/>
          </w:tcPr>
          <w:p>
            <w:pPr>
              <w:pStyle w:val="TableContents"/>
              <w:bidi w:val="0"/>
              <w:spacing w:before="0" w:after="283"/>
              <w:jc w:val="left"/>
              <w:rPr/>
            </w:pPr>
            <w:r>
              <w:rPr/>
              <w:t> </w:t>
            </w:r>
          </w:p>
        </w:tc>
      </w:tr>
      <w:tr>
        <w:trPr/>
        <w:tc>
          <w:tcPr>
            <w:tcW w:w="15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2022 (11/1/2022 - 11/30/2022)</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9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187,276,000</w:t>
            </w:r>
          </w:p>
        </w:tc>
        <w:tc>
          <w:tcPr>
            <w:tcW w:w="195" w:type="dxa"/>
            <w:tcBorders/>
            <w:shd w:fill="FFFFFF" w:val="clear"/>
            <w:vAlign w:val="center"/>
          </w:tcPr>
          <w:p>
            <w:pPr>
              <w:pStyle w:val="TableContents"/>
              <w:bidi w:val="0"/>
              <w:spacing w:before="0" w:after="283"/>
              <w:jc w:val="left"/>
              <w:rPr/>
            </w:pPr>
            <w:r>
              <w:rPr/>
              <w:t> </w:t>
            </w:r>
          </w:p>
        </w:tc>
      </w:tr>
      <w:tr>
        <w:trPr/>
        <w:tc>
          <w:tcPr>
            <w:tcW w:w="15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2022 (12/1/2022 - 12/31/2022)</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12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9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175,718,000</w:t>
            </w:r>
          </w:p>
        </w:tc>
        <w:tc>
          <w:tcPr>
            <w:tcW w:w="195" w:type="dxa"/>
            <w:tcBorders/>
            <w:shd w:fill="CFF0FC" w:val="clear"/>
            <w:vAlign w:val="center"/>
          </w:tcPr>
          <w:p>
            <w:pPr>
              <w:pStyle w:val="TableContents"/>
              <w:bidi w:val="0"/>
              <w:spacing w:before="0" w:after="283"/>
              <w:jc w:val="left"/>
              <w:rPr/>
            </w:pPr>
            <w:r>
              <w:rPr/>
              <w:t> </w:t>
            </w:r>
          </w:p>
        </w:tc>
      </w:tr>
      <w:tr>
        <w:trPr/>
        <w:tc>
          <w:tcPr>
            <w:tcW w:w="15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2023 (9/1/2023-9/30/2023)</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9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173,522,000</w:t>
            </w:r>
          </w:p>
        </w:tc>
        <w:tc>
          <w:tcPr>
            <w:tcW w:w="195" w:type="dxa"/>
            <w:tcBorders/>
            <w:shd w:fill="FFFFFF" w:val="clear"/>
            <w:vAlign w:val="center"/>
          </w:tcPr>
          <w:p>
            <w:pPr>
              <w:pStyle w:val="TableContents"/>
              <w:bidi w:val="0"/>
              <w:spacing w:before="0" w:after="283"/>
              <w:jc w:val="left"/>
              <w:rPr/>
            </w:pPr>
            <w:r>
              <w:rPr/>
              <w:t> </w:t>
            </w:r>
          </w:p>
        </w:tc>
      </w:tr>
      <w:tr>
        <w:trPr/>
        <w:tc>
          <w:tcPr>
            <w:tcW w:w="15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2023 (10/1/2023-10/31/2023)</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12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9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159,864,000</w:t>
            </w:r>
          </w:p>
        </w:tc>
        <w:tc>
          <w:tcPr>
            <w:tcW w:w="195" w:type="dxa"/>
            <w:tcBorders/>
            <w:shd w:fill="CFF0FC" w:val="clear"/>
            <w:vAlign w:val="center"/>
          </w:tcPr>
          <w:p>
            <w:pPr>
              <w:pStyle w:val="TableContents"/>
              <w:bidi w:val="0"/>
              <w:spacing w:before="0" w:after="283"/>
              <w:jc w:val="left"/>
              <w:rPr/>
            </w:pPr>
            <w:r>
              <w:rPr/>
              <w:t> </w:t>
            </w:r>
          </w:p>
        </w:tc>
      </w:tr>
      <w:tr>
        <w:trPr/>
        <w:tc>
          <w:tcPr>
            <w:tcW w:w="15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2023 (11/1/2023-11/30/2023)</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9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153,875,000</w:t>
            </w:r>
          </w:p>
        </w:tc>
        <w:tc>
          <w:tcPr>
            <w:tcW w:w="195" w:type="dxa"/>
            <w:tcBorders/>
            <w:shd w:fill="FFFFFF" w:val="clear"/>
            <w:vAlign w:val="center"/>
          </w:tcPr>
          <w:p>
            <w:pPr>
              <w:pStyle w:val="TableContents"/>
              <w:bidi w:val="0"/>
              <w:spacing w:before="0" w:after="283"/>
              <w:jc w:val="left"/>
              <w:rPr/>
            </w:pPr>
            <w:r>
              <w:rPr/>
              <w:t> </w:t>
            </w:r>
          </w:p>
        </w:tc>
      </w:tr>
      <w:tr>
        <w:trPr/>
        <w:tc>
          <w:tcPr>
            <w:tcW w:w="15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2023 (12/1/2023-12/31/2023)</w:t>
            </w:r>
          </w:p>
        </w:tc>
        <w:tc>
          <w:tcPr>
            <w:tcW w:w="146" w:type="dxa"/>
            <w:tcBorders/>
            <w:shd w:fill="CFF0FC" w:val="cle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150,686,000</w:t>
            </w:r>
          </w:p>
        </w:tc>
        <w:tc>
          <w:tcPr>
            <w:tcW w:w="195" w:type="dxa"/>
            <w:tcBorders/>
            <w:shd w:fill="CFF0FC" w:val="clear"/>
            <w:vAlign w:val="center"/>
          </w:tcPr>
          <w:p>
            <w:pPr>
              <w:pStyle w:val="TableContents"/>
              <w:bidi w:val="0"/>
              <w:spacing w:before="0" w:after="283"/>
              <w:jc w:val="left"/>
              <w:rPr/>
            </w:pPr>
            <w:r>
              <w:rPr/>
              <w:t> </w:t>
            </w:r>
          </w:p>
        </w:tc>
      </w:tr>
      <w:tr>
        <w:trPr/>
        <w:tc>
          <w:tcPr>
            <w:tcW w:w="15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4"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Includes commissions for the shares repurchased under the stock repurchase program.</w:t>
      </w:r>
    </w:p>
    <w:p>
      <w:pPr>
        <w:pStyle w:val="TextBody"/>
        <w:bidi w:val="0"/>
        <w:spacing w:before="360" w:after="283"/>
        <w:jc w:val="left"/>
        <w:rPr>
          <w:rFonts w:ascii="Times New Roman" w:hAnsi="Times New Roman"/>
          <w:b/>
          <w:color w:val="000000"/>
          <w:sz w:val="20"/>
        </w:rPr>
      </w:pPr>
      <w:bookmarkStart w:id="13" w:name="item_6_reserved"/>
      <w:bookmarkEnd w:id="13"/>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_7_managements_discussion_analysis_f"/>
      <w:bookmarkEnd w:id="14"/>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center"/>
        <w:rPr>
          <w:rFonts w:ascii="Times New Roman" w:hAnsi="Times New Roman"/>
          <w:b/>
          <w:i/>
          <w:color w:val="000000"/>
          <w:sz w:val="20"/>
        </w:rPr>
      </w:pPr>
      <w:r>
        <w:rPr>
          <w:rFonts w:ascii="Times New Roman" w:hAnsi="Times New Roman"/>
          <w:b/>
          <w:i/>
          <w:color w:val="000000"/>
          <w:sz w:val="20"/>
        </w:rPr>
        <w:t>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consolidated financial statements and related notes included in this report and contains forward-looking statements within the meaning of Section 27A of the Securities Act and Section 21E of the Exchange Act. We have omitted discussion of 2021 results where it would be redundant to the discussion previously included in Item 7 of our 2022 Annual Report on Form 10-K.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 of this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technology-based company with a well-established laboratory services business and a therapeutic development business. Our laboratory services business—to which we formerly referred as our clinical diagnostic business, includes technical laboratory services and professional interpretation of laboratory results by licensed physicians. Our therapeutic development business is focused on developing drug candidates for treating a broad range of cancers using a novel nanoencapsulation and targeted therapy platform designed to improve the therapeutic window and pharmacokinetic profile, or PK profile, of new and existing cancer drugs.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recorded revenue and net (loss) from operations of $289.2 million and ($167.8 million), respectively, in 2023, compared to revenue and net income from operations of $619.0 million and $143.4 million, respectively, in 2022.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2023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2023, we launched new Beacon787 expanded carrier screening panel. Beacon787 includes a total of 787 genes associated with autosomal recessive and X-linked conditions. Included in this panel are all of the American College of Medical Genetics and Genomics, or ACMG, tier 3 genes, which ACMG published in their latest practice guideline for carrier screening, recommending that all pregnant patients and those planning a pregnancy be offered this set of genes as an equitable, pan-ethnic screening approach. The ACMG list includes genes with carrier frequency of &gt;1/200 for autosomal recessive conditions and disease prevalence of &gt;1/40,000 for X-linked conditions. Leveraging our proprietary platform and informatics, Beacon787 frequently excels as it relates to analytical detection rates, ability to discern pseudogenes, and reliable copy number calls. This was an important product launch for us and a big step forward in carrier screening. Carrier screening assesses the risk for individuals and couples to pass on certain genetic conditions to their children. This testing is for women or couples who are currently expecting, considering pregnancy, or planning to become pregnant in the future. Most often, carriers for these conditions do not have symptoms or a positive family history of disease. Carrier screening can identify these otherwise unknown risks and allow patients to make informed decisions about family planning. The American College of Obstetricians and Gynecologists, ACOG, recommends offering carrier screening to all women who are considering pregnancy, regardless of ethnicity or family history.</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Mix of Tests Delivered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offer our tests at different price points, and we incur different amounts and types of costs, depending on the nature and level of complexity and customization of the test and the specific terms we have negotiated for the tests, which can vary from customer to customer. As a result, the mix of tests delivered in any period, and the customers that order these tests, impacts our financial results for the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Mix of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 each single billing and paying unit to be an individual customer, even though a unit may represent multiple physicians and healthcare providers ordering tests. The composition and concentration of our customer base can fluctuate from period to period, and in certain prior periods, a small number of customers have accounted for a significant portion of our revenue. Generally, we do not have long-term purchase agreements with any of our customers, including these key customers, and, as result, any or all of them could decide at any time to increase, accelerate, decrease, delay or discontinue their orders from us. Although we believe some of these fluctuations in customer demand may be attributable in part to the nature of our business, in which our customers can experience significant volatility in their testing demand from period to period in the ordinary course of their operations, these demand fluctuations, particularly for our key customers, can have a significant impact on our period-to-period performance regardless of their cause.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classify our customers into three payor types: (i) Insurance, (ii) Institutional, including hospitals, medical institutions, other laboratories, governmental bodies, municipalities and large corporations or (iii) Patients who pay directly. Typically, we bill our Institutional customers for our tests, and they are responsible for paying us directly and billing their patients separately or obtaining reimbursement from third-party payors in connection with a patient’s diagnosis related group. A small percentage of our customers are patients, who elect to pay for tests themselves with out-of-pocket payments after their physicians have ordered our tests.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making efforts to diversify our customer market, including building relationships with hospitals and affiliated specialties related to our service offerings. We are also pursuing relationships with payors, including Medicare, some state Medicaid programs, and commercial payors, in an effort to obtain coverage and reimbursement for our tests to make them accessible to more individual physicians. Generally, when we establish these new customer relationships, we agree with the applicable payor, laboratory, or other customer to provide certain of our tests at negotiated rates, but, subject to limited exceptions, most of these relationships do not obligate any party to order our tests at any agreed volume or frequency or at all. Further, any relationships we may develop with any government agencies are subject to unique risks associated with government contracts, including cancellation if adequate appropriations for subsequent performance periods are not made and modification or termination at the government’s convenience without prior notice. These efforts may not lead to meaningful or any increases in our customer base and may not improve our ability to achieve or sustain profitability.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Ability to Maintain Our Broad and Flexible Test Menu</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believe the large number of genes we incorporate into our test menu provides a meaningful competitive advantage. We believe the breadth of genes in our portfolio allows us to provide more comprehensive genetic information and improves our variant detection rate, which can increase the clinical actionability of the data we produce. The breadth of genes in our portfolio also allows us to offer hundreds of pre-established, multi-gene panels that focus on specified genetic conditions, including our </w:t>
      </w:r>
      <w:r>
        <w:rPr>
          <w:rFonts w:ascii="Times New Roman" w:hAnsi="Times New Roman"/>
          <w:i/>
          <w:color w:val="000000"/>
          <w:sz w:val="20"/>
        </w:rPr>
        <w:t>Focus</w:t>
      </w:r>
      <w:r>
        <w:rPr>
          <w:rFonts w:ascii="Times New Roman" w:hAnsi="Times New Roman"/>
          <w:color w:val="000000"/>
          <w:sz w:val="20"/>
        </w:rPr>
        <w:t xml:space="preserve"> and </w:t>
      </w:r>
      <w:r>
        <w:rPr>
          <w:rFonts w:ascii="Times New Roman" w:hAnsi="Times New Roman"/>
          <w:i/>
          <w:color w:val="000000"/>
          <w:sz w:val="20"/>
        </w:rPr>
        <w:t>Comprehensive</w:t>
      </w:r>
      <w:r>
        <w:rPr>
          <w:rFonts w:ascii="Times New Roman" w:hAnsi="Times New Roman"/>
          <w:color w:val="000000"/>
          <w:sz w:val="20"/>
        </w:rPr>
        <w:t xml:space="preserve"> oncology panels and </w:t>
      </w:r>
      <w:r>
        <w:rPr>
          <w:rFonts w:ascii="Times New Roman" w:hAnsi="Times New Roman"/>
          <w:i/>
          <w:color w:val="000000"/>
          <w:sz w:val="20"/>
        </w:rPr>
        <w:t>Beacon</w:t>
      </w:r>
      <w:r>
        <w:rPr>
          <w:rFonts w:ascii="Times New Roman" w:hAnsi="Times New Roman"/>
          <w:color w:val="000000"/>
          <w:sz w:val="20"/>
        </w:rPr>
        <w:t xml:space="preserve"> carrier screening panels and somatic cancer panels. In addition, all of our genetic panel tests can be adjusted up or down to include more or fewer genes, or customers can design their own panels to their exact specifications, resulting in a flexible and customizable test menu. We believe our ability to continue to offer more genes and more ordering flexibility than our competitors could be a key contributor to the long-term growth of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Ability to Maintain Low Internal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developed various proprietary technologies that improve our laboratory efficiency and reduce the costs we incur to perform our tests, including our proprietary gene probes, data algorithms, adaptive learning software and genetic reference library. This technology platform enables us to perform each test and deliver its results at a lower cost to us than many of our competitors, and this low cost allows us to maintain affordable and competitive pricing for our customers, which we believe encourages repeat ordering from existing customers and attracts new customers. We believe this low internal cost is a key factor in our ability to grow our business and obtain margins on our sales that allow us to drive toward sustained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in our operational capabilities could increase our cost of revenue, but these investments could also, on a near-term and/or long-term basis, increase our operating efficiencies and lead to cost of revenue decreases. As a result, the amount, timing, nature and success of these investments, as well as other influences on our cost of revenue from period to period, can impact our costs. Moreover, changes in our other operating expenses, due to investments in these aspects of our business or other factors, are not taken into account but impact our overall results, which can limit the utility of cost as an overall cost measurement tool.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Ability to Obtain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Much of our revenue depends on receiving reimbursement for our tests from third-party payors, including our Insurance and Institutional customers. These payors have complicated rules and procedures regarding submissions for reimbursement and their reimbursement practices and procedures may vary from period to period. Reimbursed amounts are often subject to audit and, and our ability to collect and retain reimbursement from these payors may vary from period to period. If we are unable to obtain or retain reimbursement during any period, our rate of reimbursement is lower than expected or if reimbursement is delayed, our results of operations may be correspondingly affected and fluctuate significantly from period to period. As part of our business plan for future growth, we intend to pursue coverage and reimbursement from third-party payors at a level adequate for us to again achieve and maintain profitability. However, we cannot predict whether, under what circumstances, or at what payment levels payors will cover and reimburse for our tests, and even if we are successful, we believe it could take several years to achieve coverage and adequate contracted reimbursement with third-party payors. To date, we have contracted directly with national health insurance companies to become an in-network provider and enrolled as a supplier with the Medicare program and some state Medicaid programs, which means that we have agreed with these payors to provide certain of our tests at negotiated rates. Although this does not guarantee that we will receive reimbursement for our tests from these or any other payors at adequate levels, we believe our low cost could enhance our ability to compete effectively in the third-party payor market and our flexibility in establishing relationships with additional third-party payors in the future. Our level of success in obtaining and maintaining adequate coverage and reimbursement from third-party payors for our testing services will, we believe, be a key factor in the rate and level of growth of our business over the long term.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Currency Exchange Rate Fluctuations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business to date has been from non-U.S. customers, and we may record increasing revenue levels from non-U.S. sources as we focus on growing our international customer base. These revenue sources expose us to fluctuations in our results associated with changes in foreign currency exchange rates depending on the value of the U.S. dollar compared to the foreign currencies in which we record revenue. During all periods covered by this report, we consider the estimated effect on our revenue of foreign currency exchange rate fluctuations to be immaterial; however, the impact of foreign currency exchange rate fluctuations may increase in future periods as we pursue continued international expansion.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COVID-19 Testing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experienced significant volume growth in 2020, 2021 and 2022 after the launch of our COVID-19 testing services in 2020. Most of this growth in our testing volume resulted from COVID-19 tests that we conducted for certain counties, states and municipalities during the pandemic. However, due to decreased demand of COVID-19 testing following the pandemic and our decision to scale back our COVID-19 testing services, we do not expect material revenue from COVID-19 testing in future periods.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Business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prospects are exposed to numerous risks and uncertainties. For more information, see “Item 1A. Risk Factors” in this report.</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laboratory service segment generates revenue from molecular testing, including precision diagnostics and anatomic pathology, BioPharma services, and COVID-19 testing. We recognize revenue upon delivery of a report to the ordering physician or other customer based on the established billing rate, less contractual and other adjustments, to arrive at the amount we expect to collect. Our therapeutic development segment is still pre-revenue.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reflects the aggregate costs incurred in delivering test results and consists of: costs of laboratory reagents and supplies; personnel costs, including salaries, employee benefit costs, bonuses and equity-based compensation expenses; depreciation of laboratory equipment; delivery and courier costs relating to the transportation of specimens to be tested; amortization of leasehold improvements; and allocated overhead expenses, including rent and utilities. Costs associated with performing tests are recorded as tests are processed.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are classified into five categories: research and development; selling and marketing; general and administrative; amortization of intangible assets; and restructuring costs if any. For each category except for amortization of intangible assets, the largest component is personnel costs, which include salaries, employee benefit costs, bonuses and equity-based compensation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represent costs incurred to develop our technology and future tests and treatments. These costs consist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 costs, including salaries, benefits, and other employee-related costs, such as bonuses and equity-based compensation expenses;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consulting costs, including consulting fees and related travel expenses;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laboratory supplies;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associated with in-process research and conducting clinical studies to develop and support our products;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related to production of clinical materials;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set up costs, including electronic medical record set up costs, costs associated with setting up and conduct clinical studies at domestic and international sites;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related to compliance with regulatory requirements;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allocated overhead expenses, including rent, information technology, equipment depreciation and utilities.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all research and development costs in the periods in which they are incurred. We expect our research and development expenses will continue to increase in absolute dollars, as we expect to continue to invest in research and development activities and continue to innovate and expand the application of our platform. Furthermore, we expect our research and development expenses for our therapeutic development segment to increase as we incur incremental expenses associated with our drug candidates that are currently under development and in clinical trials. Drug candidates in later stages of clinical development generally have higher development costs, primarily due to the increased size and duration of later-stage clinical trials. Accordingly, we expect to incur significant research and development expenses in connection with our initiation of Phase 2 trials for FID-007.</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and Marketing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and marketing expenses consist of personnel costs, customer service expenses, direct marketing expenses, educational and promotional expenses, market research and analysis and allocated overhead expenses, including rent and utilities. We expense all selling and marketing costs as incurred. We expect our selling and marketing expenses will continue to increase in absolute dollars, primarily driven by our increased investment in sales and marketing in recent periods, including developing and expanding our sales team, creating and implementing new sales and marketing strategies and increasing the overall scope of our marketing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include executive, finance, accounting, legal and human resources functions. These expenses consist of personnel costs, audit and legal expenses, consulting costs and allocated overhead expenses, including rent and utilities. We expense all general and administrative costs as incurred. We expect our general and administrative expenses will continue to increase in absolute dollars as we seek to continue to scale our operations. We also expect to continue to incur general and administrative expenses as a result of operating as a public company, including expenses related to compliance with the rules and regulations of the SEC, and the Nasdaq Stock Market, additional insurance expenses, investor relations activities and other administrative and professional services.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Amortization of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intangible assets consist of amortization expense on customer relationships, royalty-free technology, trade name, laboratory information system platform and in-place intangible assets that arose from the business combinations and a patent acquired. We amortize finite lived intangible assets over the period of estimated benefit using the straight-line method. Indefinite lived intangible assets are tested for impairment annually or whenever events or circumstances indicate that the carrying amount of the asset may not be recoverable. If impairment is indicated, we measure the amount of the impairment loss as the amount by which the carrying amount exceeds the fair value of the asset.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costs represent one-time employee termination benefits provided to employees associated with a newly acquired entity that were involuntarily terminated. A plan of termination was approved and authorized by management in the second quarter of 2022. The plan identified specific employees to be terminated and established terms of benefits those employees would receive upon termination. No additional costs were incurred under the plan of termination post 2022, and the payable balance has been paid off.</w:t>
      </w:r>
    </w:p>
    <w:p>
      <w:pPr>
        <w:pStyle w:val="TextBody"/>
        <w:bidi w:val="0"/>
        <w:spacing w:before="360" w:after="283"/>
        <w:jc w:val="left"/>
        <w:rPr>
          <w:rFonts w:ascii="Times New Roman" w:hAnsi="Times New Roman"/>
          <w:sz w:val="20"/>
        </w:rPr>
      </w:pPr>
      <w:r>
        <w:rPr>
          <w:rFonts w:ascii="Times New Roman" w:hAnsi="Times New Roman"/>
          <w:b/>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consists of U.S. federal and state income taxes. A deferred tax liability is recognized for all taxable temporary differences, and a deferred tax asset is recognized for all deductible temporary differences, operating losses and tax credit carryforwards. A valuation allowance is provided when it is more likely than not that some portion or all of a deferred tax asset will not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factors that most significantly impact our effective tax rate include the levels of net earnings and certain deductions, including those related to equity-based compensation, the effect of state income taxes, return to provision adjustments, and foreign tax rate differential. We expect that these factors could cause our consolidated effective tax rate to differ significantly from the U.S. federal income tax rate in future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summarizes the results of our continuing operations for each of the periods presented. Historical results are not indicative of the results to be expected in the current period or any future period.</w:t>
      </w:r>
    </w:p>
    <w:tbl>
      <w:tblPr>
        <w:tblW w:w="8819" w:type="dxa"/>
        <w:jc w:val="left"/>
        <w:tblInd w:w="0" w:type="dxa"/>
        <w:tblLayout w:type="fixed"/>
        <w:tblCellMar>
          <w:top w:w="28" w:type="dxa"/>
          <w:left w:w="28" w:type="dxa"/>
          <w:bottom w:w="28" w:type="dxa"/>
          <w:right w:w="28" w:type="dxa"/>
        </w:tblCellMar>
      </w:tblPr>
      <w:tblGrid>
        <w:gridCol w:w="3961"/>
        <w:gridCol w:w="211"/>
        <w:gridCol w:w="841"/>
        <w:gridCol w:w="166"/>
        <w:gridCol w:w="146"/>
        <w:gridCol w:w="211"/>
        <w:gridCol w:w="781"/>
        <w:gridCol w:w="146"/>
        <w:gridCol w:w="146"/>
        <w:gridCol w:w="211"/>
        <w:gridCol w:w="841"/>
        <w:gridCol w:w="166"/>
        <w:gridCol w:w="146"/>
        <w:gridCol w:w="846"/>
      </w:tblGrid>
      <w:tr>
        <w:trPr/>
        <w:tc>
          <w:tcPr>
            <w:tcW w:w="3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961"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9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Operations Data:</w:t>
            </w:r>
          </w:p>
        </w:tc>
        <w:tc>
          <w:tcPr>
            <w:tcW w:w="4858" w:type="dxa"/>
            <w:gridSpan w:val="13"/>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r>
      <w:tr>
        <w:trPr/>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(53)%</w:t>
            </w:r>
          </w:p>
        </w:tc>
      </w:tr>
      <w:tr>
        <w:trPr/>
        <w:tc>
          <w:tcPr>
            <w:tcW w:w="39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r>
      <w:tr>
        <w:trPr/>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ind w:left="0" w:right="0" w:firstLine="200"/>
              <w:jc w:val="center"/>
              <w:rPr/>
            </w:pPr>
            <w:r>
              <w:rPr/>
              <w:t> </w:t>
            </w:r>
          </w:p>
        </w:tc>
      </w:tr>
      <w:tr>
        <w:trPr/>
        <w:tc>
          <w:tcPr>
            <w:tcW w:w="39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43%</w:t>
            </w:r>
          </w:p>
        </w:tc>
      </w:tr>
      <w:tr>
        <w:trPr/>
        <w:tc>
          <w:tcPr>
            <w:tcW w:w="39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7%</w:t>
            </w:r>
          </w:p>
        </w:tc>
      </w:tr>
      <w:tr>
        <w:trPr/>
        <w:tc>
          <w:tcPr>
            <w:tcW w:w="39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(20)%</w:t>
            </w:r>
          </w:p>
        </w:tc>
      </w:tr>
      <w:tr>
        <w:trPr/>
        <w:tc>
          <w:tcPr>
            <w:tcW w:w="39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21%</w:t>
            </w:r>
          </w:p>
        </w:tc>
      </w:tr>
      <w:tr>
        <w:trPr/>
        <w:tc>
          <w:tcPr>
            <w:tcW w:w="39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 loss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 costs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income</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(210)%</w:t>
            </w:r>
          </w:p>
        </w:tc>
      </w:tr>
      <w:tr>
        <w:trPr/>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290%</w:t>
            </w:r>
          </w:p>
        </w:tc>
      </w:tr>
      <w:tr>
        <w:trPr/>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(174,085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(195)%</w:t>
            </w:r>
          </w:p>
        </w:tc>
      </w:tr>
      <w:tr>
        <w:trPr/>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r>
      <w:tr>
        <w:trPr/>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from consolidated operations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(175,239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(223)%</w:t>
            </w:r>
          </w:p>
        </w:tc>
      </w:tr>
      <w:tr>
        <w:trPr/>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401%</w:t>
            </w:r>
          </w:p>
        </w:tc>
      </w:tr>
      <w:tr>
        <w:trPr/>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Fulgent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(217)%</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jc w:val="left"/>
        <w:rPr/>
      </w:pPr>
      <w:r>
        <w:rPr/>
        <w:t> </w:t>
      </w:r>
    </w:p>
    <w:tbl>
      <w:tblPr>
        <w:tblW w:w="6484" w:type="dxa"/>
        <w:jc w:val="left"/>
        <w:tblInd w:w="0" w:type="dxa"/>
        <w:tblLayout w:type="fixed"/>
        <w:tblCellMar>
          <w:top w:w="28" w:type="dxa"/>
          <w:left w:w="28" w:type="dxa"/>
          <w:bottom w:w="28" w:type="dxa"/>
          <w:right w:w="28" w:type="dxa"/>
        </w:tblCellMar>
      </w:tblPr>
      <w:tblGrid>
        <w:gridCol w:w="1846"/>
        <w:gridCol w:w="211"/>
        <w:gridCol w:w="781"/>
        <w:gridCol w:w="146"/>
        <w:gridCol w:w="146"/>
        <w:gridCol w:w="211"/>
        <w:gridCol w:w="781"/>
        <w:gridCol w:w="146"/>
        <w:gridCol w:w="146"/>
        <w:gridCol w:w="211"/>
        <w:gridCol w:w="841"/>
        <w:gridCol w:w="166"/>
        <w:gridCol w:w="146"/>
        <w:gridCol w:w="706"/>
      </w:tblGrid>
      <w:tr>
        <w:trPr/>
        <w:tc>
          <w:tcPr>
            <w:tcW w:w="1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18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18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Data:</w:t>
            </w:r>
          </w:p>
        </w:tc>
        <w:tc>
          <w:tcPr>
            <w:tcW w:w="4638" w:type="dxa"/>
            <w:gridSpan w:val="13"/>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Precision diagnostics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Anatomic pathology</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COVID-19</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BioPharma services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decreased by $329.8 million, or 53%, from $619.0 million in 2022 to $289.2 million in 2023. The decrease in revenue between periods was due to a decrease in COVID-19 testing revenue of 94%, and partially offset by increases in our other revenue streams of 44% for the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ceased our COVID-19 testing operations at the end of the first quarter of 2023. As a result, we have been focusing our efforts on growing our precision diagnostics, anatomic pathology, and BioPharma services revenue streams. For the year ended December 31, 2023, precision diagnostics, anatomic pathology, and BioPharma services accounted for 46%, 36%, and 9% of our consolidated revenue, respectively, and increased $38.3 million, $29.9 million, and $12.4 million, respectively, compared to 2022. The increase in precision diagnostics revenue and anatomic pathology revenue was due to an additional four months of revenue in 2023 compared to 2022 as Inform Diagnostics was acquired at the end of April 2022. The increase in precision diagnostics was also due to a growth in reproductive health services which included the launch of our expanded Beacon787 testing. The increase in BioPharma services was due to the addition of a few concentrated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the factors that will affect our ability to grow these revenue streams are 1) the average price point we offer and the reimbursement rate from third-party payors; 2) the concentration of our payor base; 3) the competitive advantage we have due to our broad and flexible test menu, detection rate, and turnaround times; and 4) growth in size of an addressable market. Estimated collection amounts from third-party payors are subject to the complexities and ambiguities of billing, reimbursement regulations and claims processing, as well as considerations unique to Medicare and Medicaid programs. Because our proprietary technology platform allows for repaid scaling of a broad, flexible testing menu, we can offer our customers more scalable and affordable testing. In recent years, variation in our revenue has primarily been driven by the volume of tests we deliver, particularly the volume of our COVID-19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tests that we delivered during these periods. Going forward, we will strive to maintain this competitive advantage and emphasize this in our marketing efforts to grow our testing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customer base includes insurance, institutional, and individual payors. In some periods, our revenue is concentrated on a smaller number of customers. For the laboratory services segment, aggregating customers that are under common control, one customer comprised $35.7 million or 12% of our revenue in 2023, and a different customer comprised $115.6 million or 19% and $260.2 million or 26% of our revenue in 2022 and 2021, respectively. To reduce this revenue risk, we will focus on increasing the number of customers and thereby reducing the concentration.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from non-U.S. sources increased by $4.4 million, or 28%, from $15.8 million in 2022 to $20.2 million in 2023. The increase in revenue from non-U.S. sources between periods were primarily due to increased sales of our traditional genetic testing services to customers in China through our joint venture, which contributed $11.4 million in total revenue in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Cost of Revenue</w:t>
      </w:r>
    </w:p>
    <w:p>
      <w:pPr>
        <w:pStyle w:val="TextBody"/>
        <w:bidi w:val="0"/>
        <w:jc w:val="left"/>
        <w:rPr/>
      </w:pPr>
      <w:r>
        <w:rPr/>
        <w:t> </w:t>
      </w:r>
    </w:p>
    <w:tbl>
      <w:tblPr>
        <w:tblW w:w="8079" w:type="dxa"/>
        <w:jc w:val="left"/>
        <w:tblInd w:w="0" w:type="dxa"/>
        <w:tblLayout w:type="fixed"/>
        <w:tblCellMar>
          <w:top w:w="28" w:type="dxa"/>
          <w:left w:w="28" w:type="dxa"/>
          <w:bottom w:w="28" w:type="dxa"/>
          <w:right w:w="28" w:type="dxa"/>
        </w:tblCellMar>
      </w:tblPr>
      <w:tblGrid>
        <w:gridCol w:w="3051"/>
        <w:gridCol w:w="211"/>
        <w:gridCol w:w="781"/>
        <w:gridCol w:w="271"/>
        <w:gridCol w:w="146"/>
        <w:gridCol w:w="211"/>
        <w:gridCol w:w="781"/>
        <w:gridCol w:w="271"/>
        <w:gridCol w:w="146"/>
        <w:gridCol w:w="211"/>
        <w:gridCol w:w="736"/>
        <w:gridCol w:w="271"/>
        <w:gridCol w:w="146"/>
        <w:gridCol w:w="846"/>
      </w:tblGrid>
      <w:tr>
        <w:trPr/>
        <w:tc>
          <w:tcPr>
            <w:tcW w:w="3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3051" w:type="dxa"/>
            <w:tcBorders/>
            <w:shd w:fill="FFFFFF" w:val="cle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051"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051" w:type="dxa"/>
            <w:tcBorders/>
            <w:shd w:fill="CFF0FC" w:val="clear"/>
            <w:vAlign w:val="center"/>
          </w:tcPr>
          <w:p>
            <w:pPr>
              <w:pStyle w:val="TableContents"/>
              <w:bidi w:val="0"/>
              <w:spacing w:before="0" w:after="283"/>
              <w:jc w:val="left"/>
              <w:rPr/>
            </w:pPr>
            <w:r>
              <w:rPr/>
              <w:t> </w:t>
            </w:r>
          </w:p>
        </w:tc>
        <w:tc>
          <w:tcPr>
            <w:tcW w:w="5028" w:type="dxa"/>
            <w:gridSpan w:val="13"/>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r>
      <w:tr>
        <w:trPr/>
        <w:tc>
          <w:tcPr>
            <w:tcW w:w="3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184,757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252,067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(27)%</w:t>
            </w:r>
          </w:p>
        </w:tc>
      </w:tr>
      <w:tr>
        <w:trPr/>
        <w:tc>
          <w:tcPr>
            <w:tcW w:w="30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 as a % of revenue</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56.9%</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cost of revenue decreased by $67.3 million, or 27%, from $252.1 million in 2022 to $184.8 million in 2023. The decrease was primarily due to decreases of $32.1 million in consulting and outside labor costs for production, $25.9 million in reagent and supply expenses, $12.3 million in depreciation expenses, $5.3 million in shipping expenses, and $1.2 million in travel and meals expense and $2.9 million in facility expense, all related to decreased COVID-19 testing, and partially offset by an increase of $15.4 million in personnel costs, including equity-based compensation expense, due to an additional four months of costs in 2023 compared to 2022 as Inform Diagnostics was acquired at the end of April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consolidated cost of revenues as a percentage of revenue increased from 40.7% to 63.9%. Our gross profit decreased by $262.4 million, or 72%, from $366.9 million in 2022 to $104.5 million in 2023. Our gross profit as a percentage of revenue, or gross margin, decreased from 59.3% to 36.1%. The changes were primarily due to the decrease in revenue from our COVID-19 testing, which had a higher gross margin, and an additional four months of costs in 2023 from Inform Diagnostics.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Research and Development</w:t>
      </w:r>
    </w:p>
    <w:tbl>
      <w:tblPr>
        <w:tblW w:w="6679" w:type="dxa"/>
        <w:jc w:val="left"/>
        <w:tblInd w:w="0" w:type="dxa"/>
        <w:tblLayout w:type="fixed"/>
        <w:tblCellMar>
          <w:top w:w="28" w:type="dxa"/>
          <w:left w:w="28" w:type="dxa"/>
          <w:bottom w:w="28" w:type="dxa"/>
          <w:right w:w="28" w:type="dxa"/>
        </w:tblCellMar>
      </w:tblPr>
      <w:tblGrid>
        <w:gridCol w:w="2406"/>
        <w:gridCol w:w="211"/>
        <w:gridCol w:w="676"/>
        <w:gridCol w:w="146"/>
        <w:gridCol w:w="146"/>
        <w:gridCol w:w="211"/>
        <w:gridCol w:w="676"/>
        <w:gridCol w:w="146"/>
        <w:gridCol w:w="146"/>
        <w:gridCol w:w="211"/>
        <w:gridCol w:w="676"/>
        <w:gridCol w:w="146"/>
        <w:gridCol w:w="146"/>
        <w:gridCol w:w="736"/>
      </w:tblGrid>
      <w:tr>
        <w:trPr/>
        <w:tc>
          <w:tcPr>
            <w:tcW w:w="2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40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4273" w:type="dxa"/>
            <w:gridSpan w:val="13"/>
            <w:tcBorders/>
            <w:shd w:fill="CFF0FC" w:val="cle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(dollars in thousands)</w:t>
            </w:r>
          </w:p>
        </w:tc>
      </w:tr>
      <w:tr>
        <w:trPr/>
        <w:tc>
          <w:tcPr>
            <w:tcW w:w="2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Laboratory services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6%</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Therapeutic development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1467%</w:t>
            </w:r>
          </w:p>
        </w:tc>
      </w:tr>
      <w:tr>
        <w:trPr/>
        <w:tc>
          <w:tcPr>
            <w:tcW w:w="240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for the laboratory services segment were mainly for developing our technology and future testing and testing services. The expenses of $29.7 million in 2023 primarily consisted of $25.5 million in personnel expenses, including bonuses and equity-based compensation, $1.1 million in reagent and supply expense, $1.1 million in facility expenses, $698,000 in depreciation expense, and $400,000 in software and licensing. The expenses of $28.2 million in 2022 primarily consisted of $23.4 million in personnel expenses, including bonuses and equity-based compensation, $2.2 million in reagent and supply expense, $785,000 in depreciation expense, and $587,000 in consulting and outside labor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for the therapeutic development segment were $11.7 million and $746,000 in 2023 and 2022, respectively, and were primarily related to the development of FID-007. 2022 was a partial year as the segment was acquired in November of 2022. Research and development expenses in 2023 included $6.4 million of personnel expenses, including equity-based compensation under the equity plan assumed as part of the business combination, and $4.5 million in drug study with various CROs. We anticipate research and development expenditures for this segment will significantly increase in the future, as we expect to begin enrollment for a phase 2 study of FID-007 in the second quarter of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Selling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selling and marketing expenses increased by $2.5 million, or 7%, from $38.9 million in 2022 to $41.5 million in 2023. The increase was primarily due to increases of $2.2 million in software expense, $1.5 million in facilities expense, $742,000 in personnel costs, including equity-based compensation expense, and $456,000 in advertising and marketing expenses, mainly due to an additional four months of costs in 2023 compared to 2022 as Inform Diagnostics was acquired at the end of April 2022, and partially offset by a decrease of $2.6 million in consulting and outside labor costs related to decreased COVID-19 testing.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and Administrative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consolidated general and administrative expenses decreased by $22.1 million, or 20%, from $111.1 million in 2022 to $89.0 million in 2023. The decrease was primarily due to decreases of $33.5 million in provision for credit losses due to subsequent collections from customers who were previously reserved, $6.2 million in acquisition related to business combinations in 2022, $2.6 million in one-time license and permit expense incurred by Inform Diagnostics, partially offset by increases of $6.6 million in personnel costs including equity-based compensation expense, $6.1 million in facility expense, and $3.6 million in depreciation expense, due to an additional four months of costs in 2023 compared to 2022 as Inform Diagnostics was acquired at the end of April 2022, and $3.0 million in legal and professional fees due to legal liabilities accrued in connection with our voluntary disclosure process as described in Note 8, </w:t>
      </w:r>
      <w:r>
        <w:rPr>
          <w:rFonts w:ascii="Times New Roman" w:hAnsi="Times New Roman"/>
          <w:i/>
          <w:color w:val="000000"/>
          <w:sz w:val="20"/>
        </w:rPr>
        <w:t>Debt, Commitments and Contingencies</w:t>
      </w:r>
      <w:r>
        <w:rPr>
          <w:rFonts w:ascii="Times New Roman" w:hAnsi="Times New Roman"/>
          <w:color w:val="000000"/>
          <w:sz w:val="20"/>
        </w:rPr>
        <w:t xml:space="preserve"> to the Consolidated Financial Statements, and $1.5 million in accounting expense as the entities acquired in 2022 and 2021 were scoped in for financial statement and internal control audit and reviews.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Amortization of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amortization of intangible assets represents amortization expenses on the intangible assets that arose from the business combinations in 2022 and 2021 and a patent purchased in 2021. The increase in amortization of intangible assets was primarily due to additions in intangible assets from business combinations in 2022.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 Impairment Loss</w:t>
      </w:r>
    </w:p>
    <w:p>
      <w:pPr>
        <w:pStyle w:val="TextBody"/>
        <w:bidi w:val="0"/>
        <w:spacing w:before="120" w:after="283"/>
        <w:jc w:val="left"/>
        <w:rPr/>
      </w:pPr>
      <w:r>
        <w:rPr/>
        <w:t> </w:t>
      </w:r>
    </w:p>
    <w:tbl>
      <w:tblPr>
        <w:tblW w:w="6681" w:type="dxa"/>
        <w:jc w:val="left"/>
        <w:tblInd w:w="0" w:type="dxa"/>
        <w:tblLayout w:type="fixed"/>
        <w:tblCellMar>
          <w:top w:w="28" w:type="dxa"/>
          <w:left w:w="28" w:type="dxa"/>
          <w:bottom w:w="28" w:type="dxa"/>
          <w:right w:w="28" w:type="dxa"/>
        </w:tblCellMar>
      </w:tblPr>
      <w:tblGrid>
        <w:gridCol w:w="2406"/>
        <w:gridCol w:w="228"/>
        <w:gridCol w:w="846"/>
        <w:gridCol w:w="158"/>
        <w:gridCol w:w="158"/>
        <w:gridCol w:w="228"/>
        <w:gridCol w:w="375"/>
        <w:gridCol w:w="146"/>
        <w:gridCol w:w="146"/>
        <w:gridCol w:w="211"/>
        <w:gridCol w:w="781"/>
        <w:gridCol w:w="146"/>
        <w:gridCol w:w="146"/>
        <w:gridCol w:w="706"/>
      </w:tblGrid>
      <w:tr>
        <w:trPr/>
        <w:tc>
          <w:tcPr>
            <w:tcW w:w="24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406" w:type="dxa"/>
            <w:tcBorders/>
            <w:shd w:fill="FFFFFF" w:val="cle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center"/>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4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 impairment loss</w:t>
            </w:r>
          </w:p>
        </w:tc>
        <w:tc>
          <w:tcPr>
            <w:tcW w:w="4275" w:type="dxa"/>
            <w:gridSpan w:val="13"/>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r>
      <w:tr>
        <w:trPr/>
        <w:tc>
          <w:tcPr>
            <w:tcW w:w="2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services</w:t>
            </w:r>
          </w:p>
        </w:tc>
        <w:tc>
          <w:tcPr>
            <w:tcW w:w="2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120,234</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Therapeutic development</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240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120,234</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Goodwill impairment loss for 2023 was comprised of a full goodwill impairment loss of $120.2 million for the Laboratory Service reporting unit. There was no goodwill impairment loss for the year ended December 31, 2022. The full impairment was driven by a sustained decline in our stock price and market capitalization. There was no impairment loss for the therapeutic development unit for the years ended December 31, 2023 and 2022. See </w:t>
      </w:r>
      <w:r>
        <w:rPr>
          <w:rFonts w:ascii="Times New Roman" w:hAnsi="Times New Roman"/>
          <w:i/>
          <w:color w:val="000000"/>
          <w:sz w:val="20"/>
        </w:rPr>
        <w:t>Note 17, Goodwill and Intangible Assets,</w:t>
      </w:r>
      <w:r>
        <w:rPr>
          <w:rFonts w:ascii="Times New Roman" w:hAnsi="Times New Roman"/>
          <w:color w:val="000000"/>
          <w:sz w:val="20"/>
        </w:rPr>
        <w:t xml:space="preserve"> for more details.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Restructuring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expenses represent one-time employee termination benefits provided to employees that were involuntarily terminated in association with the acquisition of a new entity in 2022.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and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is primarily comprised of net interest income, which was $21.1 million and $5.3 million for 2023 and 2022, respectively. This interest income related to interest earned on various investments in marketable securities including realized and holding gain (loss) on marketable equity securities, net of interest expenses incurred on our notes payable and a margin loan.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 for income taxes were $1.2 million and $42.1 million in 2023 and 2022, respectively. The effective income tax rate was (0.69)% and 22.7% of income before income taxes for 2023 and 2022, respectively. The change in the effective tax rate for 2023 relative to 2022 was due to the establishment of a valuation allowance on the Company’s net deferred tax assets. FASB ASC 740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requires that deferred income tax assets be reduced by a valuation allowance if it is more likely than not that some or all of the deferred income tax assets will not be realized. The Company has evaluated the realizability of any of its deferred tax assets and has concluded that it is more likely than not that the Company may not realize benefit of its deferred tax assets, and, accordingly, has provided a full valuation allowance at December 31, 2023.</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See Note 11, </w:t>
      </w:r>
      <w:r>
        <w:rPr>
          <w:rFonts w:ascii="Times New Roman" w:hAnsi="Times New Roman"/>
          <w:i/>
          <w:color w:val="000000"/>
          <w:sz w:val="20"/>
        </w:rPr>
        <w:t>Income Taxes</w:t>
      </w:r>
      <w:r>
        <w:rPr>
          <w:rFonts w:ascii="Times New Roman" w:hAnsi="Times New Roman"/>
          <w:color w:val="000000"/>
          <w:sz w:val="20"/>
        </w:rPr>
        <w:t>, to our consolidated financial statements included in this report for more information regarding our income taxes.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Attributable to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attributable to noncontrolling interest represents net loss attributable to minority shareholders from entities not wholly owned.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Sources of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$847.7 million and $852.9 million in cash, cash equivalents and marketable securities as of December 31, 2023 and 2022, respectively. Our marketable securities primarily consist of U.S. government and U.S. agency debt securities, U.S. treasury bills, corporate bonds, municipal bonds, and Yankee debt securities as of December 31, 2023 and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primary uses of cash are to repurchase our stock, fund our operations, and to fund strategic acquisitions as we continue to invest in and seek to grow our business. Cash used to fund operating expenses is impacted by the timing of our expense payments, as reflected in the changes in our outstanding accounts payable and accrued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existing cash, cash equivalent, and short-term marketable securities will be sufficient to meet our anticipated cash requirements for at least the next 12 months. Cash provided by operations has significantly contributed to our ability to meet our liquidity needs, including paying for capital expenditures, however, cash provided by our operations has in the past experienced fluctuations from period to period, which we expect may continue in the future. These fluctuations can occur because of a variety of factors, including, among others, factors relating to the demand for our tests, the amount and timing of sales, the prices we charge for our tests due to changes in product mix, customer mix, general price degradation for tests, or other factors, the rate and timing of our billing and collections cycles and the timing and amount of our commitments and other payments. Moreover, even if our liquidity expectations are correct, we may still seek to raise additional capital through securities offerings, credit facilities or other debt financings, asset sales or collaborations or licensing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cash flows from continuing operations for each of the periods presented:</w:t>
      </w:r>
    </w:p>
    <w:p>
      <w:pPr>
        <w:pStyle w:val="TextBody"/>
        <w:bidi w:val="0"/>
        <w:jc w:val="left"/>
        <w:rPr/>
      </w:pPr>
      <w:r>
        <w:rPr/>
        <w:t> </w:t>
      </w:r>
    </w:p>
    <w:tbl>
      <w:tblPr>
        <w:tblW w:w="6723" w:type="dxa"/>
        <w:jc w:val="left"/>
        <w:tblInd w:w="0" w:type="dxa"/>
        <w:tblLayout w:type="fixed"/>
        <w:tblCellMar>
          <w:top w:w="28" w:type="dxa"/>
          <w:left w:w="28" w:type="dxa"/>
          <w:bottom w:w="28" w:type="dxa"/>
          <w:right w:w="28" w:type="dxa"/>
        </w:tblCellMar>
      </w:tblPr>
      <w:tblGrid>
        <w:gridCol w:w="4201"/>
        <w:gridCol w:w="211"/>
        <w:gridCol w:w="736"/>
        <w:gridCol w:w="166"/>
        <w:gridCol w:w="146"/>
        <w:gridCol w:w="211"/>
        <w:gridCol w:w="84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253,520</w:t>
            </w:r>
          </w:p>
        </w:tc>
        <w:tc>
          <w:tcPr>
            <w:tcW w:w="21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(261,314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our operations provided $27.0 million of cash as compared to $253.5 million in 2022. The $226.5 million decrease in cash provided from operating activities in 2023 as compared with the corresponding 2022 period was primarily due to lower cash earnings, cash receipts from customers, and cash payments for operating expenses as COVID-19 revenue dissipated in 2023. We expect to incur more operating expenses and use more cash in operating activities in the coming year as a result of our planned and ongoing clinical trials for FID-007 and as we continue to invest resources to grow our laboratory services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cash provided by or used in investing activities are impacted by capital expenditures for operation needs and timing of payments, timing of maturities of marketable securities, and discretionary business combinations and other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provided by investing activities in 2023 was $38.9 million, which primarily related to $508.6 million related to maturities of marketable securities, $44.1 million related to proceeds from sales of marketable securities, and $775,000 related to the sale of fixed assets, and partially offset by $491.9 million in purchase of marketable securities, $22.2 million related to the purchase of fixed assets consisting mainly of medical laboratory equipment and building improvement, $399,000 related to a business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investing activities in 2022 was $261.3 million, which primarily related to $418.0 million in the purchase of marketable securities, $172.7 million related to business acquisitions, $18.8 million related to the purchase of fixed assets consisting mainly of medical laboratory equipment and building improvement, $15.0 million related to the purchase of redeemable preferred stock and $10.0 million related to contingent consideration payouts related to business acquisitions, and partially offset by $232.5 million related to maturities of marketable securities and $140.2 million related to proceeds from sales of marketable securities.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in 2023 was $47.8 million, which primarily related to $25.1 million used in the repurchase of common stock $15.0 million used in the repayment for the margin account, $4.3 million used in the repayment of notes payable, and $2.7 million used in common stock withholding for employee tax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financing activities in 2022 was $77.1 million, which primarily related to $74.3 million used in the repurchase of common stock and $1.8 million used in common stock withholding for employee tax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expect to use any credit facilities due to the strong cash position as of December 31,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2022, our Board authorized a $250.0 million stock repurchase program. The stock repurchase program has no expiration from the date of authorization. Under the stock repurchase program, the Company may repurchase shares from time to time in the open market or in privately negotiated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2023, we repurchased 953,000 shares of our common stock at an aggregate cost of $25.1 million under the stock repurchase program. During the year ended December 31 2022, we repurchased 1.8 million shares of our common stock at an aggregate cost of $74.3 million under the stock repurchase program. As of December 31, 2023, a total of approximately $150.7 million remained available for future repurchases of our common stock under our stock repurchase programs.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 and Contractual Obligations as of December 31, 2023</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December 31, 2023, we have an outstanding balance of $775,000 in notes payable to Xilong Scientific, which is due in March 2024, and $3.4 million of an installment loan, of which, the current portion is $408,000. See Note 8, </w:t>
      </w:r>
      <w:r>
        <w:rPr>
          <w:rFonts w:ascii="Times New Roman" w:hAnsi="Times New Roman"/>
          <w:i/>
          <w:color w:val="000000"/>
          <w:sz w:val="20"/>
        </w:rPr>
        <w:t>Debt, Commitments and Contingencies</w:t>
      </w:r>
      <w:r>
        <w:rPr>
          <w:rFonts w:ascii="Times New Roman" w:hAnsi="Times New Roman"/>
          <w:color w:val="000000"/>
          <w:sz w:val="20"/>
        </w:rPr>
        <w:t>, of our consolidated financial statements included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summarizes our contractual obligations as of December 31, 2023:</w:t>
      </w:r>
    </w:p>
    <w:p>
      <w:pPr>
        <w:pStyle w:val="TextBody"/>
        <w:bidi w:val="0"/>
        <w:jc w:val="left"/>
        <w:rPr/>
      </w:pPr>
      <w:r>
        <w:rPr/>
        <w:t> </w:t>
      </w:r>
    </w:p>
    <w:tbl>
      <w:tblPr>
        <w:tblW w:w="9496" w:type="dxa"/>
        <w:jc w:val="left"/>
        <w:tblInd w:w="0" w:type="dxa"/>
        <w:tblLayout w:type="fixed"/>
        <w:tblCellMar>
          <w:top w:w="28" w:type="dxa"/>
          <w:left w:w="28" w:type="dxa"/>
          <w:bottom w:w="28" w:type="dxa"/>
          <w:right w:w="28" w:type="dxa"/>
        </w:tblCellMar>
      </w:tblPr>
      <w:tblGrid>
        <w:gridCol w:w="2851"/>
        <w:gridCol w:w="211"/>
        <w:gridCol w:w="676"/>
        <w:gridCol w:w="146"/>
        <w:gridCol w:w="146"/>
        <w:gridCol w:w="307"/>
        <w:gridCol w:w="983"/>
        <w:gridCol w:w="146"/>
        <w:gridCol w:w="146"/>
        <w:gridCol w:w="211"/>
        <w:gridCol w:w="676"/>
        <w:gridCol w:w="146"/>
        <w:gridCol w:w="146"/>
        <w:gridCol w:w="211"/>
        <w:gridCol w:w="571"/>
        <w:gridCol w:w="146"/>
        <w:gridCol w:w="146"/>
        <w:gridCol w:w="388"/>
        <w:gridCol w:w="1052"/>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left"/>
              <w:rPr/>
            </w:pPr>
            <w:r>
              <w:rPr/>
              <w:t> </w:t>
            </w:r>
          </w:p>
        </w:tc>
        <w:tc>
          <w:tcPr>
            <w:tcW w:w="645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left"/>
              <w:rPr/>
            </w:pPr>
            <w:r>
              <w:rPr/>
              <w:t> </w:t>
            </w:r>
          </w:p>
        </w:tc>
        <w:tc>
          <w:tcPr>
            <w:tcW w:w="6454"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lease obligations </w:t>
            </w:r>
            <w:r>
              <w:rPr>
                <w:rFonts w:ascii="Times New Roman" w:hAnsi="Times New Roman"/>
                <w:color w:val="000000"/>
                <w:sz w:val="13"/>
              </w:rPr>
              <w:t>(1)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9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Finance lease obligations</w:t>
            </w:r>
            <w:r>
              <w:rPr>
                <w:rFonts w:ascii="Times New Roman" w:hAnsi="Times New Roman"/>
                <w:color w:val="000000"/>
                <w:sz w:val="13"/>
              </w:rPr>
              <w:t>(2)</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Purchase obligations</w:t>
            </w:r>
            <w:r>
              <w:rPr>
                <w:rFonts w:ascii="Times New Roman" w:hAnsi="Times New Roman"/>
                <w:color w:val="000000"/>
                <w:sz w:val="13"/>
              </w:rPr>
              <w:t>(3)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contractual obligations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pPr>
      <w:r>
        <w:rPr>
          <w:rFonts w:ascii="Times New Roman" w:hAnsi="Times New Roman"/>
          <w:color w:val="000000"/>
          <w:sz w:val="16"/>
        </w:rPr>
        <w:t xml:space="preserve">Represents non-cancelable operating leases. For further information, refer to Note 9, </w:t>
      </w:r>
      <w:r>
        <w:rPr>
          <w:rFonts w:ascii="Times New Roman" w:hAnsi="Times New Roman"/>
          <w:i/>
          <w:color w:val="000000"/>
          <w:sz w:val="16"/>
        </w:rPr>
        <w:t>Leases,</w:t>
      </w:r>
      <w:r>
        <w:rPr>
          <w:color w:val="000000"/>
        </w:rPr>
        <w:t xml:space="preserve"> </w:t>
      </w:r>
      <w:r>
        <w:rPr>
          <w:rFonts w:ascii="Times New Roman" w:hAnsi="Times New Roman"/>
          <w:color w:val="000000"/>
          <w:sz w:val="16"/>
        </w:rPr>
        <w:t>to the Consolidated Financial Statements.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pPr>
      <w:r>
        <w:rPr>
          <w:rFonts w:ascii="Times New Roman" w:hAnsi="Times New Roman"/>
          <w:color w:val="000000"/>
          <w:sz w:val="16"/>
        </w:rPr>
        <w:t xml:space="preserve">Represents non-cancelable finance leases. For further information, refer to Note 9, </w:t>
      </w:r>
      <w:r>
        <w:rPr>
          <w:rFonts w:ascii="Times New Roman" w:hAnsi="Times New Roman"/>
          <w:i/>
          <w:color w:val="000000"/>
          <w:sz w:val="16"/>
        </w:rPr>
        <w:t>Leases</w:t>
      </w:r>
      <w:r>
        <w:rPr>
          <w:rFonts w:ascii="Times New Roman" w:hAnsi="Times New Roman"/>
          <w:color w:val="000000"/>
          <w:sz w:val="16"/>
        </w:rPr>
        <w:t>, to the Consolidated Financial Statements.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pPr>
      <w:r>
        <w:rPr>
          <w:rFonts w:ascii="Times New Roman" w:hAnsi="Times New Roman"/>
          <w:color w:val="000000"/>
          <w:sz w:val="16"/>
        </w:rPr>
        <w:t xml:space="preserve">Represents non-cancelable purchase obligations for medical lab equipment, reagents and other supplies, see Note 8, </w:t>
      </w:r>
      <w:r>
        <w:rPr>
          <w:rFonts w:ascii="Times New Roman" w:hAnsi="Times New Roman"/>
          <w:i/>
          <w:color w:val="000000"/>
          <w:sz w:val="16"/>
        </w:rPr>
        <w:t>Debt, Commitment and Contingencies</w:t>
      </w:r>
      <w:r>
        <w:rPr>
          <w:rFonts w:ascii="Times New Roman" w:hAnsi="Times New Roman"/>
          <w:color w:val="000000"/>
          <w:sz w:val="16"/>
        </w:rPr>
        <w:t>, to the Consolidated Financial Statements.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discussion and analysis is based on our consolidated financial statements included in this report, which have been prepared in accordance with U.S. Generally Accepted Accounting Principles, or U.S. GAAP. The preparation of consolidated financial statements in accordance with U.S. GAAP requires management to make certain estimates, judgments and assumptions and decisions that affect the reported amounts and related disclosures, including the selection of appropriate accounting principles and the assumptions on which to base accounting estimates. In making these estimates and assumptions and reaching these decisions, we apply judgment based on our understanding and analysis of the relevant circumstances, including historical data and experience available at the date of the consolidated financial statements, as well as various other factors management believes to be reasonable under the circumstances, including but not limited to valuation of intangible assets and goodwill in recent business combinations. Actual results could differ from our estimates. We are committed to incorporating accounting principles, assumptions and estimates that promote the representational faithfulness, verifiability, neutrality and transparency of the accounting information included in our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our significant accounting policies are described in more detail in the notes to the consolidated financial statements included in this report, we believe the accounting policies discussed below used in the preparation of our consolidated financial statements require the most significant estimates, judgments, assumptions and decisions.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 from sales of our testing services. We currently receive payments from: insurance, institutional customers, including hospitals, medical institutions, other laboratories, governmental bodies, municipalities and large corporations; and patients who pay directly.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recognize revenue in an amount that reflects the consideration to which we expect to be entitled in exchange for the transfer of promised goods or services to our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absence of Medicare coverage, contractually established reimbursement rates or other coverage, we have concluded that our contracts include variable consideration because the amounts paid by Medicare or commercial health insurance carriers may be paid at less than our standard rates or not paid at all, with such differences considered implicit price concessions. Variable consideration attributable to these price concessions measured at the expected value using the “most likely amount” method under Accounting Standards Codification, or ASC, 606 Revenue from Contracts with Customers, or ASC 606. The amounts are determined by the historical average collection rates by test type and payor category taking into consideration the range of possible outcomes, the predictive value of our past experiences, the time period of when uncertainties expect to be resolved and the amount of consideration that is susceptible to factors outside of our influence, such as the judgement and actions of third parties. Such variable consideration is included in the transaction price only to the extent it is probable that a significant reversal in the amount of cumulative revenue recognized will not occur when the uncertainties with respect to the amount are resolved. Variable consideration may be constrained and excluded form the transaction price in situations where there is no contractually agreed upon reimbursement coverage or in the absence of a predictable pattern and history of collectability with a payor.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re-assess our estimated transaction price at the end of each reporting period, including our assessment of whether our estimate of variable consideration is constrained to the extent that it is probable that a significant reversal of cumulative revenue will not occur once any uncertainty is resolved. We record any necessary adjustments in the current period’s revenue. $23.0 million variable consideration was recognized as additional revenue in the year ended December 31, 2023 that related to collections for COVID-19 tests completed in the prior period.</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Valuation of Goodwill and Indefinite-Lived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valuation of assets acquired in a business combination and asset impairment reviews require the use of significant estimates and assumptions. The acquisition method of accounting for business combinations requires us to estimate the fair value of assets acquired, liabilities assumed, and any noncontrolling interest in an acquired business to properly allocate purchase price consideration between assets that are depreciated or amortized and goodwill.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assess goodwill and indefinite-lived intangibles for impairment on an annual basis and between annual tests if an event occurs or circumstances change that would more likely than not reduce the fair value of a reporting unit below its carrying amount. We may choose to bypass a qualitative assessment of impairment for any reporting unit and proceed directly to performing a quantitative assessment. We would recognize an impairment loss for the amount by which the reporting unit's carrying amount exceeds its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quantitative assessment includes estimating the fair value of each reporting unit and comparing it to its carrying value. We estimate the fair value of reporting units using both income-based and market-based valuation methods. We typically engage a third-party appraisal firm to assist us with the valuation. Based upon the range of estimated values developed from the income and market-based methods, we determine the estimated fair value for each reporting unit. If the estimated fair value of a reporting unit exceeds its carrying value, the goodwill is not impaired, and no further review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income-based fair value methodology is based on a reporting unit’s forecasted future cash flows that are discounted to the present value using the reporting unit’s weighted average cost of capital, or WACC. Under the income-based approach, it requires management's assumptions and judgments regarding economic conditions in the markets in which we operate and conditions in the capital markets, many of which are outside of management's control. The market-based fair value methodology looks at the guideline public company valuation method to determine the prices of comparable public companies and looks at merger and acquisition methods, similar businesses that were sold recently, to estimate the value of our reporting units. Under the market-based approach, judgment is required in evaluating market multiples and recent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performed our annual goodwill and intangible asset impairment test on December 31, 2023, and elected to bypass the optional qualitative test and perform the quantitative assessments for both our laboratory services and therapeutic development reporting units which includes an indefinite-lived intangible asset.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the estimates and assumptions management made for the purposes of the goodwill or in-process research &amp; development, or IPR&amp;D, impairment analysis will prove to be accurate predictions of future performance. It is possible that the conclusions regarding impairment or recoverability of goodwill or intangible assets could change in future periods. We will continue to monitor the therapeutic development reporting unit. For all IPR&amp;D projects, there are major risks and uncertainties associated with the timely and successful completion of development and commercialization of these product candidates, including the ability to confirm their efficacy based on data from clinical trials, the ability to obtain necessary regulatory approvals, and the ability to successfully complete these tasks within budgeted costs. We are not able to market a human therapeutic without obtaining regulatory approvals, and such approvals require completing clinical trials that demonstrate a product candidate is safe and effective. In addition, the availability and extent of coverage and reimbursement from third-party payers, including government healthcare programs and private insurance plans, impact the revenues a product can generate. Consequently, the eventual realized value, if any, of these acquired IPR&amp;D projects may vary from their estimated fair values.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Summary of Significant Accounting Policies</w:t>
      </w:r>
      <w:r>
        <w:rPr>
          <w:rFonts w:ascii="Times New Roman" w:hAnsi="Times New Roman"/>
          <w:color w:val="000000"/>
          <w:sz w:val="20"/>
        </w:rPr>
        <w:t xml:space="preserve">, to our consolidated financial statements included in this report for information about recent accounting pronouncements.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have, and do not currently have, any off-balance sheet arrangements during the periods presented,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pStyle w:val="TextBody"/>
        <w:bidi w:val="0"/>
        <w:spacing w:before="360" w:after="283"/>
        <w:jc w:val="left"/>
        <w:rPr>
          <w:rFonts w:ascii="Times New Roman" w:hAnsi="Times New Roman"/>
          <w:b/>
          <w:color w:val="000000"/>
          <w:sz w:val="20"/>
        </w:rPr>
      </w:pPr>
      <w:bookmarkStart w:id="15" w:name="item_7a_quantitative_qualitative_disclos"/>
      <w:bookmarkEnd w:id="15"/>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from fluctuations in interest rates and foreign currency translation, which may adversely affect our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invest in marketable debt securities, including corporate debt securities, municipal bonds, U.S. government and agency debt securities, and debt instruments issued by foreign governments. Our investment policy and strategy are focused on the preservation of capital and supporting our liquidity requirements. We typically invest in highly rated securities, with the primary objective of minimizing the potential risk of principal loss. Our investments in fixed rate interest earning securities carry a degree of interest 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Fixed rate securities may have their fair market value adversely affected due to a rise in interest rates. Unrealized gains or losses on our marketable debt securities are primarily due to interest rate fluctuations as compared to interest rates at the time of purchase. We measure our debt securities at fair value with gains and losses recorded in Other Comprehensive Income until the securities are sold, less any expected credit losses.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provide a meaningful assessment of the interest rate risk associated with our investment portfolio, we performed a sensitivity analysis to determine the impact a change in interest rates would have on the value of the investment portfolio assuming a 100-basis point parallel shift in the yield curve. Based on investment positions as of December 31, 2023 and, 2022, a hypothetical 100 basis point increase in interest rates across all maturities would result in an incremental decline of $10.1 million and $7.3 million, respectively, in the fair market value of the portfolio. Such losses would only be realized if we sold the investments prior to maturity.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transact business in multiple currencies, in addition, we translate the assets and liabilities of our non-U.S. dollar functional currency subsidiaries into U.S. dollars. Foreign assets, liabilities, revenues, as well as costs and expenses denominated in foreign currencies, expose us to the risk of fluctuations in foreign currency exchange rates against the U.S. dollar. Our foreign currency exposures are primarily concentrated in the Chinese yuan. For the purpose of analyzing foreign currency exchange risk, we considered the historical trends in foreign currency exchange rates and determined that it was reasonably possible that adverse changes in exchange rates of 10% could be experienced in the near term.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adverse 10% foreign currency exchange rate change was applied to total monetary assets denominated in currencies other than the functional currencies at the balance sheet date, it would have resulted in decrease on income before income taxes of approximately $1.3 million as of December 31, 2023, and $844,000 as of December 31, 2022.</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8_financial_statements_supplementar"/>
      <w:bookmarkEnd w:id="16"/>
      <w:r>
        <w:rPr>
          <w:rFonts w:ascii="Times New Roman" w:hAnsi="Times New Roman"/>
          <w:b/>
          <w:color w:val="000000"/>
          <w:sz w:val="20"/>
        </w:rPr>
        <w:t>Item 8. 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8 immediately follows the signature page to this report and is incorporated herein by reference.</w:t>
      </w:r>
    </w:p>
    <w:p>
      <w:pPr>
        <w:pStyle w:val="TextBody"/>
        <w:bidi w:val="0"/>
        <w:spacing w:before="360" w:after="283"/>
        <w:jc w:val="left"/>
        <w:rPr>
          <w:rFonts w:ascii="Times New Roman" w:hAnsi="Times New Roman"/>
          <w:b/>
          <w:color w:val="000000"/>
          <w:sz w:val="20"/>
        </w:rPr>
      </w:pPr>
      <w:bookmarkStart w:id="17" w:name="item_9_changes_in_disagreements_with_acc"/>
      <w:bookmarkEnd w:id="17"/>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8" w:name="item_9a_controls_procedures"/>
      <w:bookmarkEnd w:id="18"/>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As required by Rules 13a-15(b) and 15d-15(b) under the Exchange Act, our management, with the participation of our principal executive officer and principal financial officer, conducted an evaluation of the effectiveness of our disclosure controls and procedures as of December 31, 2023. Based on this evaluation, our principal executive officer and principal financial officer concluded that our disclosure controls and procedures were effective as of December 31,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Internal Control over Financial Reporting</w:t>
      </w:r>
    </w:p>
    <w:p>
      <w:pPr>
        <w:pStyle w:val="TextBody"/>
        <w:bidi w:val="0"/>
        <w:spacing w:before="120" w:after="283"/>
        <w:jc w:val="left"/>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during the year ended December 31, 2023, that has materially affected, or is reasonably likely to materially affect, our internal control over financial reporting.</w:t>
      </w:r>
    </w:p>
    <w:p>
      <w:pPr>
        <w:pStyle w:val="TextBody"/>
        <w:bidi w:val="0"/>
        <w:spacing w:before="360" w:after="283"/>
        <w:jc w:val="left"/>
        <w:rPr>
          <w:rFonts w:ascii="Times New Roman" w:hAnsi="Times New Roman"/>
          <w:sz w:val="20"/>
        </w:rPr>
      </w:pPr>
      <w:r>
        <w:rPr>
          <w:rFonts w:ascii="Times New Roman" w:hAnsi="Times New Roman"/>
          <w:i/>
          <w:color w:val="000000"/>
          <w:sz w:val="20"/>
        </w:rPr>
        <w:t>Management’s Annual Report on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 13a-15(f) of the Exchange Act. Our management conducted an evaluation of the effectiveness of our internal control over financial reporting based on the framework in Internal Control—Integrated Framework issued by the Committee of Sponsoring Organizations of the Treadway Commission (2013 framework). Based on this evaluation, management concluded that our internal control over financial reporting was effective as of December 31, 2023. Management reviewed the results of its assessment with our Audit and Compliance Committee. The effectiveness of our internal control over financial reporting as of December 31, 2023 has been audited by Deloitte &amp; Touche LLP, an independent registered public accounting firm, as stated in its report, which is included in Item 8 of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Inherent Limitations on Disclosure Controls and Procedures and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stockholders and the Board of Directors of Fulgent Genetics, Inc.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audited the internal control over financial reporting of Fulgent Genetics, Inc. and subsidiaries (the “Company”)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the Company maintained, in all material respects,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effective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as of and for the year ended December 31, 2023, of the Company and our report dated February 28, 2024, expressed an unqualified opinion on those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 Angeles, California </w:t>
      </w:r>
    </w:p>
    <w:p>
      <w:pPr>
        <w:pStyle w:val="TextBody"/>
        <w:bidi w:val="0"/>
        <w:jc w:val="left"/>
        <w:rPr>
          <w:rFonts w:ascii="Times New Roman" w:hAnsi="Times New Roman"/>
          <w:color w:val="000000"/>
          <w:sz w:val="20"/>
        </w:rPr>
      </w:pPr>
      <w:r>
        <w:rPr>
          <w:rFonts w:ascii="Times New Roman" w:hAnsi="Times New Roman"/>
          <w:color w:val="000000"/>
          <w:sz w:val="20"/>
        </w:rPr>
        <w:t>February 28, 2024</w:t>
      </w:r>
    </w:p>
    <w:p>
      <w:pPr>
        <w:pStyle w:val="TextBody"/>
        <w:bidi w:val="0"/>
        <w:spacing w:before="320" w:after="283"/>
        <w:jc w:val="left"/>
        <w:rPr>
          <w:rFonts w:ascii="Times New Roman" w:hAnsi="Times New Roman"/>
          <w:sz w:val="20"/>
        </w:rPr>
      </w:pPr>
      <w:bookmarkStart w:id="19" w:name="item_9b_or_information"/>
      <w:bookmarkEnd w:id="19"/>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December 31, 2023, none of our directors or officers adopted or terminated “Rule 10b5-1 trading arrangement” or “non-Rule 10b5-1 trading arrangement,” as each term is defined in Item 408 of Regulation S-K.</w:t>
      </w:r>
    </w:p>
    <w:p>
      <w:pPr>
        <w:pStyle w:val="TextBody"/>
        <w:bidi w:val="0"/>
        <w:spacing w:before="320" w:after="283"/>
        <w:jc w:val="left"/>
        <w:rPr>
          <w:rFonts w:ascii="Times New Roman" w:hAnsi="Times New Roman"/>
          <w:b/>
          <w:color w:val="000000"/>
          <w:sz w:val="20"/>
        </w:rPr>
      </w:pPr>
      <w:bookmarkStart w:id="20" w:name="item_9c_disclosure"/>
      <w:bookmarkEnd w:id="20"/>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part_iii"/>
      <w:bookmarkEnd w:id="2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40" w:after="283"/>
        <w:jc w:val="left"/>
        <w:rPr>
          <w:rFonts w:ascii="Times New Roman" w:hAnsi="Times New Roman"/>
          <w:b/>
          <w:color w:val="000000"/>
          <w:sz w:val="20"/>
        </w:rPr>
      </w:pPr>
      <w:bookmarkStart w:id="22" w:name="item_10_directors_executive_ficers_corpo"/>
      <w:bookmarkEnd w:id="22"/>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2024 annual meeting of stockholders or an amendment to this report, in either case to be filed with the SEC within 120 days after the end of our fiscal year ended December 31, 2023.</w:t>
      </w:r>
    </w:p>
    <w:p>
      <w:pPr>
        <w:pStyle w:val="TextBody"/>
        <w:bidi w:val="0"/>
        <w:spacing w:before="360" w:after="283"/>
        <w:jc w:val="left"/>
        <w:rPr>
          <w:rFonts w:ascii="Times New Roman" w:hAnsi="Times New Roman"/>
          <w:b/>
          <w:color w:val="000000"/>
          <w:sz w:val="20"/>
        </w:rPr>
      </w:pPr>
      <w:bookmarkStart w:id="23" w:name="item_11_executive_compensation"/>
      <w:bookmarkEnd w:id="23"/>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2024 annual meeting of stockholders or an amendment to this report, in either case to be filed with the SEC within 120 days after the end of our fiscal year ended December 31, 2023.</w:t>
      </w:r>
    </w:p>
    <w:p>
      <w:pPr>
        <w:pStyle w:val="TextBody"/>
        <w:bidi w:val="0"/>
        <w:spacing w:before="360" w:after="283"/>
        <w:jc w:val="left"/>
        <w:rPr>
          <w:rFonts w:ascii="Times New Roman" w:hAnsi="Times New Roman"/>
          <w:b/>
          <w:color w:val="000000"/>
          <w:sz w:val="20"/>
        </w:rPr>
      </w:pPr>
      <w:bookmarkStart w:id="24" w:name="item_12_security_ownership_certain_benef"/>
      <w:bookmarkEnd w:id="24"/>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2024 annual meeting of stockholders or an amendment to this report, in either case to be filed with the SEC within 120 days after the end of our fiscal year ended December 31, 2023.</w:t>
      </w:r>
    </w:p>
    <w:p>
      <w:pPr>
        <w:pStyle w:val="TextBody"/>
        <w:bidi w:val="0"/>
        <w:spacing w:before="360" w:after="283"/>
        <w:jc w:val="left"/>
        <w:rPr>
          <w:rFonts w:ascii="Times New Roman" w:hAnsi="Times New Roman"/>
          <w:sz w:val="20"/>
        </w:rPr>
      </w:pPr>
      <w:bookmarkStart w:id="25" w:name="item_13_certain_relationships_related_tr"/>
      <w:bookmarkEnd w:id="25"/>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2024 annual meeting of stockholders or an amendment to this report, in either case to be filed with the SEC within 120 days after the end of our fiscal year ended December 31, 2023.</w:t>
      </w:r>
    </w:p>
    <w:p>
      <w:pPr>
        <w:pStyle w:val="TextBody"/>
        <w:bidi w:val="0"/>
        <w:spacing w:before="360" w:after="283"/>
        <w:jc w:val="left"/>
        <w:rPr>
          <w:rFonts w:ascii="Times New Roman" w:hAnsi="Times New Roman"/>
          <w:b/>
          <w:color w:val="000000"/>
          <w:sz w:val="20"/>
        </w:rPr>
      </w:pPr>
      <w:bookmarkStart w:id="26" w:name="item_14_principal_accounting_fees_servic"/>
      <w:bookmarkEnd w:id="26"/>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2024 annual meeting of stockholders or an amendment to this report, in either case to be filed with the SEC within 120 days after the end of our fiscal year ended December 31, 2023.</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part_iv"/>
      <w:bookmarkEnd w:id="27"/>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left"/>
        <w:rPr>
          <w:rFonts w:ascii="Times New Roman" w:hAnsi="Times New Roman"/>
          <w:b/>
          <w:color w:val="000000"/>
          <w:sz w:val="20"/>
        </w:rPr>
      </w:pPr>
      <w:bookmarkStart w:id="28" w:name="item_15_exhibits_financial_statement_sch"/>
      <w:bookmarkEnd w:id="28"/>
      <w:r>
        <w:rPr>
          <w:rFonts w:ascii="Times New Roman" w:hAnsi="Times New Roman"/>
          <w:b/>
          <w:color w:val="000000"/>
          <w:sz w:val="20"/>
        </w:rPr>
        <w:t>Item 15. Exhibits and Financial Statement Schedules.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(a)(1)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financial statements are included immediately following the signature page hereof and are filed as part of this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48"/>
        <w:gridCol w:w="290"/>
        <w:gridCol w:w="667"/>
      </w:tblGrid>
      <w:tr>
        <w:trPr/>
        <w:tc>
          <w:tcPr>
            <w:tcW w:w="92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9248" w:type="dxa"/>
            <w:tcBorders/>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80"/>
                  <w:sz w:val="20"/>
                </w:rPr>
                <w:t>Report of Independent Registered Public Accounting Firm</w:t>
              </w:r>
            </w:hyperlink>
            <w:r>
              <w:rPr>
                <w:rFonts w:ascii="Times New Roman" w:hAnsi="Times New Roman"/>
                <w:color w:val="0000FF"/>
                <w:sz w:val="20"/>
              </w:rPr>
              <w:t> (PCAOB ID: 34)</w:t>
            </w:r>
          </w:p>
        </w:tc>
        <w:tc>
          <w:tcPr>
            <w:tcW w:w="290" w:type="dxa"/>
            <w:tcBorders/>
            <w:vAlign w:val="center"/>
          </w:tcPr>
          <w:p>
            <w:pPr>
              <w:pStyle w:val="TableContents"/>
              <w:bidi w:val="0"/>
              <w:spacing w:before="0" w:after="283"/>
              <w:ind w:left="0" w:right="144" w:hanging="0"/>
              <w:jc w:val="right"/>
              <w:rPr/>
            </w:pPr>
            <w:r>
              <w:rPr/>
              <w:t> </w:t>
            </w:r>
          </w:p>
        </w:tc>
        <w:tc>
          <w:tcPr>
            <w:tcW w:w="667" w:type="dxa"/>
            <w:tcBorders/>
            <w:vAlign w:val="center"/>
          </w:tcPr>
          <w:p>
            <w:pPr>
              <w:pStyle w:val="TableContents"/>
              <w:bidi w:val="0"/>
              <w:spacing w:before="0" w:after="283"/>
              <w:ind w:left="0" w:right="144" w:hanging="0"/>
              <w:jc w:val="right"/>
              <w:rPr>
                <w:rFonts w:ascii="Times New Roman" w:hAnsi="Times New Roman"/>
                <w:color w:val="000000"/>
                <w:sz w:val="20"/>
              </w:rPr>
            </w:pPr>
            <w:r>
              <w:rPr>
                <w:rFonts w:ascii="Times New Roman" w:hAnsi="Times New Roman"/>
                <w:color w:val="000000"/>
                <w:sz w:val="20"/>
              </w:rPr>
              <w:t>F-2</w:t>
            </w:r>
          </w:p>
        </w:tc>
      </w:tr>
      <w:tr>
        <w:trPr/>
        <w:tc>
          <w:tcPr>
            <w:tcW w:w="9248" w:type="dxa"/>
            <w:tcBorders/>
            <w:vAlign w:val="center"/>
          </w:tcPr>
          <w:p>
            <w:pPr>
              <w:pStyle w:val="TableContents"/>
              <w:bidi w:val="0"/>
              <w:spacing w:before="0" w:after="283"/>
              <w:jc w:val="left"/>
              <w:rPr/>
            </w:pPr>
            <w:hyperlink w:anchor="consolidated_balance_sheet">
              <w:r>
                <w:rPr>
                  <w:rStyle w:val="InternetLink"/>
                  <w:rFonts w:ascii="Times New Roman" w:hAnsi="Times New Roman"/>
                  <w:color w:val="0000FF"/>
                  <w:sz w:val="20"/>
                </w:rPr>
                <w:t>Consolidated Balance Sheets as of December 31, 2023 and 2022</w:t>
              </w:r>
            </w:hyperlink>
          </w:p>
        </w:tc>
        <w:tc>
          <w:tcPr>
            <w:tcW w:w="290" w:type="dxa"/>
            <w:tcBorders/>
            <w:vAlign w:val="center"/>
          </w:tcPr>
          <w:p>
            <w:pPr>
              <w:pStyle w:val="TableContents"/>
              <w:bidi w:val="0"/>
              <w:spacing w:before="0" w:after="283"/>
              <w:ind w:left="0" w:right="144" w:hanging="0"/>
              <w:jc w:val="right"/>
              <w:rPr/>
            </w:pPr>
            <w:r>
              <w:rPr/>
              <w:t> </w:t>
            </w:r>
          </w:p>
        </w:tc>
        <w:tc>
          <w:tcPr>
            <w:tcW w:w="667" w:type="dxa"/>
            <w:tcBorders/>
            <w:vAlign w:val="center"/>
          </w:tcPr>
          <w:p>
            <w:pPr>
              <w:pStyle w:val="TableContents"/>
              <w:bidi w:val="0"/>
              <w:spacing w:before="0" w:after="283"/>
              <w:ind w:left="0" w:right="144" w:hanging="0"/>
              <w:jc w:val="right"/>
              <w:rPr>
                <w:rFonts w:ascii="Times New Roman" w:hAnsi="Times New Roman"/>
                <w:color w:val="000000"/>
                <w:sz w:val="20"/>
              </w:rPr>
            </w:pPr>
            <w:r>
              <w:rPr>
                <w:rFonts w:ascii="Times New Roman" w:hAnsi="Times New Roman"/>
                <w:color w:val="000000"/>
                <w:sz w:val="20"/>
              </w:rPr>
              <w:t>F-5</w:t>
            </w:r>
          </w:p>
        </w:tc>
      </w:tr>
      <w:tr>
        <w:trPr/>
        <w:tc>
          <w:tcPr>
            <w:tcW w:w="9248" w:type="dxa"/>
            <w:tcBorders/>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rPr>
                <w:t>Consolidated Statements of Operations for the Years Ended December 31, 2023, 2022 and 2021</w:t>
              </w:r>
            </w:hyperlink>
          </w:p>
        </w:tc>
        <w:tc>
          <w:tcPr>
            <w:tcW w:w="290" w:type="dxa"/>
            <w:tcBorders/>
            <w:vAlign w:val="center"/>
          </w:tcPr>
          <w:p>
            <w:pPr>
              <w:pStyle w:val="TableContents"/>
              <w:bidi w:val="0"/>
              <w:spacing w:before="0" w:after="283"/>
              <w:ind w:left="0" w:right="144" w:hanging="0"/>
              <w:jc w:val="right"/>
              <w:rPr/>
            </w:pPr>
            <w:r>
              <w:rPr/>
              <w:t> </w:t>
            </w:r>
          </w:p>
        </w:tc>
        <w:tc>
          <w:tcPr>
            <w:tcW w:w="667" w:type="dxa"/>
            <w:tcBorders/>
            <w:vAlign w:val="center"/>
          </w:tcPr>
          <w:p>
            <w:pPr>
              <w:pStyle w:val="TableContents"/>
              <w:bidi w:val="0"/>
              <w:spacing w:before="0" w:after="283"/>
              <w:ind w:left="0" w:right="144" w:hanging="0"/>
              <w:jc w:val="right"/>
              <w:rPr>
                <w:rFonts w:ascii="Times New Roman" w:hAnsi="Times New Roman"/>
                <w:color w:val="000000"/>
                <w:sz w:val="20"/>
              </w:rPr>
            </w:pPr>
            <w:r>
              <w:rPr>
                <w:rFonts w:ascii="Times New Roman" w:hAnsi="Times New Roman"/>
                <w:color w:val="000000"/>
                <w:sz w:val="20"/>
              </w:rPr>
              <w:t>F-6</w:t>
            </w:r>
          </w:p>
        </w:tc>
      </w:tr>
      <w:tr>
        <w:trPr/>
        <w:tc>
          <w:tcPr>
            <w:tcW w:w="9248" w:type="dxa"/>
            <w:tcBorders/>
            <w:vAlign w:val="center"/>
          </w:tcPr>
          <w:p>
            <w:pPr>
              <w:pStyle w:val="TableContents"/>
              <w:bidi w:val="0"/>
              <w:spacing w:before="0" w:after="283"/>
              <w:jc w:val="left"/>
              <w:rPr/>
            </w:pPr>
            <w:hyperlink w:anchor="consolidated_stmt_of_comp_lost">
              <w:r>
                <w:rPr>
                  <w:rStyle w:val="InternetLink"/>
                  <w:rFonts w:ascii="Times New Roman" w:hAnsi="Times New Roman"/>
                  <w:color w:val="0000FF"/>
                  <w:sz w:val="20"/>
                </w:rPr>
                <w:t>Consolidated Statements of Comprehensive Income (Loss) for the Years Ended December 31, 2023, 2022 and 2021</w:t>
              </w:r>
            </w:hyperlink>
          </w:p>
        </w:tc>
        <w:tc>
          <w:tcPr>
            <w:tcW w:w="290" w:type="dxa"/>
            <w:tcBorders/>
            <w:vAlign w:val="center"/>
          </w:tcPr>
          <w:p>
            <w:pPr>
              <w:pStyle w:val="TableContents"/>
              <w:bidi w:val="0"/>
              <w:spacing w:before="0" w:after="283"/>
              <w:ind w:left="0" w:right="144" w:hanging="0"/>
              <w:jc w:val="right"/>
              <w:rPr/>
            </w:pPr>
            <w:r>
              <w:rPr/>
              <w:t> </w:t>
            </w:r>
          </w:p>
        </w:tc>
        <w:tc>
          <w:tcPr>
            <w:tcW w:w="667" w:type="dxa"/>
            <w:tcBorders/>
            <w:vAlign w:val="center"/>
          </w:tcPr>
          <w:p>
            <w:pPr>
              <w:pStyle w:val="TableContents"/>
              <w:bidi w:val="0"/>
              <w:spacing w:before="0" w:after="283"/>
              <w:ind w:left="0" w:right="144" w:hanging="0"/>
              <w:jc w:val="right"/>
              <w:rPr>
                <w:rFonts w:ascii="Times New Roman" w:hAnsi="Times New Roman"/>
                <w:color w:val="000000"/>
                <w:sz w:val="20"/>
              </w:rPr>
            </w:pPr>
            <w:r>
              <w:rPr>
                <w:rFonts w:ascii="Times New Roman" w:hAnsi="Times New Roman"/>
                <w:color w:val="000000"/>
                <w:sz w:val="20"/>
              </w:rPr>
              <w:t>F-7</w:t>
            </w:r>
          </w:p>
        </w:tc>
      </w:tr>
      <w:tr>
        <w:trPr/>
        <w:tc>
          <w:tcPr>
            <w:tcW w:w="9248" w:type="dxa"/>
            <w:tcBorders/>
            <w:vAlign w:val="center"/>
          </w:tcPr>
          <w:p>
            <w:pPr>
              <w:pStyle w:val="TableContents"/>
              <w:bidi w:val="0"/>
              <w:spacing w:before="0" w:after="283"/>
              <w:jc w:val="left"/>
              <w:rPr/>
            </w:pPr>
            <w:hyperlink w:anchor="consolidated_stmt_of_stockholdres">
              <w:r>
                <w:rPr>
                  <w:rStyle w:val="InternetLink"/>
                  <w:rFonts w:ascii="Times New Roman" w:hAnsi="Times New Roman"/>
                  <w:color w:val="0000FF"/>
                  <w:sz w:val="20"/>
                </w:rPr>
                <w:t>Consolidated Statements of Stockholders’ Equity for the Years Ended December 31, 2023, 2022 and 202</w:t>
              </w:r>
            </w:hyperlink>
            <w:r>
              <w:rPr>
                <w:rFonts w:ascii="Times New Roman" w:hAnsi="Times New Roman"/>
                <w:color w:val="000000"/>
                <w:sz w:val="20"/>
              </w:rPr>
              <w:t>1</w:t>
            </w:r>
          </w:p>
        </w:tc>
        <w:tc>
          <w:tcPr>
            <w:tcW w:w="290" w:type="dxa"/>
            <w:tcBorders/>
            <w:vAlign w:val="center"/>
          </w:tcPr>
          <w:p>
            <w:pPr>
              <w:pStyle w:val="TableContents"/>
              <w:bidi w:val="0"/>
              <w:spacing w:before="0" w:after="283"/>
              <w:ind w:left="0" w:right="144" w:hanging="0"/>
              <w:jc w:val="right"/>
              <w:rPr/>
            </w:pPr>
            <w:r>
              <w:rPr/>
              <w:t> </w:t>
            </w:r>
          </w:p>
        </w:tc>
        <w:tc>
          <w:tcPr>
            <w:tcW w:w="667" w:type="dxa"/>
            <w:tcBorders/>
            <w:vAlign w:val="center"/>
          </w:tcPr>
          <w:p>
            <w:pPr>
              <w:pStyle w:val="TableContents"/>
              <w:bidi w:val="0"/>
              <w:spacing w:before="0" w:after="283"/>
              <w:ind w:left="0" w:right="144" w:hanging="0"/>
              <w:jc w:val="right"/>
              <w:rPr>
                <w:rFonts w:ascii="Times New Roman" w:hAnsi="Times New Roman"/>
                <w:color w:val="000000"/>
                <w:sz w:val="20"/>
              </w:rPr>
            </w:pPr>
            <w:r>
              <w:rPr>
                <w:rFonts w:ascii="Times New Roman" w:hAnsi="Times New Roman"/>
                <w:color w:val="000000"/>
                <w:sz w:val="20"/>
              </w:rPr>
              <w:t>F-8</w:t>
            </w:r>
          </w:p>
        </w:tc>
      </w:tr>
      <w:tr>
        <w:trPr/>
        <w:tc>
          <w:tcPr>
            <w:tcW w:w="9248" w:type="dxa"/>
            <w:tcBorders/>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rPr>
                <w:t>Consolidated Statements of Cash Flows for the Years Ended December 31, 2023, 2022 and 2021</w:t>
              </w:r>
            </w:hyperlink>
          </w:p>
        </w:tc>
        <w:tc>
          <w:tcPr>
            <w:tcW w:w="290" w:type="dxa"/>
            <w:tcBorders/>
            <w:vAlign w:val="center"/>
          </w:tcPr>
          <w:p>
            <w:pPr>
              <w:pStyle w:val="TableContents"/>
              <w:bidi w:val="0"/>
              <w:spacing w:before="0" w:after="283"/>
              <w:ind w:left="0" w:right="144" w:hanging="0"/>
              <w:jc w:val="right"/>
              <w:rPr/>
            </w:pPr>
            <w:r>
              <w:rPr/>
              <w:t> </w:t>
            </w:r>
          </w:p>
        </w:tc>
        <w:tc>
          <w:tcPr>
            <w:tcW w:w="667" w:type="dxa"/>
            <w:tcBorders/>
            <w:vAlign w:val="center"/>
          </w:tcPr>
          <w:p>
            <w:pPr>
              <w:pStyle w:val="TableContents"/>
              <w:bidi w:val="0"/>
              <w:spacing w:before="0" w:after="283"/>
              <w:ind w:left="0" w:right="144" w:hanging="0"/>
              <w:jc w:val="right"/>
              <w:rPr>
                <w:rFonts w:ascii="Times New Roman" w:hAnsi="Times New Roman"/>
                <w:color w:val="000000"/>
                <w:sz w:val="20"/>
              </w:rPr>
            </w:pPr>
            <w:r>
              <w:rPr>
                <w:rFonts w:ascii="Times New Roman" w:hAnsi="Times New Roman"/>
                <w:color w:val="000000"/>
                <w:sz w:val="20"/>
              </w:rPr>
              <w:t>F-9</w:t>
            </w:r>
          </w:p>
        </w:tc>
      </w:tr>
      <w:tr>
        <w:trPr/>
        <w:tc>
          <w:tcPr>
            <w:tcW w:w="9248" w:type="dxa"/>
            <w:tcBorders/>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rPr>
                <w:t>Notes to Consolidated Financial Statements</w:t>
              </w:r>
            </w:hyperlink>
          </w:p>
        </w:tc>
        <w:tc>
          <w:tcPr>
            <w:tcW w:w="290" w:type="dxa"/>
            <w:tcBorders/>
            <w:vAlign w:val="center"/>
          </w:tcPr>
          <w:p>
            <w:pPr>
              <w:pStyle w:val="TableContents"/>
              <w:bidi w:val="0"/>
              <w:spacing w:before="0" w:after="283"/>
              <w:ind w:left="0" w:right="144" w:hanging="0"/>
              <w:jc w:val="right"/>
              <w:rPr/>
            </w:pPr>
            <w:r>
              <w:rPr/>
              <w:t> </w:t>
            </w:r>
          </w:p>
        </w:tc>
        <w:tc>
          <w:tcPr>
            <w:tcW w:w="667" w:type="dxa"/>
            <w:tcBorders/>
            <w:vAlign w:val="center"/>
          </w:tcPr>
          <w:p>
            <w:pPr>
              <w:pStyle w:val="TableContents"/>
              <w:bidi w:val="0"/>
              <w:spacing w:before="0" w:after="283"/>
              <w:ind w:left="0" w:right="144" w:hanging="0"/>
              <w:jc w:val="right"/>
              <w:rPr>
                <w:rFonts w:ascii="Times New Roman" w:hAnsi="Times New Roman"/>
                <w:color w:val="000000"/>
                <w:sz w:val="20"/>
              </w:rPr>
            </w:pPr>
            <w:r>
              <w:rPr>
                <w:rFonts w:ascii="Times New Roman" w:hAnsi="Times New Roman"/>
                <w:color w:val="000000"/>
                <w:sz w:val="20"/>
              </w:rPr>
              <w:t>F-10</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(a)(2)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financial statement schedules have been omitted, as they are not required, not applicable, or the required information is otherwise included.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(a)(3)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15(a)(3) is set forth on the Exhibit Index immediately preceding the signature page of this report and is incorporated herein by reference.</w:t>
      </w:r>
    </w:p>
    <w:p>
      <w:pPr>
        <w:pStyle w:val="TextBody"/>
        <w:bidi w:val="0"/>
        <w:spacing w:before="360" w:after="283"/>
        <w:jc w:val="left"/>
        <w:rPr>
          <w:rFonts w:ascii="Times New Roman" w:hAnsi="Times New Roman"/>
          <w:sz w:val="20"/>
        </w:rPr>
      </w:pPr>
      <w:bookmarkStart w:id="29" w:name="item_16_form_10k_summary"/>
      <w:bookmarkEnd w:id="29"/>
      <w:r>
        <w:rPr>
          <w:rFonts w:ascii="Times New Roman" w:hAnsi="Times New Roman"/>
          <w:b/>
          <w:color w:val="000000"/>
          <w:sz w:val="20"/>
        </w:rPr>
        <w:t>Item 16. Form 10-K</w:t>
      </w:r>
      <w:r>
        <w:rPr>
          <w:rFonts w:ascii="Times New Roman" w:hAnsi="Times New Roman"/>
          <w:color w:val="000000"/>
          <w:sz w:val="20"/>
        </w:rPr>
        <w:t xml:space="preserve"> </w:t>
      </w:r>
      <w:r>
        <w:rPr>
          <w:rFonts w:ascii="Times New Roman" w:hAnsi="Times New Roman"/>
          <w:b/>
          <w:color w:val="000000"/>
          <w:sz w:val="20"/>
        </w:rPr>
        <w:t>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06"/>
        <w:gridCol w:w="146"/>
        <w:gridCol w:w="4679"/>
        <w:gridCol w:w="146"/>
        <w:gridCol w:w="511"/>
        <w:gridCol w:w="146"/>
        <w:gridCol w:w="789"/>
        <w:gridCol w:w="146"/>
        <w:gridCol w:w="1169"/>
        <w:gridCol w:w="146"/>
        <w:gridCol w:w="647"/>
        <w:gridCol w:w="146"/>
        <w:gridCol w:w="828"/>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67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8"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9"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Reference 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16"/>
                  <w:u w:val="single"/>
                </w:rPr>
                <w:t>Agreement and Plan of Merger, dated September 16, 2016, by and among the registrant, Fulgent MergerSub, LLC and Fulgent Therapeutics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9/19/2016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16"/>
                  <w:u w:val="single"/>
                </w:rPr>
                <w:t>Certificate of Incorporation of the registrant, dated May 13, 2016.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8/14/2017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16"/>
                  <w:u w:val="single"/>
                </w:rPr>
                <w:t>Certificate of Amendment to Certificate of Incorporation of the registrant, dated August 2, 2016.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8/14/2017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16"/>
                  <w:u w:val="single"/>
                </w:rPr>
                <w:t>Certificate of Amendment to Certificate of Incorporation of the registrant, dated May 17, 2017.</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8/14/2017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16"/>
                  <w:u w:val="single"/>
                </w:rPr>
                <w:t>Amended and Restated Bylaws.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16"/>
                  <w:u w:val="single"/>
                </w:rPr>
                <w:t>Form of Certificate of Common Stock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9/19/2016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gt-ex4_2.htm">
              <w:r>
                <w:rPr>
                  <w:rStyle w:val="InternetLink"/>
                  <w:rFonts w:ascii="Times New Roman" w:hAnsi="Times New Roman"/>
                  <w:color w:val="0000FF"/>
                  <w:sz w:val="16"/>
                  <w:u w:val="single"/>
                </w:rPr>
                <w:t>Description of the registrant’s securities.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16"/>
                  <w:u w:val="single"/>
                </w:rPr>
                <w:t>Form of Indemnification Agreement between the registrant and each of its officers and directors.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16"/>
                  <w:u w:val="single"/>
                </w:rPr>
                <w:t>Amended and Restated 2015 Equity Incentive Plan of Fulgent Therapeutics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16"/>
                  <w:u w:val="single"/>
                </w:rPr>
                <w:t>Form of Notice of Option Grant and Option Agreement under the Amended and Restated 2015 Equity Incentive Plan of Fulgent Therapeutics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16"/>
                  <w:u w:val="single"/>
                </w:rPr>
                <w:t>Form of Notice of Profits Interest Grant and Profits Interest Agreement under the Amended and Restated 2015 Equity Incentive Plan of Fulgent Therapeutics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16"/>
                  <w:u w:val="single"/>
                </w:rPr>
                <w:t>Form of Notice of Restricted Share Unit Grant and Restricted Share Unit Agreement under the Amended and Restated 2015 Equity Incentive Plan of Fulgent Therapeutics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16"/>
                  <w:u w:val="single"/>
                </w:rPr>
                <w:t>2016 Omnibus Incentive Plan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10.7#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16"/>
                  <w:u w:val="single"/>
                </w:rPr>
                <w:t>Form of Notice of Stock Option Award and Stock Option Award Agreement under the 2016 Omnibus Incentive Plan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16"/>
                  <w:u w:val="single"/>
                </w:rPr>
                <w:t>Form of Notice of Restricted Stock Unit Award and Restricted Stock Unit Agreement under the 2016 Omnibus Incentive Plan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3/17/2017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16"/>
                  <w:u w:val="single"/>
                </w:rPr>
                <w:t>Form of Option Substitution Award under the 2016 Omnibus Incentive Plan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16"/>
                  <w:u w:val="single"/>
                </w:rPr>
                <w:t>Form of Notice of Restricted Stock Unit Substitution Award and Restricted Stock Unit Agreement under the 2016 Omnibus Incentive Plan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16"/>
                  <w:u w:val="single"/>
                </w:rPr>
                <w:t>Employment Agreement, dated May 25, 2016, by and among Fulgent Therapeutics LLC, the registrant and Ming Hsieh.</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16"/>
                  <w:u w:val="single"/>
                </w:rPr>
                <w:t>Employment Agreement, dated May 25, 2016, by and among Fulgent Therapeutics LLC, the registrant and Paul Kim.</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16"/>
                  <w:u w:val="single"/>
                </w:rPr>
                <w:t>Amended and Restated Employment Agreement, dated May 25, 2016, by and among Fulgent Therapeutics LLC, the registrant and Han Lin Gao.</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16"/>
                  <w:u w:val="single"/>
                </w:rPr>
                <w:t>Severance Agreement, dated July 7, 2016, by and among Fulgent Therapeutics LLC, the registrant and Ming Hsieh.</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16"/>
                  <w:u w:val="single"/>
                </w:rPr>
                <w:t>Severance Agreement, dated July 7, 2016, by and among Fulgent Therapeutics LLC, the registrant and Paul Kim.</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16"/>
                  <w:u w:val="single"/>
                </w:rPr>
                <w:t>Severance Agreement, dated July 7, 2016, by and among Fulgent Therapeutics LLC, the registrant and Han Lin Gao.</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16"/>
                  <w:u w:val="single"/>
                </w:rPr>
                <w:t>Contribution and Allocation Agreement, dated May 19, 2016, by and among Fulgent Therapeutics LLC, Fulgent Pharma LLC and Ming Hsieh.</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16"/>
                  <w:u w:val="single"/>
                </w:rPr>
                <w:t>Form of Fourth Amended and Restated Operating Agreement of Fulgent Therapeutics LLC, to be in effect upon completion of the Reorganization.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333-213469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9/19/2016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16"/>
                  <w:u w:val="single"/>
                </w:rPr>
                <w:t>Director Compensation Program of the registrant, effective as of September 28, 2016 and amended November 2, 2017.</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3/20/2018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880"/>
        <w:gridCol w:w="146"/>
        <w:gridCol w:w="511"/>
        <w:gridCol w:w="146"/>
        <w:gridCol w:w="728"/>
        <w:gridCol w:w="146"/>
        <w:gridCol w:w="1105"/>
        <w:gridCol w:w="146"/>
        <w:gridCol w:w="572"/>
        <w:gridCol w:w="146"/>
        <w:gridCol w:w="82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8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5"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Reference 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7"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16"/>
                  <w:u w:val="single"/>
                </w:rPr>
                <w:t>Cooperation Agreement on the Establishment of Fujian Fujun Gene Biotech Co., Ltd., dated April 25, 2017, by and among Shenzhen Fujin Gene Science &amp; Technology Co., Ltd., Xilong Scientific Co., Ltd. and Fuzhou Jinqiang Investment Partnership (LP).</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8/14/2017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16"/>
                  <w:u w:val="single"/>
                </w:rPr>
                <w:t>Equity Distribution Agreement, dated August 30, 2019, by and between Fulgent Genetics, Inc. and Piper Jaffray &amp; Co.</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8/30/2019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16"/>
                  <w:u w:val="single"/>
                </w:rPr>
                <w:t>Purchase Agreement, dated as of November 13, 2019, by and between Fulgent Genetics, Inc. and Piper Jaffray &amp; Co.</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11/14/2019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16"/>
                  <w:u w:val="single"/>
                </w:rPr>
                <w:t>Amendment No. 1 to Equity Distribution Agreement, dated August 4, 2020, by and between Fulgent Genetics, Inc. and Piper Sandler &amp; Co.</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8/5/2020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16"/>
                  <w:u w:val="single"/>
                </w:rPr>
                <w:t>Equity Distribution Agreement, dated as of September 24, 2020, by and between Fulgent Genetics, Inc. and Piper Sandler &amp; Co.</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9/25/2020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16"/>
                  <w:u w:val="single"/>
                </w:rPr>
                <w:t>Equity Distribution Agreement, dated as of November 20, 2020, by and between Fulgent Genetics, Inc. and Piper Sandler &amp; Co., BTIG, LLC, and Oppenheimer &amp; Co.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16"/>
                  <w:u w:val="single"/>
                </w:rPr>
                <w:t>Fulgent Genetics, Inc. Amended and Restated 2016 Omnibus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16"/>
                  <w:u w:val="single"/>
                </w:rPr>
                <w:t>Fulgent Genetics, Inc. Amended and Restated 2016 Omnibus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9/18/2020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16"/>
                  <w:u w:val="single"/>
                </w:rPr>
                <w:t>Agreement for Purchase and Sale of Property, dated July 23, 2020</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10/21/2020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16"/>
                  <w:u w:val="single"/>
                </w:rPr>
                <w:t>Aircraft Purchase Agreement, dated August 18, 2020, by and between ServiceMaster Acceptance Corporation and the Company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16"/>
                  <w:u w:val="single"/>
                </w:rPr>
                <w:t>Employment Agreement, dated March 8, 2021, by and among Fulgent Therapeutics, LLC, Fulgent Genetics, Inc. and Jian Xie.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16"/>
                  <w:u w:val="single"/>
                </w:rPr>
                <w:t>Severance Agreement, dated March 8, 2021, by and among Fulgent Therapeutics LLC, Fulgent Genetics, Inc. and Jian Xie.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16"/>
                  <w:u w:val="single"/>
                </w:rPr>
                <w:t>Amended and Restated Non-Employee Director Compensation Policy.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16"/>
                  <w:u w:val="single"/>
                </w:rPr>
                <w:t>Restructuring Agreement of Fujian Fujun Gene Biotech Co., Ltd.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16"/>
                  <w:u w:val="single"/>
                </w:rPr>
                <w:t>Amended and Restated Commercial Lease Agreement, dated May 6, 2016, by and between Store Master Funding IX, LLC and Cytometry Specialists,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16"/>
                  <w:u w:val="single"/>
                </w:rPr>
                <w:t>Fulgent Genetics, Inc. Incentive Compensation Recoupment Policy.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16"/>
                  <w:u w:val="single"/>
                </w:rPr>
                <w:t>Agreement and Plan of Merger by and among Fulgent Therapeutics LLC, solely for purpose of Section 6.20, Fulgent Genetics, Inc., Ducks Acquisition Sub, Inc., Symphony Buyer, Inc., solely in its capacity as the representative of Symphony’s securityholders, Avista Capital Partners IV GP, L.P. and solely for purposes of Section 6.21, Article VIII and Section 10.14, those company stockholders set forth on the signature page thereto, dated as of April 16, 2022.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16"/>
                  <w:u w:val="single"/>
                </w:rPr>
                <w:t>Amended and Restated Non-Employee Director Compensation Policy, dated as of August 1, 2022.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jc w:val="left"/>
              <w:rPr>
                <w:rFonts w:ascii="Times New Roman" w:hAnsi="Times New Roman"/>
                <w:color w:val="000000"/>
                <w:sz w:val="16"/>
              </w:rPr>
            </w:pPr>
            <w:r>
              <w:rPr>
                <w:rFonts w:ascii="Times New Roman" w:hAnsi="Times New Roman"/>
                <w:color w:val="000000"/>
                <w:sz w:val="16"/>
              </w:rPr>
              <w:t>10.39#</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16"/>
                  <w:u w:val="single"/>
                </w:rPr>
                <w:t>Form of Notice of Restricted Stock Unit Award and Restricted Stock Unit Agreement under the Fulgent Pharma Holdings, Inc. 2022 Omnibus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16"/>
                  <w:u w:val="single"/>
                </w:rPr>
                <w:t>Agreement and Plan of Merger, by and among Fulgent Genetics, FG Merger Sub, Inc., Fulgent Pharma Holdings, Inc. and solely for purposes of Section 2.4, Section 5.5, Article VI, Section 7.8 and Section 7.14, those company stockholders set forth on the signature page thereto, dated November 7, 2022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6"/>
        <w:gridCol w:w="146"/>
        <w:gridCol w:w="4703"/>
        <w:gridCol w:w="146"/>
        <w:gridCol w:w="511"/>
        <w:gridCol w:w="146"/>
        <w:gridCol w:w="775"/>
        <w:gridCol w:w="146"/>
        <w:gridCol w:w="1154"/>
        <w:gridCol w:w="146"/>
        <w:gridCol w:w="631"/>
        <w:gridCol w:w="146"/>
        <w:gridCol w:w="829"/>
      </w:tblGrid>
      <w:tr>
        <w:trPr/>
        <w:tc>
          <w:tcPr>
            <w:tcW w:w="7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7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before="0" w:after="283"/>
              <w:jc w:val="left"/>
              <w:rPr>
                <w:sz w:val="4"/>
                <w:szCs w:val="4"/>
              </w:rPr>
            </w:pPr>
            <w:r>
              <w:rPr>
                <w:sz w:val="4"/>
                <w:szCs w:val="4"/>
              </w:rPr>
            </w:r>
          </w:p>
        </w:tc>
      </w:tr>
      <w:tr>
        <w:trPr/>
        <w:tc>
          <w:tcPr>
            <w:tcW w:w="72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0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Reference 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9"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gt-ex10_41.htm">
              <w:r>
                <w:rPr>
                  <w:rStyle w:val="InternetLink"/>
                  <w:rFonts w:ascii="Times New Roman" w:hAnsi="Times New Roman"/>
                  <w:color w:val="0000FF"/>
                  <w:sz w:val="16"/>
                  <w:u w:val="single"/>
                </w:rPr>
                <w:t>Rule 10b5-1 Issuer Repurchase Plan, by and between Fulgent Genetics, Inc. and Piper Sandler &amp; Co., dated December 12,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16"/>
                  <w:u w:val="single"/>
                </w:rPr>
                <w:t>Commercial Lease Agreement, dated October 20, 2008, by and between Inform Diagnostics, Inc. and iSTAR CTL I, L.P.</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16"/>
                  <w:u w:val="single"/>
                </w:rPr>
                <w:t>Commercial Lease Amendment (I), dated December 30, 2013, by and between Inform Diagnostics, Inc. and LC Med Property TT, LLC</w:t>
              </w:r>
            </w:hyperlink>
            <w:hyperlink r:id="rId59">
              <w:r>
                <w:rPr>
                  <w:rStyle w:val="InternetLink"/>
                  <w:rFonts w:ascii="Times New Roman" w:hAnsi="Times New Roman"/>
                  <w:color w:val="0000FF"/>
                  <w:sz w:val="16"/>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16"/>
                  <w:u w:val="single"/>
                </w:rPr>
                <w:t>Commercial Lease Amendment (II), dated February 3, 2014, by and between Inform Diagnostics, Inc. and LC Med Property TT,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16"/>
                  <w:u w:val="single"/>
                </w:rPr>
                <w:t>Commercial Lease Agreement by and between Inform Diagnostics and Crawford Street DE,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16"/>
                  <w:u w:val="single"/>
                </w:rPr>
                <w:t>2022 Fulgent Pharma Holdings, Inc. Omnibus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3">
              <w:r>
                <w:rPr>
                  <w:rStyle w:val="InternetLink"/>
                  <w:rFonts w:ascii="Times New Roman" w:hAnsi="Times New Roman"/>
                  <w:color w:val="0000FF"/>
                  <w:sz w:val="16"/>
                  <w:u w:val="single"/>
                </w:rPr>
                <w:t>Amended and Restated Non-Employee Director Compensation Policy, dated as of February 23,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4">
              <w:r>
                <w:rPr>
                  <w:rStyle w:val="InternetLink"/>
                  <w:rFonts w:ascii="Times New Roman" w:hAnsi="Times New Roman"/>
                  <w:color w:val="0000FF"/>
                  <w:sz w:val="16"/>
                  <w:u w:val="single"/>
                </w:rPr>
                <w:t>Executive Officer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5">
              <w:r>
                <w:rPr>
                  <w:rStyle w:val="InternetLink"/>
                  <w:rFonts w:ascii="Times New Roman" w:hAnsi="Times New Roman"/>
                  <w:color w:val="0000FF"/>
                  <w:sz w:val="16"/>
                  <w:u w:val="single"/>
                </w:rPr>
                <w:t>Amended and Restated 2016 Omnibus Incentive Plan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6">
              <w:r>
                <w:rPr>
                  <w:rStyle w:val="InternetLink"/>
                  <w:rFonts w:ascii="Times New Roman" w:hAnsi="Times New Roman"/>
                  <w:color w:val="0000FF"/>
                  <w:sz w:val="16"/>
                  <w:u w:val="single"/>
                </w:rPr>
                <w:t>Amended and Restated Executive Officer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gt-ex21_1.htm">
              <w:r>
                <w:rPr>
                  <w:rStyle w:val="InternetLink"/>
                  <w:rFonts w:ascii="Times New Roman" w:hAnsi="Times New Roman"/>
                  <w:color w:val="0000FF"/>
                  <w:sz w:val="16"/>
                  <w:u w:val="single"/>
                </w:rPr>
                <w:t>Subsidiaries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gt-ex23_1.htm">
              <w:r>
                <w:rPr>
                  <w:rStyle w:val="InternetLink"/>
                  <w:rFonts w:ascii="Times New Roman" w:hAnsi="Times New Roman"/>
                  <w:color w:val="0000FF"/>
                  <w:sz w:val="16"/>
                  <w:u w:val="single"/>
                </w:rPr>
                <w:t>Consent of Deloitte &amp; Touche LLP, independent registered public accounting firm, relating to the financial statements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16"/>
                  <w:u w:val="single"/>
                </w:rPr>
                <w:t>Power of Attorney (included on the signature page hereto)</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gt-ex31_1.htm">
              <w:r>
                <w:rPr>
                  <w:rStyle w:val="InternetLink"/>
                  <w:rFonts w:ascii="Times New Roman" w:hAnsi="Times New Roman"/>
                  <w:color w:val="0000FF"/>
                  <w:sz w:val="16"/>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gt-ex31_2.htm">
              <w:r>
                <w:rPr>
                  <w:rStyle w:val="InternetLink"/>
                  <w:rFonts w:ascii="Times New Roman" w:hAnsi="Times New Roman"/>
                  <w:color w:val="0000FF"/>
                  <w:sz w:val="16"/>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gt-ex32_1.htm">
              <w:r>
                <w:rPr>
                  <w:rStyle w:val="InternetLink"/>
                  <w:rFonts w:ascii="Times New Roman" w:hAnsi="Times New Roman"/>
                  <w:color w:val="0000FF"/>
                  <w:sz w:val="16"/>
                  <w:u w:val="single"/>
                </w:rPr>
                <w:t>Certification of Principal Executive Officer and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7">
              <w:r>
                <w:rPr>
                  <w:rStyle w:val="InternetLink"/>
                  <w:rFonts w:ascii="Times New Roman" w:hAnsi="Times New Roman"/>
                  <w:color w:val="0000FF"/>
                  <w:sz w:val="16"/>
                  <w:u w:val="single"/>
                </w:rPr>
                <w:t>Amended and Restated Incentive Compensation Recoupment Policy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Inline XBRL Instance Document – the instance document does not appear in</w:t>
            </w:r>
          </w:p>
          <w:p>
            <w:pPr>
              <w:pStyle w:val="TableContents"/>
              <w:bidi w:val="0"/>
              <w:jc w:val="left"/>
              <w:rPr>
                <w:rFonts w:ascii="Times New Roman" w:hAnsi="Times New Roman"/>
                <w:color w:val="000000"/>
                <w:sz w:val="16"/>
              </w:rPr>
            </w:pPr>
            <w:r>
              <w:rPr>
                <w:rFonts w:ascii="Times New Roman" w:hAnsi="Times New Roman"/>
                <w:color w:val="000000"/>
                <w:sz w:val="16"/>
              </w:rPr>
              <w:t>the Interactive Data File because XBRL tags are embedded within the Inline</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Schema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Calculation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Definition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Label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Presentation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Cover Page Interactive Data File (embedded within the Inline XBRL</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bl>
    <w:p>
      <w:pPr>
        <w:pStyle w:val="TextBody"/>
        <w:bidi w:val="0"/>
        <w:spacing w:before="40" w:after="283"/>
        <w:jc w:val="left"/>
        <w:rPr>
          <w:rFonts w:ascii="Times New Roman" w:hAnsi="Times New Roman"/>
          <w:color w:val="000000"/>
          <w:sz w:val="16"/>
        </w:rPr>
      </w:pPr>
      <w:r>
        <w:rPr>
          <w:rFonts w:ascii="Times New Roman" w:hAnsi="Times New Roman"/>
          <w:color w:val="000000"/>
          <w:sz w:val="16"/>
        </w:rPr>
        <w:t>* This certification is being furnished solely to accompany this report pursuant to 18 U.S.C. 1350, and are not being filed for purposes of Section 18 of the Securities Exchange Act of 1934, as amended, and is not to be incorporated by reference into any filing of the registrant, whether made before or after the date hereof, regardless of any general incorporation by reference language in such filing.</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Management contract or compensatory plan, contract or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Confidential treatment has been granted with respect to portions of this exhibit pursuant to Rule 24b-2 under the Exchange Act, and these confidential portions have been redacted from the version of this agreement that is incorporated by reference in this report. A complete copy of this exhibit, including the redacted portions, has been separately furnished to the SEC.</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Certain exhibits and schedules have been omitted pursuant to Item 601(a)(5) of Regulation S-K. The Company hereby undertakes to furnish supplementally a copy of any omitted exhibit or schedule upon request by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0" w:name="signatures"/>
      <w:bookmarkEnd w:id="30"/>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4820" w:type="dxa"/>
        <w:jc w:val="left"/>
        <w:tblInd w:w="0" w:type="dxa"/>
        <w:tblLayout w:type="fixed"/>
        <w:tblCellMar>
          <w:top w:w="28" w:type="dxa"/>
          <w:left w:w="28" w:type="dxa"/>
          <w:bottom w:w="28" w:type="dxa"/>
          <w:right w:w="28" w:type="dxa"/>
        </w:tblCellMar>
      </w:tblPr>
      <w:tblGrid>
        <w:gridCol w:w="2086"/>
        <w:gridCol w:w="109"/>
        <w:gridCol w:w="430"/>
        <w:gridCol w:w="2195"/>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FULGENT GENETICS,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9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Ming Hsieh</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Ming Hsieh</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WITNESS WHEREOF, each person whose signature appears below constitutes and appoints Ming Hsieh and Paul Kim as his or her true and lawful agent, proxy and attorney-in-fact, each acting alone, with full power of substitution and resubstitution, for him or her and in his or her name, place and stead, in any and all capacities, to (i) act on and sign any amendments to this report, with exhibits thereto and other documents in connection therewith, (ii) act on and sign such certificates, instruments, agreements and other documents as may be necessary or appropriate in connection therewith, and in each case file the same with the SEC, hereby approving, ratifying and confirming all that such agent, proxy and attorney-in-fact or any of his substitutes may lawfully do or cause to be done by virtue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tbl>
      <w:tblPr>
        <w:tblW w:w="7915" w:type="dxa"/>
        <w:jc w:val="left"/>
        <w:tblInd w:w="0" w:type="dxa"/>
        <w:tblLayout w:type="fixed"/>
        <w:tblCellMar>
          <w:top w:w="28" w:type="dxa"/>
          <w:left w:w="28" w:type="dxa"/>
          <w:bottom w:w="28" w:type="dxa"/>
          <w:right w:w="28" w:type="dxa"/>
        </w:tblCellMar>
      </w:tblPr>
      <w:tblGrid>
        <w:gridCol w:w="1726"/>
        <w:gridCol w:w="146"/>
        <w:gridCol w:w="4261"/>
        <w:gridCol w:w="146"/>
        <w:gridCol w:w="163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Signature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Ming Hsieh</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2024</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Ming Hsieh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Kim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2024</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Kim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Nohaile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2024</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Nohaile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Regina Groves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2024</w:t>
            </w:r>
          </w:p>
        </w:tc>
      </w:tr>
      <w:tr>
        <w:trPr/>
        <w:tc>
          <w:tcPr>
            <w:tcW w:w="172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Regina Groves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Linda Marsh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2024</w:t>
            </w:r>
          </w:p>
        </w:tc>
      </w:tr>
      <w:tr>
        <w:trPr/>
        <w:tc>
          <w:tcPr>
            <w:tcW w:w="172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Linda Marsh</w:t>
            </w:r>
          </w:p>
        </w:tc>
        <w:tc>
          <w:tcPr>
            <w:tcW w:w="1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tbl>
      <w:tblPr>
        <w:tblW w:w="10108" w:type="dxa"/>
        <w:jc w:val="left"/>
        <w:tblInd w:w="0" w:type="dxa"/>
        <w:tblLayout w:type="fixed"/>
        <w:tblCellMar>
          <w:top w:w="28" w:type="dxa"/>
          <w:left w:w="28" w:type="dxa"/>
          <w:bottom w:w="28" w:type="dxa"/>
          <w:right w:w="28" w:type="dxa"/>
        </w:tblCellMar>
      </w:tblPr>
      <w:tblGrid>
        <w:gridCol w:w="9436"/>
        <w:gridCol w:w="146"/>
        <w:gridCol w:w="526"/>
      </w:tblGrid>
      <w:tr>
        <w:trPr/>
        <w:tc>
          <w:tcPr>
            <w:tcW w:w="9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9436" w:type="dxa"/>
            <w:tcBorders/>
            <w:shd w:fill="FFFFFF" w:val="cle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80"/>
                  <w:sz w:val="20"/>
                </w:rPr>
                <w:t>Report of Independent Registered Public Accounting Firm</w:t>
              </w:r>
            </w:hyperlink>
            <w:r>
              <w:rPr>
                <w:rFonts w:ascii="Times New Roman" w:hAnsi="Times New Roman"/>
                <w:color w:val="0000FF"/>
                <w:sz w:val="20"/>
              </w:rPr>
              <w:t> (PCAOB ID: 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
              <w:r>
                <w:rPr>
                  <w:rStyle w:val="InternetLink"/>
                  <w:rFonts w:ascii="Times New Roman" w:hAnsi="Times New Roman"/>
                  <w:color w:val="0000FF"/>
                  <w:sz w:val="20"/>
                </w:rPr>
                <w:t>Consolidated Balance Sheets as of December 31, 2023 and 2022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rPr>
                <w:t>Consolidated Statements of Operations for the Years Ended December 31, 2023, 2022 and 2021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mt_of_comp_lost">
              <w:r>
                <w:rPr>
                  <w:rStyle w:val="InternetLink"/>
                  <w:rFonts w:ascii="Times New Roman" w:hAnsi="Times New Roman"/>
                  <w:color w:val="0000FF"/>
                  <w:sz w:val="20"/>
                </w:rPr>
                <w:t>Consolidated Statements of Comprehensive Income (Loss) for the Years Ended December 31, 2023, 2022 and 2021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mt_of_stockholdres">
              <w:r>
                <w:rPr>
                  <w:rStyle w:val="InternetLink"/>
                  <w:rFonts w:ascii="Times New Roman" w:hAnsi="Times New Roman"/>
                  <w:color w:val="0000FF"/>
                  <w:sz w:val="20"/>
                </w:rPr>
                <w:t>Consolidated Statements of Stockholders’ Equity for the Years Ended December 31, 2023, 2022 and 2021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rPr>
                <w:t>Consolidated Statements of Cash Flows for the Years Ended December 31, 2023, 2022 and 2021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F-9</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rPr>
                <w:t>Notes to Consolidated Financial Statements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1" w:name="report_independent_registered_public_acc"/>
      <w:bookmarkEnd w:id="31"/>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shareholders and the Board of Directors of Fulgent Genetics, Inc.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Fulgent Genetics, Inc., and subsidiaries (the “Company” ) as of December 31, 2023, and 2022, the related consolidated statements of operations, comprehensive income (loss), stockholders' equity, and cash flows, for each of the three years in the period ended December 31, 2023, and the related notes (collectively referred to as the “financial statements” ).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February 28, 2024, expressed an unqualified opinion on the Company's internal control over financial reporting.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Audit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240" w:after="283"/>
        <w:jc w:val="left"/>
        <w:rPr>
          <w:rFonts w:ascii="Times New Roman" w:hAnsi="Times New Roman"/>
          <w:sz w:val="20"/>
        </w:rPr>
      </w:pPr>
      <w:r>
        <w:rPr>
          <w:rFonts w:ascii="Times New Roman" w:hAnsi="Times New Roman"/>
          <w:b/>
          <w:color w:val="000000"/>
          <w:sz w:val="20"/>
        </w:rPr>
        <w:t>Goodwill—Laboratory Services and Therapeutic Development Reporting Units—Refer to Notes 2 and 17</w:t>
      </w:r>
      <w:r>
        <w:rPr>
          <w:rFonts w:ascii="Times New Roman" w:hAnsi="Times New Roman"/>
          <w:color w:val="000000"/>
          <w:sz w:val="20"/>
        </w:rPr>
        <w:t xml:space="preserve"> </w:t>
      </w:r>
      <w:r>
        <w:rPr>
          <w:rFonts w:ascii="Times New Roman" w:hAnsi="Times New Roman"/>
          <w:b/>
          <w:color w:val="000000"/>
          <w:sz w:val="20"/>
        </w:rPr>
        <w:t>to the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evaluation of goodwill for impairment involves the comparison of the fair value of each reporting unit to its carrying value. The Company used the discounted cash flow model to estimate fair value, which requires management to make significant estimates and assumptions related to discount rates and forecasts of future revenues and EBITDA (defined as earnings before interest, income taxes, depreciation and amortization) margin, as well as timing of commercial success for the Therapeutic Development Reporting Unit. Changes in these assumptions could have a significant impact on either the fair value, the amount of any goodwill impairment charge, or both. The goodwill balance was $142.3 million as of December 31, 2023, of which $120.2 million was allocated to the Laboratory Services Reporting Unit and $22.1 million was allocated to the Therapeutic Development Reporting Unit. The carrying value of the Laboratory Services Reporting Unit exceeded its fair value as of the measurement date, resulting in a full impairment of goodwill as of December 31, 2023. The fair value of the Therapeutic Development Reporting Unit exceeded its carrying value by 15% as of the measurement date and, therefore, no impairment was recognized as of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identified goodwill as a critical audit matter because of the significant judgments made by management to estimate the fair value of each reporting unit and the difference between its fair value and carrying value. This required a high degree of auditor judgment and an increased extent of effort, including the need to involve professionals in our firm having fair value expertise when performing audit procedures to evaluate the reasonableness of management’s estimates and assumptions related to selection of the discount rate and forecasts of future revenue and EBITDA margin for the Laboratory Services Reporting Unit and assumptions related to selection of the discount rate and forecasts of future revenue and timing of commercial success for the Therapeutic Development Reporting Unit.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audit procedures related to the discount rate and forecasts used by management to estimate the fair value of the Laboratory Services and Therapeutic Development Reporting Unit included the following,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effectiveness of controls over management’s goodwill impairment evaluation, including those over the determination of the fair value of the Laboratory Services and Therapeutic Development Reporting Unit, such as controls related to management’s selection of the discount rate and forecasts of future revenue, EBITDA margin, and the timing of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evaluated management’s ability to accurately forecast future revenues, EBITDA margin, and timing of commercial success by comparing actual results to management’s historical forecasts.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the reasonableness of management’s revenue, EBITDA margin, and the timing of commercial success forecasts by comparing the forecasts 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 revenues, EBITDA margin, and previous assumptions related to timing of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Internal communications to management and the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Forecasted information included in Company press releases as well as in analyst and industry reports for the Company and certain of its peer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Relevant regulatory approvals supporting timing of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assistance of professionals in our firm having fair value expertise , we evaluated the reasonableness of the (1) valuation methodology and (2) discount rate by: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Testing the source information underlying the determination of the discount rate and the mathematical accuracy of the calculation.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 range of independent estimates and comparing those to the discount rate selected by management.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Intangible Assets – IPR&amp;D — Refer to Notes 2 and 17 to the financial statements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in-process research &amp; development (“IPR&amp;D”) that are indefinite-lived intangible assets. As of December 31, 2023, the carrying value of the IPR&amp;D is $64.6 million. Management estimates the fair value of IPR&amp;D annually on its elected assessment date of December 31, 2023, using a multi-period excess earnings method, which is a specific discounted cash flow method. The determination of the fair value requires management to make significant estimates and assumptions related to forecasts of future revenues, timing of commercial success and discount rates to estimate the net present value of revenues. Changes in these assumptions could have a significant impact on the fair value of IPR&amp;D and a significant change in fair value could cause a significant impairment. The fair value of the IPR&amp;D exceeded its carrying value by 11% as of the measurement date and therefore, no impairment was 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determination of fair value of IPR&amp;D requires management to make significant estimates and assumptions relating to the forecasts of future revenues, timing of commercial success, and the selection of the discount rates, performing audit procedures to evaluate the reasonableness of such estimates and assumptions required a high degree of auditor judgment and an increased extent of effort, including the need to involve professionals in our firm having fair value expertise.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audit procedures related to the forecasts of future revenues, timing of commercial success, and selection of the discount rates for IPR&amp;D included the following, among others: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tested the effectiveness of controls over management’s intangible asset impairment evaluation, including those over the determination of the IPR&amp;D, such as controls related to management’s forecasts of future revenues, timing of commercial success, and selection of the discount rates.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the reasonableness of management’s forecasts of future revenues and timing of commercial success by: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Comparing management’s forecasts 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communications to management and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Forecasted information included in Company press releases as well as in industry reports and external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Relevant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assistance of professionals in our firm having fair value expertise, we evaluated the reasonableness of the discount rates by: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Testing the source information underlying the determination of the discount rate and the mathematical accuracy of the calculation.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 range of independent estimates and comparing those to the discount rate selected by management.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 Angeles, California </w:t>
      </w:r>
    </w:p>
    <w:p>
      <w:pPr>
        <w:pStyle w:val="TextBody"/>
        <w:bidi w:val="0"/>
        <w:jc w:val="left"/>
        <w:rPr>
          <w:rFonts w:ascii="Times New Roman" w:hAnsi="Times New Roman"/>
          <w:color w:val="000000"/>
          <w:sz w:val="20"/>
        </w:rPr>
      </w:pPr>
      <w:r>
        <w:rPr>
          <w:rFonts w:ascii="Times New Roman" w:hAnsi="Times New Roman"/>
          <w:color w:val="000000"/>
          <w:sz w:val="20"/>
        </w:rPr>
        <w:t xml:space="preserve">February 28,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CONSOLIDATED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FULGENT GENETICS, INC.</w:t>
      </w:r>
    </w:p>
    <w:p>
      <w:pPr>
        <w:pStyle w:val="TextBody"/>
        <w:bidi w:val="0"/>
        <w:jc w:val="center"/>
        <w:rPr>
          <w:rFonts w:ascii="Times New Roman" w:hAnsi="Times New Roman"/>
          <w:b/>
          <w:color w:val="000000"/>
          <w:sz w:val="20"/>
        </w:rPr>
      </w:pPr>
      <w:bookmarkStart w:id="32" w:name="consolidated_balance_sheet"/>
      <w:bookmarkEnd w:id="32"/>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par value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8"/>
        <w:gridCol w:w="211"/>
        <w:gridCol w:w="931"/>
        <w:gridCol w:w="166"/>
        <w:gridCol w:w="146"/>
        <w:gridCol w:w="211"/>
        <w:gridCol w:w="931"/>
        <w:gridCol w:w="591"/>
      </w:tblGrid>
      <w:tr>
        <w:trPr/>
        <w:tc>
          <w:tcPr>
            <w:tcW w:w="7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018" w:type="dxa"/>
            <w:tcBorders/>
            <w:shd w:fill="FFFFFF" w:val="cle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8"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79,506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446,729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accounts receivable, net of allowance for credit losses of $25,226 and $41,205</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18"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627,873</w:t>
            </w:r>
          </w:p>
        </w:tc>
        <w:tc>
          <w:tcPr>
            <w:tcW w:w="591" w:type="dxa"/>
            <w:tcBorders/>
            <w:shd w:fill="CFF0FC" w:val="cle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long-term</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326,648</w:t>
            </w:r>
          </w:p>
        </w:tc>
        <w:tc>
          <w:tcPr>
            <w:tcW w:w="591" w:type="dxa"/>
            <w:tcBorders/>
            <w:shd w:fill="FFFFFF" w:val="clear"/>
            <w:vAlign w:val="center"/>
          </w:tcPr>
          <w:p>
            <w:pPr>
              <w:pStyle w:val="TableContents"/>
              <w:bidi w:val="0"/>
              <w:spacing w:before="0" w:after="283"/>
              <w:jc w:val="lef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preferred stock investment</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12,385</w:t>
            </w:r>
          </w:p>
        </w:tc>
        <w:tc>
          <w:tcPr>
            <w:tcW w:w="591" w:type="dxa"/>
            <w:tcBorders/>
            <w:shd w:fill="CFF0FC" w:val="cle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81,353</w:t>
            </w:r>
          </w:p>
        </w:tc>
        <w:tc>
          <w:tcPr>
            <w:tcW w:w="591" w:type="dxa"/>
            <w:tcBorders/>
            <w:shd w:fill="FFFFFF" w:val="clear"/>
            <w:vAlign w:val="center"/>
          </w:tcPr>
          <w:p>
            <w:pPr>
              <w:pStyle w:val="TableContents"/>
              <w:bidi w:val="0"/>
              <w:spacing w:before="0" w:after="283"/>
              <w:jc w:val="lef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150,643</w:t>
            </w:r>
          </w:p>
        </w:tc>
        <w:tc>
          <w:tcPr>
            <w:tcW w:w="591" w:type="dxa"/>
            <w:tcBorders/>
            <w:shd w:fill="CFF0FC" w:val="cle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143,027</w:t>
            </w:r>
          </w:p>
        </w:tc>
        <w:tc>
          <w:tcPr>
            <w:tcW w:w="591" w:type="dxa"/>
            <w:tcBorders/>
            <w:shd w:fill="FFFFFF" w:val="clear"/>
            <w:vAlign w:val="center"/>
          </w:tcPr>
          <w:p>
            <w:pPr>
              <w:pStyle w:val="TableContents"/>
              <w:bidi w:val="0"/>
              <w:spacing w:before="0" w:after="283"/>
              <w:jc w:val="lef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1,386,053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Contract liabilities</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deposit</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 margin loan</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Notes payable, current portion</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88,107</w:t>
            </w:r>
          </w:p>
        </w:tc>
        <w:tc>
          <w:tcPr>
            <w:tcW w:w="591" w:type="dxa"/>
            <w:tcBorders/>
            <w:shd w:fill="FFFFFF" w:val="clear"/>
            <w:vAlign w:val="center"/>
          </w:tcPr>
          <w:p>
            <w:pPr>
              <w:pStyle w:val="TableContents"/>
              <w:bidi w:val="0"/>
              <w:spacing w:before="0" w:after="283"/>
              <w:jc w:val="lef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9,836</w:t>
            </w:r>
          </w:p>
        </w:tc>
        <w:tc>
          <w:tcPr>
            <w:tcW w:w="591" w:type="dxa"/>
            <w:tcBorders/>
            <w:shd w:fill="CFF0FC" w:val="cle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jc w:val="lef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$0.0001 par value per share, 50,000 shares authorized, 32,416 shares issued and 29,653 shares outstanding and 31,248 shares issued and 29,438 shares outstanding</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$0.0001 par value per share, 1,000 shares authorized, no shares issued or outstanding</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486,585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0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(20,903</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Retained earnings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Fulgent stockholders' equity</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1,136,101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1,266,685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70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1,269,875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1,386,053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CONSOLIDATED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FULGENT GENETICS, INC.</w:t>
      </w:r>
    </w:p>
    <w:p>
      <w:pPr>
        <w:pStyle w:val="TextBody"/>
        <w:bidi w:val="0"/>
        <w:jc w:val="center"/>
        <w:rPr>
          <w:rFonts w:ascii="Times New Roman" w:hAnsi="Times New Roman"/>
          <w:b/>
          <w:color w:val="000000"/>
          <w:sz w:val="20"/>
        </w:rPr>
      </w:pPr>
      <w:bookmarkStart w:id="33" w:name="consolidated_statements_operations"/>
      <w:bookmarkEnd w:id="33"/>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6174"/>
        <w:gridCol w:w="211"/>
        <w:gridCol w:w="841"/>
        <w:gridCol w:w="166"/>
        <w:gridCol w:w="146"/>
        <w:gridCol w:w="211"/>
        <w:gridCol w:w="781"/>
        <w:gridCol w:w="146"/>
        <w:gridCol w:w="146"/>
        <w:gridCol w:w="211"/>
        <w:gridCol w:w="781"/>
        <w:gridCol w:w="391"/>
      </w:tblGrid>
      <w:tr>
        <w:trPr/>
        <w:tc>
          <w:tcPr>
            <w:tcW w:w="6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74" w:type="dxa"/>
            <w:tcBorders/>
            <w:shd w:fill="FFFFFF" w:val="clear"/>
            <w:vAlign w:val="center"/>
          </w:tcPr>
          <w:p>
            <w:pPr>
              <w:pStyle w:val="TableContents"/>
              <w:bidi w:val="0"/>
              <w:spacing w:before="0" w:after="283"/>
              <w:jc w:val="center"/>
              <w:rPr/>
            </w:pPr>
            <w:r>
              <w:rPr/>
              <w:t> </w:t>
            </w:r>
          </w:p>
        </w:tc>
        <w:tc>
          <w:tcPr>
            <w:tcW w:w="36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4"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992,584</w:t>
            </w:r>
          </w:p>
        </w:tc>
        <w:tc>
          <w:tcPr>
            <w:tcW w:w="391" w:type="dxa"/>
            <w:tcBorders/>
            <w:shd w:fill="CFF0FC" w:val="clear"/>
            <w:vAlign w:val="center"/>
          </w:tcPr>
          <w:p>
            <w:pPr>
              <w:pStyle w:val="TableContents"/>
              <w:bidi w:val="0"/>
              <w:spacing w:before="0" w:after="283"/>
              <w:jc w:val="left"/>
              <w:rPr/>
            </w:pPr>
            <w:r>
              <w:rPr/>
              <w:t> </w:t>
            </w:r>
          </w:p>
        </w:tc>
      </w:tr>
      <w:tr>
        <w:trPr/>
        <w:tc>
          <w:tcPr>
            <w:tcW w:w="61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777,051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17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17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17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17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17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 loss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17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1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income</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675,953</w:t>
            </w:r>
          </w:p>
        </w:tc>
        <w:tc>
          <w:tcPr>
            <w:tcW w:w="391" w:type="dxa"/>
            <w:tcBorders/>
            <w:shd w:fill="FFFFFF" w:val="clear"/>
            <w:vAlign w:val="center"/>
          </w:tcPr>
          <w:p>
            <w:pPr>
              <w:pStyle w:val="TableContents"/>
              <w:bidi w:val="0"/>
              <w:spacing w:before="0" w:after="283"/>
              <w:jc w:val="left"/>
              <w:rPr/>
            </w:pPr>
            <w:r>
              <w:rPr/>
              <w:t> </w:t>
            </w:r>
          </w:p>
        </w:tc>
      </w:tr>
      <w:tr>
        <w:trPr/>
        <w:tc>
          <w:tcPr>
            <w:tcW w:w="61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 and gain on equity-method investments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677,300</w:t>
            </w:r>
          </w:p>
        </w:tc>
        <w:tc>
          <w:tcPr>
            <w:tcW w:w="391" w:type="dxa"/>
            <w:tcBorders/>
            <w:shd w:fill="FFFFFF" w:val="clear"/>
            <w:vAlign w:val="center"/>
          </w:tcPr>
          <w:p>
            <w:pPr>
              <w:pStyle w:val="TableContents"/>
              <w:bidi w:val="0"/>
              <w:spacing w:before="0" w:after="283"/>
              <w:jc w:val="left"/>
              <w:rPr/>
            </w:pPr>
            <w:r>
              <w:rPr/>
              <w:t> </w:t>
            </w:r>
          </w:p>
        </w:tc>
      </w:tr>
      <w:tr>
        <w:trPr/>
        <w:tc>
          <w:tcPr>
            <w:tcW w:w="61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gain on equity-method investments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(175,239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502,505</w:t>
            </w:r>
          </w:p>
        </w:tc>
        <w:tc>
          <w:tcPr>
            <w:tcW w:w="391" w:type="dxa"/>
            <w:tcBorders/>
            <w:shd w:fill="FFFFFF" w:val="clear"/>
            <w:vAlign w:val="center"/>
          </w:tcPr>
          <w:p>
            <w:pPr>
              <w:pStyle w:val="TableContents"/>
              <w:bidi w:val="0"/>
              <w:spacing w:before="0" w:after="283"/>
              <w:jc w:val="left"/>
              <w:rPr/>
            </w:pPr>
            <w:r>
              <w:rPr/>
              <w:t> </w:t>
            </w:r>
          </w:p>
        </w:tc>
      </w:tr>
      <w:tr>
        <w:trPr/>
        <w:tc>
          <w:tcPr>
            <w:tcW w:w="61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equity-method investments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from consolidated operations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(175,239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506,239</w:t>
            </w:r>
          </w:p>
        </w:tc>
        <w:tc>
          <w:tcPr>
            <w:tcW w:w="391" w:type="dxa"/>
            <w:tcBorders/>
            <w:shd w:fill="FFFFFF" w:val="clear"/>
            <w:vAlign w:val="center"/>
          </w:tcPr>
          <w:p>
            <w:pPr>
              <w:pStyle w:val="TableContents"/>
              <w:bidi w:val="0"/>
              <w:spacing w:before="0" w:after="283"/>
              <w:jc w:val="left"/>
              <w:rPr/>
            </w:pPr>
            <w:r>
              <w:rPr/>
              <w:t> </w:t>
            </w:r>
          </w:p>
        </w:tc>
      </w:tr>
      <w:tr>
        <w:trPr/>
        <w:tc>
          <w:tcPr>
            <w:tcW w:w="61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Fulgent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4"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1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common share attributable to Fulgent:</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17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4"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1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17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FULGENT GENETICS, INC.</w:t>
      </w:r>
    </w:p>
    <w:p>
      <w:pPr>
        <w:pStyle w:val="TextBody"/>
        <w:bidi w:val="0"/>
        <w:jc w:val="center"/>
        <w:rPr>
          <w:rFonts w:ascii="Times New Roman" w:hAnsi="Times New Roman"/>
          <w:sz w:val="20"/>
        </w:rPr>
      </w:pPr>
      <w:bookmarkStart w:id="34" w:name="consolidated_stmt_of_comp_lost"/>
      <w:bookmarkEnd w:id="34"/>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54"/>
        <w:gridCol w:w="211"/>
        <w:gridCol w:w="841"/>
        <w:gridCol w:w="166"/>
        <w:gridCol w:w="146"/>
        <w:gridCol w:w="211"/>
        <w:gridCol w:w="781"/>
        <w:gridCol w:w="166"/>
        <w:gridCol w:w="146"/>
        <w:gridCol w:w="211"/>
        <w:gridCol w:w="781"/>
        <w:gridCol w:w="391"/>
      </w:tblGrid>
      <w:tr>
        <w:trPr/>
        <w:tc>
          <w:tcPr>
            <w:tcW w:w="6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54" w:type="dxa"/>
            <w:tcBorders/>
            <w:shd w:fill="FFFFFF" w:val="clear"/>
            <w:vAlign w:val="center"/>
          </w:tcPr>
          <w:p>
            <w:pPr>
              <w:pStyle w:val="TableContents"/>
              <w:bidi w:val="0"/>
              <w:spacing w:before="0" w:after="283"/>
              <w:jc w:val="center"/>
              <w:rPr/>
            </w:pPr>
            <w:r>
              <w:rPr/>
              <w:t> </w:t>
            </w:r>
          </w:p>
        </w:tc>
        <w:tc>
          <w:tcPr>
            <w:tcW w:w="36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4"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 from consolidated operations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(175,239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506,239</w:t>
            </w:r>
          </w:p>
        </w:tc>
        <w:tc>
          <w:tcPr>
            <w:tcW w:w="391" w:type="dxa"/>
            <w:tcBorders/>
            <w:shd w:fill="CFF0FC" w:val="clear"/>
            <w:vAlign w:val="center"/>
          </w:tcPr>
          <w:p>
            <w:pPr>
              <w:pStyle w:val="TableContents"/>
              <w:bidi w:val="0"/>
              <w:spacing w:before="0" w:after="283"/>
              <w:jc w:val="left"/>
              <w:rPr/>
            </w:pPr>
            <w:r>
              <w:rPr/>
              <w:t> </w:t>
            </w:r>
          </w:p>
        </w:tc>
      </w:tr>
      <w:tr>
        <w:trPr/>
        <w:tc>
          <w:tcPr>
            <w:tcW w:w="615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15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(loss) gain</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15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gain (loss) on available-for-sale debt securities, net of tax</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income from consolidated operations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505,147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15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15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(gain) loss attributable to noncontrolling interest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attributable to noncontrolling interest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income attributable to Fulgent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FULGENT GENETICS, INC.</w:t>
      </w:r>
    </w:p>
    <w:p>
      <w:pPr>
        <w:pStyle w:val="TextBody"/>
        <w:bidi w:val="0"/>
        <w:jc w:val="center"/>
        <w:rPr>
          <w:rFonts w:ascii="Times New Roman" w:hAnsi="Times New Roman"/>
          <w:b/>
          <w:color w:val="000000"/>
          <w:sz w:val="20"/>
        </w:rPr>
      </w:pPr>
      <w:bookmarkStart w:id="35" w:name="consolidated_stmt_of_stockholdres"/>
      <w:bookmarkEnd w:id="35"/>
      <w:r>
        <w:rPr>
          <w:rFonts w:ascii="Times New Roman" w:hAnsi="Times New Roman"/>
          <w:b/>
          <w:color w:val="000000"/>
          <w:sz w:val="20"/>
        </w:rPr>
        <w:t>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1532" w:type="dxa"/>
        <w:jc w:val="left"/>
        <w:tblInd w:w="0" w:type="dxa"/>
        <w:tblLayout w:type="fixed"/>
        <w:tblCellMar>
          <w:top w:w="28" w:type="dxa"/>
          <w:left w:w="28" w:type="dxa"/>
          <w:bottom w:w="28" w:type="dxa"/>
          <w:right w:w="28" w:type="dxa"/>
        </w:tblCellMar>
      </w:tblPr>
      <w:tblGrid>
        <w:gridCol w:w="1186"/>
        <w:gridCol w:w="146"/>
        <w:gridCol w:w="601"/>
        <w:gridCol w:w="166"/>
        <w:gridCol w:w="146"/>
        <w:gridCol w:w="271"/>
        <w:gridCol w:w="420"/>
        <w:gridCol w:w="146"/>
        <w:gridCol w:w="146"/>
        <w:gridCol w:w="196"/>
        <w:gridCol w:w="691"/>
        <w:gridCol w:w="166"/>
        <w:gridCol w:w="146"/>
        <w:gridCol w:w="278"/>
        <w:gridCol w:w="938"/>
        <w:gridCol w:w="166"/>
        <w:gridCol w:w="146"/>
        <w:gridCol w:w="229"/>
        <w:gridCol w:w="882"/>
        <w:gridCol w:w="166"/>
        <w:gridCol w:w="146"/>
        <w:gridCol w:w="210"/>
        <w:gridCol w:w="886"/>
        <w:gridCol w:w="166"/>
        <w:gridCol w:w="146"/>
        <w:gridCol w:w="306"/>
        <w:gridCol w:w="895"/>
        <w:gridCol w:w="166"/>
        <w:gridCol w:w="146"/>
        <w:gridCol w:w="196"/>
        <w:gridCol w:w="826"/>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Fulgent Stockholders’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Accumulated </w:t>
              <w:br/>
              <w:t>Other 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Retained Earnings (Accumulated </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Fulgent Stockholders’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569,387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1"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569,387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15,882</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stock awards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common stock at an average of $64.83</w:t>
            </w:r>
            <w:r>
              <w:rPr>
                <w:rFonts w:ascii="Times New Roman" w:hAnsi="Times New Roman"/>
                <w:color w:val="000000"/>
                <w:sz w:val="20"/>
              </w:rPr>
              <w:t> </w:t>
            </w:r>
            <w:r>
              <w:rPr>
                <w:rFonts w:ascii="Times New Roman" w:hAnsi="Times New Roman"/>
                <w:color w:val="000000"/>
                <w:sz w:val="16"/>
              </w:rPr>
              <w:t>per share, net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72,030</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withholding for employee tax obligations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(4,155</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Cumulative effect of accounting change</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Cumulative tax effect of accounting change</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assumed related to acquisitions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8,151</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 net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506,239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501,908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657,597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1,158,749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1,165,880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32,640</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stock awards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withholding for employee tax obligations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(1,768</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(74,337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(74,337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(74,337</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issued in a business combination (1)</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28,111</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 net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(20,144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(20,144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(22,605</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141,923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486,585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1,269,875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42,922</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stock awards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withholding for employee tax obligations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(25,060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(25,060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(25,060</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issued in a business combination (1)</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net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23,517</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(175,239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501,718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633,175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1,133,286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(1) 185,503</w:t>
      </w:r>
      <w:r>
        <w:rPr>
          <w:rFonts w:ascii="Times New Roman" w:hAnsi="Times New Roman"/>
          <w:color w:val="000000"/>
          <w:sz w:val="20"/>
        </w:rPr>
        <w:t xml:space="preserve"> </w:t>
      </w:r>
      <w:r>
        <w:rPr>
          <w:rFonts w:ascii="Times New Roman" w:hAnsi="Times New Roman"/>
          <w:color w:val="000000"/>
          <w:sz w:val="16"/>
        </w:rPr>
        <w:t>and 371,006</w:t>
      </w:r>
      <w:r>
        <w:rPr>
          <w:rFonts w:ascii="Times New Roman" w:hAnsi="Times New Roman"/>
          <w:color w:val="000000"/>
          <w:sz w:val="20"/>
        </w:rPr>
        <w:t xml:space="preserve"> </w:t>
      </w:r>
      <w:r>
        <w:rPr>
          <w:rFonts w:ascii="Times New Roman" w:hAnsi="Times New Roman"/>
          <w:color w:val="000000"/>
          <w:sz w:val="16"/>
        </w:rPr>
        <w:t>shares of the Company's common stock were not issued and heldback by the Company as partial security for the indemnification obligations in connection with the business combination of Fulgent Pharma as of December 31, 2023, and 2022, respectively.</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FULGENT GENETICS, INC.</w:t>
      </w:r>
    </w:p>
    <w:p>
      <w:pPr>
        <w:pStyle w:val="TextBody"/>
        <w:bidi w:val="0"/>
        <w:jc w:val="center"/>
        <w:rPr>
          <w:rFonts w:ascii="Times New Roman" w:hAnsi="Times New Roman"/>
          <w:b/>
          <w:color w:val="000000"/>
          <w:sz w:val="20"/>
        </w:rPr>
      </w:pPr>
      <w:bookmarkStart w:id="36" w:name="consolidated_statements_cash_flows"/>
      <w:bookmarkEnd w:id="36"/>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172" w:type="dxa"/>
        <w:jc w:val="left"/>
        <w:tblInd w:w="0" w:type="dxa"/>
        <w:tblLayout w:type="fixed"/>
        <w:tblCellMar>
          <w:top w:w="28" w:type="dxa"/>
          <w:left w:w="28" w:type="dxa"/>
          <w:bottom w:w="28" w:type="dxa"/>
          <w:right w:w="28" w:type="dxa"/>
        </w:tblCellMar>
      </w:tblPr>
      <w:tblGrid>
        <w:gridCol w:w="6096"/>
        <w:gridCol w:w="196"/>
        <w:gridCol w:w="751"/>
        <w:gridCol w:w="166"/>
        <w:gridCol w:w="146"/>
        <w:gridCol w:w="196"/>
        <w:gridCol w:w="751"/>
        <w:gridCol w:w="166"/>
        <w:gridCol w:w="146"/>
        <w:gridCol w:w="196"/>
        <w:gridCol w:w="751"/>
        <w:gridCol w:w="611"/>
      </w:tblGrid>
      <w:tr>
        <w:trPr/>
        <w:tc>
          <w:tcPr>
            <w:tcW w:w="60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96" w:type="dxa"/>
            <w:tcBorders/>
            <w:shd w:fill="FFFFFF" w:val="clear"/>
            <w:vAlign w:val="center"/>
          </w:tcPr>
          <w:p>
            <w:pPr>
              <w:pStyle w:val="TableContents"/>
              <w:bidi w:val="0"/>
              <w:spacing w:before="0" w:after="283"/>
              <w:jc w:val="center"/>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operating activities:</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 from consolidated operations</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(175,239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506,239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Adjustments to reconcile net income to net cash provided by operating activities:</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Goodwill impairment loss</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Equity-based compensation</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Provision (gain) for credit losses</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Noncash lease expense</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on disposal of fixed asset</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(Discount) of premium of marketable securities</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Deferred taxes</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(8,188</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Unrecognized tax benefits</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 on marketable securities</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Gain in equity-method investments</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60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Trade accounts receivable</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42,300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current and long-term assets</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7,804</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payable</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(12,206</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Accrued liabilities and other liabilities</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(31,299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13,081</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Income tax payable</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(52,532</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Operating and finance lease liabilities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cash provided by operating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538,577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investing activities:</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fixed assets</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(22,207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(23,812</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intangible assets</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sale of fixed assets</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marketable securities</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(491,914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(417,982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(710,490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preferred stock of privately held company</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Contingent consideration payout related to a business acquisition</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redeemable preferred stock</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Maturities of marketable securities</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508,558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232,534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83,842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sale of marketable securities</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140,176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185,749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Acquisition of businesses, net of cash acquired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(61,868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(546,548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financing activities:</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(25,060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(74,337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Common stock withholding for employee tax obligations</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(4,155</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public offerings of common stock, net of issuance costs</w:t>
            </w:r>
          </w:p>
        </w:tc>
        <w:tc>
          <w:tcPr>
            <w:tcW w:w="947" w:type="dxa"/>
            <w:gridSpan w:val="2"/>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89,475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noncontrolling interest</w:t>
            </w:r>
          </w:p>
        </w:tc>
        <w:tc>
          <w:tcPr>
            <w:tcW w:w="947"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exercise of stock options</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paid for finance leases</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Repayment of notes payable</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Re-payment for the margin account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cash (used in) provided by financing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and cash equivalents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cash and cash equivalents</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(85,388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77,468</w:t>
            </w:r>
          </w:p>
        </w:tc>
        <w:tc>
          <w:tcPr>
            <w:tcW w:w="611" w:type="dxa"/>
            <w:tcBorders/>
            <w:shd w:fill="CFF0FC" w:val="cle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at beginning of period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at end of period</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164,894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 of cash flow information:</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Income taxes paid</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237,069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 of non-cash investing and financing activities:</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 consideration in a business combination</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Maturities of marketable securities in other current assets</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fixed assets in notes payable</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fixed assets in accounts payable</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Finance lease right-of-use assets obtained in exchange for lease liabilities</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Operating lease right-of-use assets reduced due to lease modification or termination</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Operating lease right-of-use assets obtained in exchange for lease liabilities</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Finance lease right-of-use assets reduced due to lease modification or termination</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Contingent consideration for business acquisition included in current liabilities</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Public offerings costs included in accounts payable</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6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FULGENT GENETICS, INC.</w:t>
      </w:r>
    </w:p>
    <w:p>
      <w:pPr>
        <w:pStyle w:val="TextBody"/>
        <w:bidi w:val="0"/>
        <w:jc w:val="center"/>
        <w:rPr>
          <w:rFonts w:ascii="Times New Roman" w:hAnsi="Times New Roman"/>
          <w:sz w:val="20"/>
        </w:rPr>
      </w:pPr>
      <w:bookmarkStart w:id="37" w:name="notes_to_consolidated_financial_statemen"/>
      <w:bookmarkEnd w:id="37"/>
      <w:r>
        <w:rPr>
          <w:rFonts w:ascii="Times New Roman" w:hAnsi="Times New Roman"/>
          <w:b/>
          <w:color w:val="000000"/>
          <w:sz w:val="20"/>
        </w:rPr>
        <w:t>Notes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 Overview and 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in accordance with accounting principles generally accepted in the United States of America,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intercompany accounts and transactions are eliminated from the accompanying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Nature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Fulgent Genetics, Inc., together with its subsidiaries and affiliated professional corporations, or PCs (collectively referred to as the Company, unless otherwise noted or the context otherwise requires), is a technology-based company with a well-established laboratory services business and a therapeutic development business. Its laboratory services business – to which the Company formerly referred as its clinical diagnostic business, includes technical laboratory services and professional interpretation of laboratory results by licensed physicians. Its therapeutic development business is focused on developing drug candidates for treating a broad range of cancers using a novel nanoencapsulation and targeted therapy platform designed to improve the therapeutic window and pharmacokinetic profile of new and existing cancer drugs. The Company aims to transform from a genomic diagnostic business into a fully integrated precision medicine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consolidated financial statements, as well as various other factors management believes to be reasonable under the circumstances. The Company’s estimates and assumptions may evolve as conditions change. Actual results could differ significantly from these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an on-going basis, management evaluates its estimates, primarily those related to: (i) revenue recognition criteria, (ii) accounts receivable and allowances for credit losses, (iii) the useful lives of fixed assets and intangible assets, (iv) estimates of tax liabilities, (v) valuation of goodwill and indefinite-lived intangible assets at time of acquisition and on a recurring basis, and (vi) valuation of investments.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include the accounts of the Company. All intercompany transactions and balances have been eliminated in consolidation.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original maturities of three months or less at the date of purchase to be cash equivalents. Cash and cash equivalents include cash held in banks and money market accounts. Cash equivalents are stated at fair value.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marketable debt securities, which consist of U.S. government and agency debt securities, U.S. treasury bills, corporate debt securities, municipal bonds, and Yankee debt securities issued by foreign governments or entities and denominated in U.S. dollars have been classified as “available-for-sale,” and are carried at fair value. Net unrealized gains and losses, net of any related tax effects, are excluded from earnings and are included in other comprehensive income (loss) and reported as a separate component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equity until realized. Realized gains and losses on marketable debt securities are included in interest and other income, net, in the accompanying Consolidated Statements of Operations. The cost of any marketable debt securities sold is based on the specific-identification method. The amortized cost of marketable debt securities is adjusted for amortization of premiums and accretion of discounts to maturity. Interest on marketable debt securities is included in interest and other income, net. In accordance with the Company’s investment policy, management invests to diversify credit risk and only invests in securities with high credit quality, including U.S. government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investments in marketable equity securities are measured at fair value with the related gains and losses, realized and unrealized, recognized in interest and other income, net, in the accompanying Consolidated Statements of Operations. The cost of any marketable equity securities sold is based on the specific-identification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available-for-sale debt securities, in an unrealized loss, the Company determines whether a credit loss exists. The credit loss is estimated by considering available information relevant to the collectability of the security and information about past events, current conditions, and reasonable and supportable forecasts. The Company compares the present value of cash flows expected to be collected from the security with the amortized cost basis of the security. If the present value of cash flows to be collected is less than the amortized basis of the security, a credit loss exists, and an allowance for credit losses is recorded for the credit loss, limited by the amount of unrealized loss. Changes in the allowance are recorded in the period of changes as credit loss expense. If the Company has an intent to sell, or if it is more likely than not that the Company will be required to sell a debt security in an unrealized loss position before recovery of its amortized cost basis, the Company will write down the security to its fair value and record the corresponding charge as a component of interest and other income, net. </w:t>
      </w:r>
    </w:p>
    <w:p>
      <w:pPr>
        <w:pStyle w:val="TextBody"/>
        <w:bidi w:val="0"/>
        <w:spacing w:before="360" w:after="283"/>
        <w:jc w:val="left"/>
        <w:rPr>
          <w:rFonts w:ascii="Times New Roman" w:hAnsi="Times New Roman"/>
          <w:sz w:val="20"/>
        </w:rPr>
      </w:pPr>
      <w:r>
        <w:rPr>
          <w:rFonts w:ascii="Times New Roman" w:hAnsi="Times New Roman"/>
          <w:b/>
          <w:i/>
          <w:color w:val="000000"/>
          <w:sz w:val="20"/>
        </w:rPr>
        <w:t>Trade Accounts Receivable and Allowance for Credit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loss rate model or probability-of-default and loss given default model. Following the loss rate method, expected credit losses are determined based on an estimated historical loss rate. The probability of default method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loss rate and factors annually to incorporate the most recent historical data and adjusts the quantitative portion of the reserve through its qualitative reserve overlay. The Company looks at qualitative factors such as general economic conditions in determining expected credit losses.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roll-forward of the activity in the Company’s allowance for credit losses is as follows:</w:t>
      </w:r>
    </w:p>
    <w:p>
      <w:pPr>
        <w:pStyle w:val="TextBody"/>
        <w:bidi w:val="0"/>
        <w:jc w:val="left"/>
        <w:rPr/>
      </w:pPr>
      <w:r>
        <w:rPr/>
        <w:t> </w:t>
      </w:r>
    </w:p>
    <w:tbl>
      <w:tblPr>
        <w:tblW w:w="7532" w:type="dxa"/>
        <w:jc w:val="left"/>
        <w:tblInd w:w="0" w:type="dxa"/>
        <w:tblLayout w:type="fixed"/>
        <w:tblCellMar>
          <w:top w:w="28" w:type="dxa"/>
          <w:left w:w="28" w:type="dxa"/>
          <w:bottom w:w="28" w:type="dxa"/>
          <w:right w:w="28" w:type="dxa"/>
        </w:tblCellMar>
      </w:tblPr>
      <w:tblGrid>
        <w:gridCol w:w="3976"/>
        <w:gridCol w:w="211"/>
        <w:gridCol w:w="736"/>
        <w:gridCol w:w="166"/>
        <w:gridCol w:w="146"/>
        <w:gridCol w:w="211"/>
        <w:gridCol w:w="676"/>
        <w:gridCol w:w="166"/>
        <w:gridCol w:w="146"/>
        <w:gridCol w:w="211"/>
        <w:gridCol w:w="676"/>
        <w:gridCol w:w="211"/>
      </w:tblGrid>
      <w:tr>
        <w:trPr/>
        <w:tc>
          <w:tcPr>
            <w:tcW w:w="3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left"/>
              <w:rPr/>
            </w:pPr>
            <w:r>
              <w:rPr/>
              <w:t> </w:t>
            </w:r>
          </w:p>
        </w:tc>
        <w:tc>
          <w:tcPr>
            <w:tcW w:w="33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left"/>
              <w:rPr/>
            </w:pPr>
            <w:r>
              <w:rPr/>
              <w:t> </w:t>
            </w:r>
          </w:p>
        </w:tc>
        <w:tc>
          <w:tcPr>
            <w:tcW w:w="334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at beginning of year</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21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ASU 2016-13 adoption</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21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period (gain) provision</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8,931</w:t>
            </w:r>
          </w:p>
        </w:tc>
        <w:tc>
          <w:tcPr>
            <w:tcW w:w="21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Write-downs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at end of year</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Redeemable Preferred Stock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redeemable preferred stock investment of $20.4 million as of December 31, 2023 represents the fair value of redeemable preferred stock of a private company that the Company purchased in July 2021. The investment is classified as available-for-sale debt securities. The fair value of available-for-sale debt security is included in the Consolidated Statement of Balance Sheets. Unrealized gain of $8.1 million were excluded from earnings and reported in other comprehensive income (loss) for the year ended December 31, 2023. Unrealized losses of $9.6 million are excluded from earnings and reported in other comprehensive income (loss) for the year ended December 31, 2022. Since the Company intends on holding the preferred stock, and the preferred stock is not redeemable until July 2027, the investment is recorded as a long-term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the acquisition method of accounting and allocates the fair value of purchase consideration to the assets acquired and liabilities assumed from an acquiree based on their respective fair values as of the acquisition date. The excess of the fair value of purchase consideration over the fair value of these assets acquired and liabilities assumed is recorded as goodwill. When determining the fair values of assets acquired and liabilities assumed, management makes significant estimates and assumptions, especially with respect to intangible assets. Critical estimates in valuing intangible assets include, but are not limited to, expected future cash flows, which includes consideration of future growth and margins, future changes in technology, expected cost and time to develop in-process research and development, brand awareness and discount rates. Fair value estimates are based on the assumptions that management believes a market participant would use in pricing the asset or liability.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Fixed Assets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Fixed assets are recorded at cost, net of accumulated depreciation and amortization. Depreciation is recorded using the straight-line method over the estimated useful lives of the assets. Leasehold improvements are capitalized and amortized over the shorter of their expected lives or the applicable lease term, including renewal options, if available. Major replacements and improvements are capitalized, while general repairs and maintenance are expensed as incurred. See Note 5, </w:t>
      </w:r>
      <w:r>
        <w:rPr>
          <w:rFonts w:ascii="Times New Roman" w:hAnsi="Times New Roman"/>
          <w:i/>
          <w:color w:val="000000"/>
          <w:sz w:val="20"/>
        </w:rPr>
        <w:t>Fixed Assets</w:t>
      </w:r>
      <w:r>
        <w:rPr>
          <w:rFonts w:ascii="Times New Roman" w:hAnsi="Times New Roman"/>
          <w:color w:val="000000"/>
          <w:sz w:val="20"/>
        </w:rPr>
        <w:t>, for useful lives for each major class of fixed assets.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Finite-Lived Intangible assets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Intangible assets, unless determined to be indefinite-lived, are amortized over their estimated useful lives. The Company amortizes intangible assets on a straight-line basis with definite lives generally over periods ranging from three to fourteen years. See Note 17, </w:t>
      </w:r>
      <w:r>
        <w:rPr>
          <w:rFonts w:ascii="Times New Roman" w:hAnsi="Times New Roman"/>
          <w:i/>
          <w:color w:val="000000"/>
          <w:sz w:val="20"/>
        </w:rPr>
        <w:t>Goodwill and Intangible Assets</w:t>
      </w:r>
      <w:r>
        <w:rPr>
          <w:rFonts w:ascii="Times New Roman" w:hAnsi="Times New Roman"/>
          <w:color w:val="000000"/>
          <w:sz w:val="20"/>
        </w:rPr>
        <w:t xml:space="preserve">, for details of intangible assets.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the carrying amount of its long-lived assets whenever events or changes in circumstances indicate that the assets may not be recoverable. An impairment loss would be recognized when estimated future cash flows expected to result from the use of an asset and its eventual disposition is less than the carrying amount of the asset.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Goodwill and Indefinite-lived Intangibles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In-process research &amp; development costs, or IPR&amp;D, are considered to be indefinite-lived until the completion or abandonment of the associated research and development efforts. If and when development is complete, the associated assets would be deemed finite-lived and would then be amortized based on their respective estimated useful lives at that point in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assesses goodwill and indefinite-lived intangibles for impairment on an annual basis and between annual tests if an event occurs or circumstances change that would more likely than not reduce the fair value of a reporting unit below its carrying amount. The Company may choose to bypass a qualitative assessment of impairment for any reporting unit and proceed directly to performing a quantitative assessment. An impairment loss would be recognized for the amount by which the reporting unit's carrying amount exceeds its fair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quantitative assessment includes estimating the fair value of each reporting unit and comparing it to its carrying value. The Company estimates the fair value of reporting units using both income-based and market-based valuation methods and typically engages a third-party appraisal firm to assist with the valuation. The estimated fair value for each reporting unit is determined based upon the range of estimated values developed from the income and market-based methods. If the estimated fair value of a reporting unit exceeds its carrying value, the goodwill is not impaired, and no further review is required.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income-based fair value methodology is based on a reporting unit’s forecasted future cash flows that are discounted to the present value using the reporting unit’s weighted average cost of capital, or WACC. Under the income-based approach, it requires management's assumptions and judgments regarding economic conditions in the markets in which the company operates and conditions in the capital markets, many of which are outside of management's control. The market-based fair value methodology looks at the guideline public company valuation method to determine the prices of comparable public companies and looks at merger and acquisition methods, similar businesses that were sold recently, to estimate the value of the reporting units. Under the market-based approach, judgment is required in evaluating market multiples and recent transactions.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performed an annual goodwill and intangible asset impairment test on December 31, 2023, and elected to bypass the optional qualitative test and perform the quantitative assessments for both the laboratory services and therapeutic development reporting units, which includes an indefinite-lived intangible asset.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Reagents and Supplies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reagents and other consumables primarily used in testing which are valued at the lower of cost or net realizable value. Cost is determined using actual costs on a first-in, first-out basis. The reagents and other consumables were included in other current assets in the accompanying Consolidated Balance Sheets.</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Company’s financial instruments consist principally of cash and cash equivalents, marketable securities, trade accounts receivable, redeemable preferred stock investment, accounts payable, accrued liabilities, investment margin loan, and contingent consideration. The carrying amounts of certain of these financial instruments, including cash and cash equivalents, accounts receivable, accounts payable, accrued liabilities, investment margin loan, and contingent consideration approximate fair value due to their short maturities. Fair value of marketable securities and redeemable preferred stock investment is disclosed in Note 4, </w:t>
      </w:r>
      <w:r>
        <w:rPr>
          <w:rFonts w:ascii="Times New Roman" w:hAnsi="Times New Roman"/>
          <w:i/>
          <w:color w:val="000000"/>
          <w:sz w:val="20"/>
        </w:rPr>
        <w:t>Fair Value Measurement</w:t>
      </w:r>
      <w:r>
        <w:rPr>
          <w:rFonts w:ascii="Times New Roman" w:hAnsi="Times New Roman"/>
          <w:color w:val="000000"/>
          <w:sz w:val="20"/>
        </w:rPr>
        <w:t>s, to the accompanying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Concentrations of Credit Risk, Customers and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concentrations of credit risk consist primarily of cash and cash equivalents, trade accounts receivable, and marketable securities, which consist of debt securities and equity securities. As of December 31, 2023, substantially all of the Company’s cash and cash equivalents were deposited in accounts at financial institutions, and amounts may exceed federally insured limits. Management believes that the Company is not exposed to significant credit risk due to the financial strength of the depository institutions in which its cash and cash equivalents are held.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certain periods, a small number of customers has accounted for a significant portion of the Company’s revenue. For the laboratory services segment, aggregating customers under common control, one customer comprised of $35.7 million or 12% of total revenue in the years ended December 31, 2023, and a different customer comprised of $115.6 million or 19% and $260.2 million or 26% of total revenue in the year ended December 31, 2022 and 2021, respectively. One customer comprised 13% of total accounts receivable, net, as of December 31, 2023, and a different customer comprised 17% of total accounts receivable, net, as of December 31, 2022. For the therapeutic development segment, the Company doesn't have customers or revenue as it does not have any commercialized or approved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therapeutic development business relies on ANP Technologies, Inc. for certain laboratory services, equipment, tools, and drug intermediates in connection with research and development efforts. The Company also relies on a limited number of suppliers for certain laboratory substances used in the chemical reactions incorporated into its processes, referred to as reagents, as well as for the sequencers and various other equipment and materials it uses in its laboratory operations. In particular, the Company relies on a sole supplier for the next generation sequencers and associated reagents it uses to perform its genetic tests and as the sole provider of maintenance and repair services for these sequencers. The Company’s laboratory operations would be interrupted if it encountered delays or difficulties securing these reagents, sequencers, other equipment or materials or maintenance and repair services, which could occur for a variety of reasons, including if the Company needs a replacement or temporary substitute for any of its limited or sole suppliers and is not able to locate and make arrangements with an acceptable replacement or temporary substitute. The Company's development efforts could also be delayed or interrupted if is unable to procure items needed for its therapeutic development activities. The Company believes there are currently only a few other manufacturers that are capable of supplying and servicing some of the equipment and other materials necessary for its laboratory operations, including collection kits, sequencers and various associated reagents.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 Method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the equity method to account for investments in entities that it does not control, but in which it has the ability to exercise significant influence over operating and financial policies. Judgments regarding the level of influence over each equity method investment include consideration of key factors such as the Company’s ownership interest, representation on the board of directors or other management body and participation in policy-making decisions. The Company recognizes its share of the earnings or losses of an investee in net earnings or loss in the periods for which they are reported by the investee. The Company evaluates any equity method investments for impairment whenever events or changes in circumstances would indicate that a decline in value has occurred that is other than temporary. Evidence considered in this evaluation would include, but would not necessarily be limited to, the financial condition and near-term prospects of the investee, recent operating trends and forecasted performance of the investee,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geographic area or industry in which the investee operates and the Company’s strategic plans for holding the investment in relation to the period of time expected for an anticipated recovery of its carrying value. If the investments were determined to have a decline in value deemed to be other than temporary it is written down to estimated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25% interest in Boston Molecules was originally accounted for using the equity method, and the Company discontinued applying the equity method since the investment was reduced to zero in 2020 due to the full impairment loss recorded. The Company did not record any additional losses.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by evaluating whether the arrangement conveys the right to use an identified asset and whether the Company obtains substantially all of the economic benefits from and has the ability to direct the use of the asset. Operating and finance lease right-of-use assets, or ROU assets, short-term lease liabilities, and long-term lease liabilities are included in other long-term assets, accrued liabilities, and other long-term liabilities, respectively, in the accompanying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ROU assets represent the Company’s right to use an underlying asset for the lease term. Lease liabilities represent the Company’s obligation to make lease payments arising from the lease. Lease ROU assets and liabilities are recognized at the commencement date based on the present value of lease payments over the lease term, including options to extend the lease when it is reasonably certain that the Company will exercise that option. The Company uses its incremental borrowing rate based on the information available at the commencement date, including inquiries with its bank, in determining the present value of lease payments when its leases do not provide an implicit or explicit rate. Lease ROU assets consist of initial measurement of lease liabilities, any lease payments made to lessor on or before the lease commencement date, minus any lease incentive received, and any initial direct costs incurred by the Company. Operating lease expense for lease payments is recognized on a straight-line basis over the lease term. For finance lease, ROU assets are amortized on a straight-line basis from the commencement date to the earlier of the end of useful life of the ROU assets or the end of the lease term. Amortization of ROU assets and interest on the lease liability for finance leases are included as charges to the accompanying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ROU assets and liabilities arising from business combinations are recognized and measured at the acquisition dates as if an acquired lease were a new lease at the date of acquisition using the Company’s incremental borrowing rate unless the discount rate is implicit in the lease. The Company elects to not to recognize assets or liabilities as of the acquisition dates for leases that, on the acquisition dates, have a remaining lease term of 12 months or less. The Company also retains the acquirees’ classification of the leases if there are no modifications as part of the business combinations.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leases out space in buildings it owns to third-party tenants or subtenants under noncancelable operating leases. The Company recognizes lease payments as income over the lease terms on a straight-line basis and recognizes variable lease payments as income in the period in which the changes in facts and circumstances on which the variable lease payments are based occur. The net rental income is included in the interest and other income, net, in the accompanying Consolidated Statements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Software for Internal Use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capitalizes certain costs incurred to purchase computer software for internal use. These costs include purchased software packages for Company use. Capitalized computer software costs are amortized over the estimated useful life of the computer software, which is generally one to five years. Internally developed software costs are capitalized after management has committed to funding the project, it is probable that the project will be completed and the software will be used for its intended function. Costs that do not meet that criteria and costs incurred on projects in the preliminary and post-implementation phases are expensed as incurred.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Reportable Segment and Geographic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Reporting segments are identified as components of an enterprise about which separate discrete financial information is available for evaluation by the chief operating decision-maker in making decisions regarding resource allocation and assessing performance. The Company’s chief operating decision maker is its Chief Executive Officer. The Company reports its business in two segments, a laboratory services business and a therapeutic development business. For further financial information about these segments, including information for each of the last three fiscal years regarding revenue, operating income (loss), and other important information, see Note 7, </w:t>
      </w:r>
      <w:r>
        <w:rPr>
          <w:rFonts w:ascii="Times New Roman" w:hAnsi="Times New Roman"/>
          <w:i/>
          <w:color w:val="000000"/>
          <w:sz w:val="20"/>
        </w:rPr>
        <w:t>Reportable Segment and Geographic Information</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generates revenue from sales of its testing services. The Company currently receives payments from primarily three different customer types: insurance payors, institutional customers, including hospitals, medical institutions, other laboratories, governmental bodies, municipalities and large corporations, and patients who pay directly.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revenue in an amount that reflects the consideration to which it expects to be entitled in exchange for the transfer of promised goods or services to its customers. To determine revenue recognition for contracts with customers, the Company performs the following steps described in ASC 606: (1) identifies the contract with the customer, or Step 1, (2) identifies the performance obligations in the contract, or Step 2, (3) determines the transaction price, or Step 3, (4) allocates the transaction price to the performance obligations in the contract, or Step 4, and (5) recognizes revenue when (or as) the entity satisfies a performance obligation, or Step 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test results are primarily delivered electronically. The Company bills certain customers for shipping and handling fees incurred by the Company, and shipping and handling fees billed to customers are included in revenue, and such shipping and handling fees incurred are included in cost of revenue in the accompanying Consolidated Statements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 Obligations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Institutional and Patient Direct Pay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institutional contracts for its testing services typically have a single performance obligation to deliver testing services to the ordering facility or patient. Some arrangements involve the delivery of testing services to research institutions, which the Company refers to as “sequencing as a service.” In arrangements with institutions, including hospitals, medical institutions, other laboratories, governmental bodies, municipalities and large corporations, and patients who pay directly, the transaction price is stated within the contract and is therefore fixed consideration. For most of the Company’s testing, the Company identified the institutions, including hospitals, medical institutions, other laboratories, governmental bodies, municipalities and large corporations, and patients as the customer in Step 1 and have determined a contract exists with those customers in Step 1. As these contracts typically have a single performance obligation, no allocation of the transaction price is required in Step 4. Control over testing services is transferred to the Company’s ordering facility at a point in time. Specifically, the Company determined the customer obtains control of the promised service upon delivery of test results.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insurance contracts for testing services typically have a single performance obligation to deliver testing services to the ordering facility or patient. For most of the Company’s insurance revenue, the Company identified the patient as the customer in Step 1 and determined a contract exists with the patient in Step 1. In arrangements with insurance patients, the transaction price is typically stated within the contract, however, the Company may accept payments from third-party payors that are less than the contractually stated price, therefore estimation of the transaction price is considered variable consideration. In developing the estimate of variable consideration, the Company utilizes the expected value method under a portfolio approach. As these contracts typically have a single performance obligation, no allocation of the transaction price is required in Step 4. Control over testing services is transferred to the Company’s ordering parties at a point in time. Specifically, the Company determined the customer obtains control of the promised service upon delivery of the test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incremental costs pertaining to both insurance and institutional, such as commissions, are incurred in obtaining contracts. Contract costs are capitalized if the Company expects to recover them, and amortization of contract costs is classified in the general and administrative expense in the Consolidated Statements of Operations. Historically contract costs have not been significant to the financial statements.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Significant Judgments and Contract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for insurance contracts includes estimation of the transaction price, defined as the amount the Company expects to be entitled to receive in exchange for providing the services under the contract. Due to the Company’s out-of-network status with the majority of insurance payors for COVID-19 tests, estimation of the transaction price represents variable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absence of Medicare coverage, contractually established reimbursement rates or other coverage, we have concluded that our contracts include variable consideration because the amounts paid by Medicare or commercial health insurance carriers may be paid at less than our standard rates or not paid at all, with such differences considered implicit price concessions. Variable consideration attributable to these price concessions measured at the expected value using the “most likely amount” method under ASC 606. The amounts are determined by the historical average collection rates by test type and payor category taking into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consideration the range of possible outcomes, the predictive value of our past experiences, the time period of when uncertainties expect to be resolved and the amount of consideration that is susceptible to factors outside of our influence, such as the judgment and actions of third parties. Such variable consideration is included in the transaction price only to the extent it is probable that a significant reversal in the amount of cumulative revenue recognized will not occur when the uncertainties with respect to the amount are resolved. Variable consideration may be constrained and excluded form the transaction price in situations where there is no contractually agreed upon reimbursement coverage or in the absence of a predictable pattern and history of collectability with a payor.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re-assesses its estimated transaction price at the end of each reporting period, including an assessment of whether the estimate variable consideration is constrained to the extent that is probable that a significant reversal of cumulative revenue will not occur once any uncertainty is resolved. The Company records any necessary adjustments in the current period’s revenue. $23.0 million variable consideration was recognized as additional revenue in the year ended December 31, 2023 that related to collections for COVID-19 tests completed in the prior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Contract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liabilities are recorded when the Company receives payment or bills prior to completing its obligation to transfer goods or services to a customer, and the Company subsequently recognizes contract liabilities as revenue in the period in which the applicable revenue recognition criteria, as described above, are met.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Customer Deposit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deposit in the accompanying Consolidated Balance Sheets consists of payments received from customers in excess of their outstanding trade accounts receivable balances. These deposits will be offset against future testing receivables or refunded to the customers.</w:t>
      </w:r>
    </w:p>
    <w:p>
      <w:pPr>
        <w:pStyle w:val="TextBody"/>
        <w:bidi w:val="0"/>
        <w:spacing w:before="360" w:after="283"/>
        <w:jc w:val="left"/>
        <w:rPr>
          <w:rFonts w:ascii="Times New Roman" w:hAnsi="Times New Roman"/>
          <w:sz w:val="20"/>
        </w:rPr>
      </w:pPr>
      <w:r>
        <w:rPr>
          <w:rFonts w:ascii="Times New Roman" w:hAnsi="Times New Roman"/>
          <w:b/>
          <w:i/>
          <w:color w:val="000000"/>
          <w:sz w:val="20"/>
        </w:rPr>
        <w:t>Overhead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allocates overhead expenses, such as facility, rent, and utilities, to cost of revenue and operating expense categories based on headcount or square footage. As a result, an overhead expense allocation is reflected in cost of revenue and each operating expense category. </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reflects the aggregate costs incurred in delivering test results and consists of: personnel costs, including salaries, employee benefit costs, bonuses, and equity-based compensation expenses; costs of laboratory supplies; depreciation of laboratory equipment; amortization of leasehold and building improvements and allocated overhead. Costs associated with performing tests are recorded as tests are processed.</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represent costs incurred to develop the Company’s technology and future tests. These costs consist of: personnel costs, including salaries, employee benefit costs, bonuses, and equity-based compensation expenses; laboratory supplies; consulting costs and allocated overhead. The Company expenses all research and development costs in the periods in which they are incurred.</w:t>
      </w:r>
    </w:p>
    <w:p>
      <w:pPr>
        <w:pStyle w:val="TextBody"/>
        <w:bidi w:val="0"/>
        <w:spacing w:before="360" w:after="283"/>
        <w:jc w:val="left"/>
        <w:rPr>
          <w:rFonts w:ascii="Times New Roman" w:hAnsi="Times New Roman"/>
          <w:sz w:val="20"/>
        </w:rPr>
      </w:pPr>
      <w:r>
        <w:rPr>
          <w:rFonts w:ascii="Times New Roman" w:hAnsi="Times New Roman"/>
          <w:b/>
          <w:i/>
          <w:color w:val="000000"/>
          <w:sz w:val="20"/>
        </w:rPr>
        <w:t>Selling and Marketing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and marketing expenses consist of: personnel costs, including salaries, employee benefit costs, bonuses, and equity-based compensation expenses; customer service expenses; direct marketing expenses; educational and promotional expenses; market research and analysis and allocated overhead. The Company expenses all selling and marketing costs as incurred. </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include executive, finance and accounting, legal and human resources functions. These expenses consist of: personnel costs, including salaries, employee benefit costs, bonuses, and equity-based compensation expenses; audit and legal expenses; consulting costs and allocated overhead. The Company expenses all general and administrative expenses as incurred.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costs represent one-time employee termination benefits provided to employees associated with a newly acquired entity that were involuntarily terminated. A plan of termination was approved and authorized by management in the second quarter of 2022. The plan identified specific employees to be terminated and established terms of benefits those employees would receive upon termination. No additional costs are expected to be incurred under the plan of termination post 2022, and the full amount was paid off by August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are accounted for under the asset and liability method. The Company provides for federal, state and foreign income taxes currently payable, as well as for taxes deferred due to timing differences between reporting income and expenses for financial statement purposes versus tax purposes.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income tax rates expected to apply to taxable income in the years in which those temporary differences are expected to be recovered or settled. The effect of a change in income tax rates is recognized as income or expense in the period that includes the enactment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the effect of income tax positions only if those positions are more likely than not to be sustained. Recognized income tax positions are measured at the largest amount with a greater than 50% likelihood of being realized. Changes in recognition or measurement are reflected in the period in which the change in judgment occurs. For income tax positions where it is not more likely than not that a tax benefit will be sustained, the Company does not recognize a tax benefit in its consolidated financial statements. The Company records interest and penalties related to uncertain tax positions, if applicable, as a component of income tax expense.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grants various types of equity-based awards to its employees, consultants, and non-employee directors. Equity-based compensation costs are reflected in the accompanying Consolidated Statements of Operations based upon each award recipient’s role with the Company. The Company primarily grants to its employees restricted stock unit awards, or RSU awards, that generally vest over a specified period of time upon the satisfaction of service-based conditions or performance conditions. Compensation expense for employee RSU awards with a service-based vesting condition is recognized ratably over the vesting period of the award. Compensation expense for employee RSU awards with a performance condition is based on the probable outcome of that performance condition. The Company measures compensation expense for equity-based awards granted to employees based on the fair value of the award on the grant date of the award.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Translation and Foreign Currency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Gains and losses from these translations are recognized in foreign currency translation gain (loss) included in the accompanying Consolidated Statements of Comprehensive Income (Loss). The Company and its subsidiaries that use the U.S. dollar as their functional currency remeasure monetary assets and liabilities at exchange rates in effect at the end of each period, and inventories, property and nonmonetary assets and liabilities at historical rates. Gains and losses from these measurements are included in interest and other income, net, in the accompanying Consolidated Statements of Operations. Losses from foreign currency exchange were not significant in 2023, 2022 and 2021.</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Comprehensive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income (loss) is comprised of net income (loss) and other comprehensive income (loss). Other comprehensive income (loss) consists of net unrealized gain or loss on available-for-sale debt securities, net of tax, and foreign currency translation adjustments from its subsidiaries not using the U.S. dollar as their functional currency. Reclassifications from other comprehensive income (loss) to net earnings were not significant in 2023 or 2022. The Company did not have reclassifications from other comprehensive income (loss) to net loss in 2021. The tax effects related to net unrealized gain or loss on available-for-sale debt securities were zero, $7.2 million, and $437,000 in 2023, 2022, and 2021,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Basic and Diluted Net Income or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or loss per common share is computed by dividing the net income or loss attributable to common stockholders by the weighted-average number of common shares outstanding during the period. Diluted net income or loss per common share is computed by dividing the net income or loss attributable to common stockholders by the weighted-average number of common shares and dilutive common share equivalents outstanding during the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its customers into three payor types: (i) Insurance, including claim reimbursement from HRSA for uninsured individuals, (ii) Institutional, including hospitals, medical institutions, other laboratories, governmental bodies, municipalities and large corporations, or (iii) Patients who pay directly, as the Company believes this best depicts how the nature, amount, timing, and uncertainty of its revenue and cash flows are affected by economic factors. The following table summarizes revenue from contracts with customers by payor type for the years ended December 31, 2023, 2022 and 2021.</w:t>
      </w:r>
    </w:p>
    <w:p>
      <w:pPr>
        <w:pStyle w:val="TextBody"/>
        <w:bidi w:val="0"/>
        <w:jc w:val="left"/>
        <w:rPr/>
      </w:pPr>
      <w:r>
        <w:rPr/>
        <w:t> </w:t>
      </w:r>
    </w:p>
    <w:tbl>
      <w:tblPr>
        <w:tblW w:w="6262" w:type="dxa"/>
        <w:jc w:val="left"/>
        <w:tblInd w:w="0" w:type="dxa"/>
        <w:tblLayout w:type="fixed"/>
        <w:tblCellMar>
          <w:top w:w="28" w:type="dxa"/>
          <w:left w:w="28" w:type="dxa"/>
          <w:bottom w:w="28" w:type="dxa"/>
          <w:right w:w="28" w:type="dxa"/>
        </w:tblCellMar>
      </w:tblPr>
      <w:tblGrid>
        <w:gridCol w:w="2311"/>
        <w:gridCol w:w="211"/>
        <w:gridCol w:w="781"/>
        <w:gridCol w:w="146"/>
        <w:gridCol w:w="146"/>
        <w:gridCol w:w="211"/>
        <w:gridCol w:w="781"/>
        <w:gridCol w:w="146"/>
        <w:gridCol w:w="146"/>
        <w:gridCol w:w="211"/>
        <w:gridCol w:w="78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356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Testing Services by payor</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ind w:left="0" w:right="0" w:firstLine="200"/>
              <w:jc w:val="center"/>
              <w:rPr/>
            </w:pPr>
            <w:r>
              <w:rPr/>
              <w:t> </w:t>
            </w:r>
          </w:p>
        </w:tc>
      </w:tr>
      <w:tr>
        <w:trPr/>
        <w:tc>
          <w:tcPr>
            <w:tcW w:w="2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Insurance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555,762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Institutional</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435,688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Patient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992,584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insurance revenue category above includes zero, $83.1 million, and $310.4 million for the years ended December 31, 2023, 2022, and 2021, respectively, for services related to claims covered by the HRSA COVID-19 Uninsured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$23.0 million variable consideration was recognized in the year ended December 31, 2023 that related to COVID-19 tests completed in the prior periods due to the recent collection efforts, which was included as revenue from insurance in the table above. During the year ended December 31, 2023, the Company experienced a change in estimate related to variable consideration. This change resulted in a cumulative catch-up adjustment of $23.0 million. The Company estimates variable consideration using the expected value method. Any changes in variable consideration estimates that affect transactions are accounted for on a cumulative catch-up basis.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120" w:after="283"/>
        <w:jc w:val="left"/>
        <w:rPr>
          <w:rFonts w:ascii="Times New Roman" w:hAnsi="Times New Roman"/>
          <w:sz w:val="20"/>
        </w:rPr>
      </w:pPr>
      <w:r>
        <w:rPr>
          <w:rFonts w:ascii="Times New Roman" w:hAnsi="Times New Roman"/>
          <w:i/>
          <w:color w:val="000000"/>
          <w:sz w:val="20"/>
        </w:rPr>
        <w:t>Receivables from contracts with customers</w:t>
      </w:r>
      <w:r>
        <w:rPr>
          <w:rFonts w:ascii="Times New Roman" w:hAnsi="Times New Roman"/>
          <w:color w:val="000000"/>
          <w:sz w:val="20"/>
        </w:rPr>
        <w:t xml:space="preserve"> - Receivables from contracts with customers are included within trade accounts receivable on the Consolidated Balance Sheets. Receivables from Insurance and Institutional customers represented 39% and 61%, respectively, as of December 31, 2023 and 14% and 86%, respectively, as of December 31, 2022.</w:t>
      </w:r>
    </w:p>
    <w:p>
      <w:pPr>
        <w:pStyle w:val="TextBody"/>
        <w:bidi w:val="0"/>
        <w:spacing w:before="240" w:after="283"/>
        <w:jc w:val="left"/>
        <w:rPr>
          <w:rFonts w:ascii="Times New Roman" w:hAnsi="Times New Roman"/>
          <w:sz w:val="20"/>
        </w:rPr>
      </w:pPr>
      <w:r>
        <w:rPr>
          <w:rFonts w:ascii="Times New Roman" w:hAnsi="Times New Roman"/>
          <w:i/>
          <w:color w:val="000000"/>
          <w:sz w:val="20"/>
        </w:rPr>
        <w:t>Contracts assets and liabilities</w:t>
      </w:r>
      <w:r>
        <w:rPr>
          <w:rFonts w:ascii="Times New Roman" w:hAnsi="Times New Roman"/>
          <w:color w:val="000000"/>
          <w:sz w:val="20"/>
        </w:rPr>
        <w:t xml:space="preserve"> - Contract assets from contracts with customers associated with contract execution and certain costs to fulfill a contract are included in other current assets in the accompanying Consolidated Balance Sheets. Contract liabilities are recorded when the Company receives payment prior to completing its obligation to transfer goods or services to a customer. Contract liabilities are included in the Consolidated Balance Sheets. Revenues of $2.2 million, $14.4 million and $26.4 million for the years ended December 31, 2023, 2022, and 2021, respectively, related to contract liabilities at the beginning of the respective periods were recognized.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Transaction Price Allocated to Future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606 issued by the Financial Accounting Standards Board, or FASB, requires that the Company disclose the aggregate amount of transaction price that is allocated to performance obligations that have not yet been satisfied as December 31, 2023. ASC 606 provides certain practical expedients that limit the requirement to disclose the aggregate amount of transaction price allocated to unsatisfied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applied the practical expedient to not disclose the amount of transaction price allocated to unsatisfied performance obligations when the performance obligation is part of a contract that has an original expected duration of one year or less. The Company does not have material future obligations associated with COVID-19, molecular diagnostic or genetic testing services that extend beyond one year.</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all ASUs issued by FASB for consideration of their applicability. ASUs not included in the Company’s disclosures were assessed and determined to be either not applicable or are not expected to have a material impact on the Company’s consolidated financial statements or disclosures.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Segment Reporting (Topic 280), Improvements to Reportable Segments</w:t>
      </w:r>
      <w:r>
        <w:rPr>
          <w:rFonts w:ascii="Times New Roman" w:hAnsi="Times New Roman"/>
          <w:color w:val="000000"/>
          <w:sz w:val="20"/>
        </w:rPr>
        <w:t>. This update improves reportable segment disclosure requirements and requires enhanced disclosures related to significant segment expenses regularly provided to CODM, the amount for other segment items with descriptions of the composition, segment profit or loss, and clarification on if the CODM uses more than one measurement of a segment's profit or loss in assessing segment performance and deciding how to allocate resources. Amendments in this update are effective for fiscal years beginning after December 15, 2023, and interim periods within fiscal years beginning after December 15, 2024. The Company is currently evaluating the impacts of this amendment on the consolidated financial statements and related disclosure.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 to Income Tax Disclosures</w:t>
      </w:r>
      <w:r>
        <w:rPr>
          <w:rFonts w:ascii="Times New Roman" w:hAnsi="Times New Roman"/>
          <w:color w:val="000000"/>
          <w:sz w:val="20"/>
        </w:rPr>
        <w:t>. The update requires more detailed information on certain income tax disclosures including the income tax rate reconciliation and income taxes paid. Amendments in this update are effective for annual periods beginning December 15, 2024 for public entities, and early adoption is permitted. The Company is currently evaluating the impacts of this amendment on the consolidated financial statements and related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does not expect that any other recently issued accounting guidance will have a significant effect on its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Equity and Debt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equity and debt securities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42"/>
        <w:gridCol w:w="211"/>
        <w:gridCol w:w="781"/>
        <w:gridCol w:w="166"/>
        <w:gridCol w:w="146"/>
        <w:gridCol w:w="239"/>
        <w:gridCol w:w="647"/>
        <w:gridCol w:w="146"/>
        <w:gridCol w:w="146"/>
        <w:gridCol w:w="222"/>
        <w:gridCol w:w="664"/>
        <w:gridCol w:w="166"/>
        <w:gridCol w:w="146"/>
        <w:gridCol w:w="211"/>
        <w:gridCol w:w="781"/>
        <w:gridCol w:w="991"/>
      </w:tblGrid>
      <w:tr>
        <w:trPr/>
        <w:tc>
          <w:tcPr>
            <w:tcW w:w="4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542" w:type="dxa"/>
            <w:tcBorders/>
            <w:shd w:fill="FFFFFF" w:val="clear"/>
            <w:vAlign w:val="center"/>
          </w:tcPr>
          <w:p>
            <w:pPr>
              <w:pStyle w:val="TableContents"/>
              <w:bidi w:val="0"/>
              <w:spacing w:before="0" w:after="283"/>
              <w:jc w:val="left"/>
              <w:rPr/>
            </w:pPr>
            <w:r>
              <w:rPr/>
              <w:t> </w:t>
            </w:r>
          </w:p>
        </w:tc>
        <w:tc>
          <w:tcPr>
            <w:tcW w:w="46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2"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2" w:type="dxa"/>
            <w:tcBorders/>
            <w:shd w:fill="FFFFFF" w:val="clear"/>
            <w:vAlign w:val="center"/>
          </w:tcPr>
          <w:p>
            <w:pPr>
              <w:pStyle w:val="TableContents"/>
              <w:bidi w:val="0"/>
              <w:spacing w:before="0" w:after="283"/>
              <w:jc w:val="left"/>
              <w:rPr/>
            </w:pPr>
            <w:r>
              <w:rPr/>
              <w:t> </w:t>
            </w:r>
          </w:p>
        </w:tc>
        <w:tc>
          <w:tcPr>
            <w:tcW w:w="467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991" w:type="dxa"/>
            <w:tcBorders/>
            <w:shd w:fill="FFFFFF" w:val="clear"/>
            <w:vAlign w:val="center"/>
          </w:tcPr>
          <w:p>
            <w:pPr>
              <w:pStyle w:val="TableContents"/>
              <w:bidi w:val="0"/>
              <w:spacing w:before="0" w:after="283"/>
              <w:jc w:val="center"/>
              <w:rPr/>
            </w:pPr>
            <w:r>
              <w:rPr/>
              <w:t> </w:t>
            </w:r>
          </w:p>
        </w:tc>
      </w:tr>
      <w:tr>
        <w:trPr/>
        <w:tc>
          <w:tcPr>
            <w:tcW w:w="454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securities:</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200"/>
              <w:jc w:val="left"/>
              <w:rPr/>
            </w:pPr>
            <w:r>
              <w:rPr/>
              <w:t> </w:t>
            </w:r>
          </w:p>
        </w:tc>
      </w:tr>
      <w:tr>
        <w:trPr/>
        <w:tc>
          <w:tcPr>
            <w:tcW w:w="45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5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Preferred stock of privately held company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54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equity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debt securities</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200"/>
              <w:jc w:val="left"/>
              <w:rPr/>
            </w:pPr>
            <w:r>
              <w:rPr/>
              <w:t> </w:t>
            </w:r>
          </w:p>
        </w:tc>
      </w:tr>
      <w:tr>
        <w:trPr/>
        <w:tc>
          <w:tcPr>
            <w:tcW w:w="45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5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U.S. government debt securities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117,982</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5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U.S. agency debt securities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70,896</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5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U.S. treasury bills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69,250</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5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63,018</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5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Money market accounts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38,291</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5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Municipal bonds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5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Less: Cash equivalents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(38,291</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54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debt securities due within 1 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326,681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After 1 year through 5 years</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5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U.S. government debt securities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247,788</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5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U.S. agency debt securities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155,821</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5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5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Municipal bonds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5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Yankee debt securities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5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Redeemable preferred stock investment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20,438</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54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debt securities due after 1 year through 5 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443,150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After 5 years through 10 years</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5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Municipal bonds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54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debt securities due after 5 years through 10 years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542"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Total available-for-sale debt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770,690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542"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Total equity and debt securities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785,690</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81"/>
        <w:gridCol w:w="211"/>
        <w:gridCol w:w="781"/>
        <w:gridCol w:w="166"/>
        <w:gridCol w:w="146"/>
        <w:gridCol w:w="335"/>
        <w:gridCol w:w="551"/>
        <w:gridCol w:w="146"/>
        <w:gridCol w:w="146"/>
        <w:gridCol w:w="211"/>
        <w:gridCol w:w="736"/>
        <w:gridCol w:w="166"/>
        <w:gridCol w:w="146"/>
        <w:gridCol w:w="211"/>
        <w:gridCol w:w="781"/>
        <w:gridCol w:w="991"/>
      </w:tblGrid>
      <w:tr>
        <w:trPr/>
        <w:tc>
          <w:tcPr>
            <w:tcW w:w="4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481" w:type="dxa"/>
            <w:tcBorders/>
            <w:shd w:fill="FFFFFF" w:val="clear"/>
            <w:vAlign w:val="center"/>
          </w:tcPr>
          <w:p>
            <w:pPr>
              <w:pStyle w:val="TableContents"/>
              <w:bidi w:val="0"/>
              <w:spacing w:before="0" w:after="283"/>
              <w:jc w:val="left"/>
              <w:rPr/>
            </w:pPr>
            <w:r>
              <w:rPr/>
              <w:t> </w:t>
            </w:r>
          </w:p>
        </w:tc>
        <w:tc>
          <w:tcPr>
            <w:tcW w:w="47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1"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1" w:type="dxa"/>
            <w:tcBorders/>
            <w:shd w:fill="FFFFFF" w:val="clear"/>
            <w:vAlign w:val="center"/>
          </w:tcPr>
          <w:p>
            <w:pPr>
              <w:pStyle w:val="TableContents"/>
              <w:bidi w:val="0"/>
              <w:spacing w:before="0" w:after="283"/>
              <w:jc w:val="left"/>
              <w:rPr/>
            </w:pPr>
            <w:r>
              <w:rPr/>
              <w:t> </w:t>
            </w:r>
          </w:p>
        </w:tc>
        <w:tc>
          <w:tcPr>
            <w:tcW w:w="4733"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991" w:type="dxa"/>
            <w:tcBorders/>
            <w:shd w:fill="FFFFFF" w:val="clear"/>
            <w:vAlign w:val="center"/>
          </w:tcPr>
          <w:p>
            <w:pPr>
              <w:pStyle w:val="TableContents"/>
              <w:bidi w:val="0"/>
              <w:spacing w:before="0" w:after="283"/>
              <w:jc w:val="center"/>
              <w:rPr/>
            </w:pPr>
            <w:r>
              <w:rPr/>
              <w:t> </w:t>
            </w:r>
          </w:p>
        </w:tc>
      </w:tr>
      <w:tr>
        <w:trPr/>
        <w:tc>
          <w:tcPr>
            <w:tcW w:w="44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securities:</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200"/>
              <w:jc w:val="left"/>
              <w:rPr/>
            </w:pPr>
            <w:r>
              <w:rPr/>
              <w:t> </w:t>
            </w:r>
          </w:p>
        </w:tc>
      </w:tr>
      <w:tr>
        <w:trPr/>
        <w:tc>
          <w:tcPr>
            <w:tcW w:w="44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4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Preferred stock of privately held company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4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equity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debt securities</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200"/>
              <w:jc w:val="left"/>
              <w:rPr/>
            </w:pPr>
            <w:r>
              <w:rPr/>
              <w:t> </w:t>
            </w:r>
          </w:p>
        </w:tc>
      </w:tr>
      <w:tr>
        <w:trPr/>
        <w:tc>
          <w:tcPr>
            <w:tcW w:w="44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4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U.S. government debt securities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185,960</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4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118,258</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4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U.S. treasury bills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69,798</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4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U.S. agency debt securities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68,069</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4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Money market accounts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27,455</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4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Municipal bonds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7,291</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4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Yankee debt securities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4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Less: Cash equivalents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(32,444</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4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debt securities due within 1 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446,729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After 1 year through 5 years</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4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U.S. government debt securities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146,088</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4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U.S. agency debt securities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88,619</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4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75,891</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4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Municipal bonds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11,848</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4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Yankee debt securities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4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Redeemable preferred stock investment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12,385</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4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debt securities due after 1 year through 5 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335,499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After 5 years through 10 years</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4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Municipal bonds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4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debt securities due after 5 years through 10 years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48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Total available-for-sale debt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785,762</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481"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Total equity and debt securities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800,762</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unrealized losses on the Company’s equity and debt securities were $5.9 million and $28.8 million as of December 31, 2023 and 2022, respectively. The Company did not recognize any credit losses for its available-for-sale debt securities in 2023 and 2022.</w:t>
      </w:r>
    </w:p>
    <w:p>
      <w:pPr>
        <w:pStyle w:val="TextBody"/>
        <w:bidi w:val="0"/>
        <w:spacing w:before="160" w:after="283"/>
        <w:jc w:val="left"/>
        <w:rPr>
          <w:rFonts w:ascii="Times New Roman" w:hAnsi="Times New Roman"/>
          <w:sz w:val="20"/>
        </w:rPr>
      </w:pPr>
      <w:r>
        <w:rPr>
          <w:rFonts w:ascii="Times New Roman" w:hAnsi="Times New Roman"/>
          <w:b/>
          <w:color w:val="000000"/>
          <w:sz w:val="20"/>
        </w:rPr>
        <w:t>Note 4.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
        <w:gridCol w:w="9460"/>
      </w:tblGrid>
      <w:tr>
        <w:trPr/>
        <w:tc>
          <w:tcPr>
            <w:tcW w:w="745" w:type="dxa"/>
            <w:tcBorders/>
            <w:vAlign w:val="center"/>
          </w:tcPr>
          <w:p>
            <w:pPr>
              <w:pStyle w:val="TableContents"/>
              <w:bidi w:val="0"/>
              <w:spacing w:before="0" w:after="283"/>
              <w:jc w:val="left"/>
              <w:rPr>
                <w:sz w:val="4"/>
                <w:szCs w:val="4"/>
              </w:rPr>
            </w:pPr>
            <w:r>
              <w:rPr>
                <w:sz w:val="4"/>
                <w:szCs w:val="4"/>
              </w:rPr>
            </w:r>
          </w:p>
        </w:tc>
        <w:tc>
          <w:tcPr>
            <w:tcW w:w="9460" w:type="dxa"/>
            <w:tcBorders/>
            <w:vAlign w:val="center"/>
          </w:tcPr>
          <w:p>
            <w:pPr>
              <w:pStyle w:val="TableContents"/>
              <w:bidi w:val="0"/>
              <w:spacing w:before="0" w:after="283"/>
              <w:jc w:val="left"/>
              <w:rPr>
                <w:sz w:val="4"/>
                <w:szCs w:val="4"/>
              </w:rPr>
            </w:pPr>
            <w:r>
              <w:rPr>
                <w:sz w:val="4"/>
                <w:szCs w:val="4"/>
              </w:rPr>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9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are quoted prices (unadjusted) in active markets for identical assets or liabilities that the reporting entity can access at the measurement date.</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9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are inputs other than quoted prices included within Level 1 that are observable for the asset or liability, either directly or indirectly.</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3:</w:t>
            </w:r>
          </w:p>
        </w:tc>
        <w:tc>
          <w:tcPr>
            <w:tcW w:w="9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are unobservable for the asset or liability.</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based on the three-tier fair value hierarchy: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75"/>
        <w:gridCol w:w="211"/>
        <w:gridCol w:w="781"/>
        <w:gridCol w:w="146"/>
        <w:gridCol w:w="146"/>
        <w:gridCol w:w="211"/>
        <w:gridCol w:w="781"/>
        <w:gridCol w:w="146"/>
        <w:gridCol w:w="146"/>
        <w:gridCol w:w="211"/>
        <w:gridCol w:w="781"/>
        <w:gridCol w:w="146"/>
        <w:gridCol w:w="146"/>
        <w:gridCol w:w="211"/>
        <w:gridCol w:w="676"/>
        <w:gridCol w:w="591"/>
      </w:tblGrid>
      <w:tr>
        <w:trPr/>
        <w:tc>
          <w:tcPr>
            <w:tcW w:w="4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75" w:type="dxa"/>
            <w:tcBorders/>
            <w:shd w:fill="FFFFFF" w:val="clear"/>
            <w:vAlign w:val="center"/>
          </w:tcPr>
          <w:p>
            <w:pPr>
              <w:pStyle w:val="TableContents"/>
              <w:bidi w:val="0"/>
              <w:spacing w:before="0" w:after="283"/>
              <w:jc w:val="left"/>
              <w:rPr/>
            </w:pPr>
            <w:r>
              <w:rPr/>
              <w:t> </w:t>
            </w:r>
          </w:p>
        </w:tc>
        <w:tc>
          <w:tcPr>
            <w:tcW w:w="47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5"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5" w:type="dxa"/>
            <w:tcBorders/>
            <w:shd w:fill="FFFFFF" w:val="clear"/>
            <w:vAlign w:val="center"/>
          </w:tcPr>
          <w:p>
            <w:pPr>
              <w:pStyle w:val="TableContents"/>
              <w:bidi w:val="0"/>
              <w:spacing w:before="0" w:after="283"/>
              <w:jc w:val="left"/>
              <w:rPr/>
            </w:pPr>
            <w:r>
              <w:rPr/>
              <w:t> </w:t>
            </w:r>
          </w:p>
        </w:tc>
        <w:tc>
          <w:tcPr>
            <w:tcW w:w="473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487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securities, debt securities and cash equivalents:</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8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debt securities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8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agency debt securities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8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8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bills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8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8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Redeemable preferred stock investment</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8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of privately held company</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8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Municipal bonds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8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Yankee debt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equity securities, debt securities and cash equivalents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823,981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681,002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80"/>
        <w:gridCol w:w="211"/>
        <w:gridCol w:w="781"/>
        <w:gridCol w:w="146"/>
        <w:gridCol w:w="146"/>
        <w:gridCol w:w="211"/>
        <w:gridCol w:w="676"/>
        <w:gridCol w:w="146"/>
        <w:gridCol w:w="146"/>
        <w:gridCol w:w="211"/>
        <w:gridCol w:w="781"/>
        <w:gridCol w:w="146"/>
        <w:gridCol w:w="146"/>
        <w:gridCol w:w="211"/>
        <w:gridCol w:w="676"/>
        <w:gridCol w:w="591"/>
      </w:tblGrid>
      <w:tr>
        <w:trPr/>
        <w:tc>
          <w:tcPr>
            <w:tcW w:w="4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80" w:type="dxa"/>
            <w:tcBorders/>
            <w:shd w:fill="FFFFFF" w:val="clear"/>
            <w:vAlign w:val="center"/>
          </w:tcPr>
          <w:p>
            <w:pPr>
              <w:pStyle w:val="TableContents"/>
              <w:bidi w:val="0"/>
              <w:spacing w:before="0" w:after="283"/>
              <w:jc w:val="left"/>
              <w:rPr/>
            </w:pPr>
            <w:r>
              <w:rPr/>
              <w:t> </w:t>
            </w:r>
          </w:p>
        </w:tc>
        <w:tc>
          <w:tcPr>
            <w:tcW w:w="46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0"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0" w:type="dxa"/>
            <w:tcBorders/>
            <w:shd w:fill="FFFFFF" w:val="clear"/>
            <w:vAlign w:val="center"/>
          </w:tcPr>
          <w:p>
            <w:pPr>
              <w:pStyle w:val="TableContents"/>
              <w:bidi w:val="0"/>
              <w:spacing w:before="0" w:after="283"/>
              <w:jc w:val="left"/>
              <w:rPr/>
            </w:pPr>
            <w:r>
              <w:rPr/>
              <w:t> </w:t>
            </w:r>
          </w:p>
        </w:tc>
        <w:tc>
          <w:tcPr>
            <w:tcW w:w="463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498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securities, debt securities and cash equivalents:</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98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debt securities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98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98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agency debt securities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98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bills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98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98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Municipal bonds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98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of privately held company</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98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Redeemable preferred stock investment</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98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Yankee debt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8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equity securities, debt securities and cash equivalents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833,206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708,568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Level 1 assets include U.S. treasury bills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 As of December 31, 2023 and 2022, the Company had preferred stock of a privately held company, which was included in other long-term assets in the accompanying Consolidated Balance Sheets, and redeemable preferred stock of a private company that were measured using unobservable (Level 3) inputs. The fair value of redeemable preferred stock as of December 31, 2023 and 2022 was based on valuation performed by a third-party valuation company utilizing the guideline public company method under market approach and the discounted cash flow method under income approach. For the value of the investment in private equity securities, the Company elected to measure it at cost minus impairment, as the preferred stock of the privately held company did not have a readily determinable fair value, and no impairment loss was recorded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transfers between fair value measurement levels in 2023, 2022, and 2021.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Fixed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Major classes of fixed assets consisted of the following:</w:t>
      </w:r>
    </w:p>
    <w:p>
      <w:pPr>
        <w:pStyle w:val="TextBody"/>
        <w:bidi w:val="0"/>
        <w:jc w:val="left"/>
        <w:rPr/>
      </w:pPr>
      <w:r>
        <w:rPr/>
        <w:t> </w:t>
      </w:r>
    </w:p>
    <w:tbl>
      <w:tblPr>
        <w:tblW w:w="8884" w:type="dxa"/>
        <w:jc w:val="left"/>
        <w:tblInd w:w="0" w:type="dxa"/>
        <w:tblLayout w:type="fixed"/>
        <w:tblCellMar>
          <w:top w:w="28" w:type="dxa"/>
          <w:left w:w="28" w:type="dxa"/>
          <w:bottom w:w="28" w:type="dxa"/>
          <w:right w:w="28" w:type="dxa"/>
        </w:tblCellMar>
      </w:tblPr>
      <w:tblGrid>
        <w:gridCol w:w="2731"/>
        <w:gridCol w:w="3646"/>
        <w:gridCol w:w="211"/>
        <w:gridCol w:w="781"/>
        <w:gridCol w:w="166"/>
        <w:gridCol w:w="146"/>
        <w:gridCol w:w="211"/>
        <w:gridCol w:w="781"/>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left"/>
              <w:rPr/>
            </w:pPr>
            <w:r>
              <w:rPr/>
              <w:t> </w:t>
            </w:r>
          </w:p>
        </w:tc>
        <w:tc>
          <w:tcPr>
            <w:tcW w:w="36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left"/>
              <w:rPr/>
            </w:pPr>
            <w:r>
              <w:rPr/>
              <w:t> </w:t>
            </w:r>
          </w:p>
        </w:tc>
        <w:tc>
          <w:tcPr>
            <w:tcW w:w="364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Lives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left"/>
              <w:rPr/>
            </w:pPr>
            <w:r>
              <w:rPr/>
              <w:t> </w:t>
            </w:r>
          </w:p>
        </w:tc>
        <w:tc>
          <w:tcPr>
            <w:tcW w:w="3646" w:type="dxa"/>
            <w:tcBorders/>
            <w:shd w:fill="FFFFFF" w:val="clear"/>
            <w:vAlign w:val="center"/>
          </w:tcPr>
          <w:p>
            <w:pPr>
              <w:pStyle w:val="TableContents"/>
              <w:bidi w:val="0"/>
              <w:spacing w:before="0" w:after="283"/>
              <w:jc w:val="center"/>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lab equipment</w:t>
            </w:r>
          </w:p>
        </w:tc>
        <w:tc>
          <w:tcPr>
            <w:tcW w:w="36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months to 10 Years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53,503</w:t>
            </w:r>
          </w:p>
        </w:tc>
        <w:tc>
          <w:tcPr>
            <w:tcW w:w="2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36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Shorter of lease term or estimated useful life</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11,804</w:t>
            </w:r>
          </w:p>
        </w:tc>
        <w:tc>
          <w:tcPr>
            <w:tcW w:w="2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w:t>
            </w:r>
          </w:p>
        </w:tc>
        <w:tc>
          <w:tcPr>
            <w:tcW w:w="36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 Years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w:t>
            </w:r>
          </w:p>
        </w:tc>
        <w:tc>
          <w:tcPr>
            <w:tcW w:w="2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36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5 Years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2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improvements</w:t>
            </w:r>
          </w:p>
        </w:tc>
        <w:tc>
          <w:tcPr>
            <w:tcW w:w="36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months to 39 Years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5,865</w:t>
            </w:r>
          </w:p>
        </w:tc>
        <w:tc>
          <w:tcPr>
            <w:tcW w:w="2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w:t>
            </w:r>
          </w:p>
        </w:tc>
        <w:tc>
          <w:tcPr>
            <w:tcW w:w="36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5 Years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w:t>
            </w:r>
          </w:p>
        </w:tc>
        <w:tc>
          <w:tcPr>
            <w:tcW w:w="2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Aircraft</w:t>
            </w:r>
          </w:p>
        </w:tc>
        <w:tc>
          <w:tcPr>
            <w:tcW w:w="36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w:t>
            </w:r>
          </w:p>
        </w:tc>
        <w:tc>
          <w:tcPr>
            <w:tcW w:w="2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36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5 Years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2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improvements</w:t>
            </w:r>
          </w:p>
        </w:tc>
        <w:tc>
          <w:tcPr>
            <w:tcW w:w="36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to 15 Years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2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Automobile</w:t>
            </w:r>
          </w:p>
        </w:tc>
        <w:tc>
          <w:tcPr>
            <w:tcW w:w="36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to 5 Years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2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equipment</w:t>
            </w:r>
          </w:p>
        </w:tc>
        <w:tc>
          <w:tcPr>
            <w:tcW w:w="36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to 5 Years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36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2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not yet placed in service</w:t>
            </w:r>
          </w:p>
        </w:tc>
        <w:tc>
          <w:tcPr>
            <w:tcW w:w="36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124,634</w:t>
            </w:r>
          </w:p>
        </w:tc>
        <w:tc>
          <w:tcPr>
            <w:tcW w:w="2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36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36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on fixed assets totaled $17.5 million, $25.5 million and $9.3 million for the years ended December 31, 2023, 2022 and 2021,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Other Significant Balance Sheet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current assets consisted of the following:</w:t>
      </w:r>
    </w:p>
    <w:p>
      <w:pPr>
        <w:pStyle w:val="TextBody"/>
        <w:bidi w:val="0"/>
        <w:jc w:val="left"/>
        <w:rPr/>
      </w:pPr>
      <w:r>
        <w:rPr/>
        <w:t> </w:t>
      </w:r>
    </w:p>
    <w:tbl>
      <w:tblPr>
        <w:tblW w:w="5648" w:type="dxa"/>
        <w:jc w:val="left"/>
        <w:tblInd w:w="0" w:type="dxa"/>
        <w:tblLayout w:type="fixed"/>
        <w:tblCellMar>
          <w:top w:w="28" w:type="dxa"/>
          <w:left w:w="28" w:type="dxa"/>
          <w:bottom w:w="28" w:type="dxa"/>
          <w:right w:w="28" w:type="dxa"/>
        </w:tblCellMar>
      </w:tblPr>
      <w:tblGrid>
        <w:gridCol w:w="3391"/>
        <w:gridCol w:w="211"/>
        <w:gridCol w:w="676"/>
        <w:gridCol w:w="146"/>
        <w:gridCol w:w="146"/>
        <w:gridCol w:w="211"/>
        <w:gridCol w:w="676"/>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income taxes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15,434</w:t>
            </w:r>
          </w:p>
        </w:tc>
        <w:tc>
          <w:tcPr>
            <w:tcW w:w="1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6,814</w:t>
            </w:r>
          </w:p>
        </w:tc>
        <w:tc>
          <w:tcPr>
            <w:tcW w:w="19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Reagents and supplies</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w:t>
            </w:r>
          </w:p>
        </w:tc>
        <w:tc>
          <w:tcPr>
            <w:tcW w:w="1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interest receivable</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19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receivables as of December 31, 2022 included $19.1 million of maturities of marketable securities that did not settle until after period-end.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liabilities consisted of the following:</w:t>
      </w:r>
    </w:p>
    <w:p>
      <w:pPr>
        <w:pStyle w:val="TextBody"/>
        <w:bidi w:val="0"/>
        <w:jc w:val="left"/>
        <w:rPr/>
      </w:pPr>
      <w:r>
        <w:rPr/>
        <w:t> </w:t>
      </w:r>
    </w:p>
    <w:tbl>
      <w:tblPr>
        <w:tblW w:w="5423" w:type="dxa"/>
        <w:jc w:val="left"/>
        <w:tblInd w:w="0" w:type="dxa"/>
        <w:tblLayout w:type="fixed"/>
        <w:tblCellMar>
          <w:top w:w="28" w:type="dxa"/>
          <w:left w:w="28" w:type="dxa"/>
          <w:bottom w:w="28" w:type="dxa"/>
          <w:right w:w="28" w:type="dxa"/>
        </w:tblCellMar>
      </w:tblPr>
      <w:tblGrid>
        <w:gridCol w:w="3166"/>
        <w:gridCol w:w="211"/>
        <w:gridCol w:w="676"/>
        <w:gridCol w:w="146"/>
        <w:gridCol w:w="146"/>
        <w:gridCol w:w="211"/>
        <w:gridCol w:w="676"/>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liabilities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bonus and commission</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liabilities</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short term</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Vacation accrual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Accrued legal liabilities included $6.9 million in connection with the Company’s voluntary disclosure process as described in Note 8, </w:t>
      </w:r>
      <w:r>
        <w:rPr>
          <w:rFonts w:ascii="Times New Roman" w:hAnsi="Times New Roman"/>
          <w:i/>
          <w:color w:val="000000"/>
          <w:sz w:val="20"/>
        </w:rPr>
        <w:t>Debt, Commitments and Contingencies</w:t>
      </w:r>
      <w:r>
        <w:rPr>
          <w:rFonts w:ascii="Times New Roman" w:hAnsi="Times New Roman"/>
          <w:color w:val="000000"/>
          <w:sz w:val="20"/>
        </w:rPr>
        <w:t>. Other accrued liabilities included short term finance lease liabilities, health insurance liabilities, and third-party billing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long-term liabilities consisted of the following:</w:t>
      </w:r>
    </w:p>
    <w:tbl>
      <w:tblPr>
        <w:tblW w:w="5333" w:type="dxa"/>
        <w:jc w:val="left"/>
        <w:tblInd w:w="0" w:type="dxa"/>
        <w:tblLayout w:type="fixed"/>
        <w:tblCellMar>
          <w:top w:w="28" w:type="dxa"/>
          <w:left w:w="28" w:type="dxa"/>
          <w:bottom w:w="28" w:type="dxa"/>
          <w:right w:w="28" w:type="dxa"/>
        </w:tblCellMar>
      </w:tblPr>
      <w:tblGrid>
        <w:gridCol w:w="3076"/>
        <w:gridCol w:w="211"/>
        <w:gridCol w:w="676"/>
        <w:gridCol w:w="146"/>
        <w:gridCol w:w="146"/>
        <w:gridCol w:w="211"/>
        <w:gridCol w:w="676"/>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long term</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8,795</w:t>
            </w:r>
          </w:p>
        </w:tc>
        <w:tc>
          <w:tcPr>
            <w:tcW w:w="1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w:t>
            </w:r>
          </w:p>
        </w:tc>
        <w:tc>
          <w:tcPr>
            <w:tcW w:w="1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 long term</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long-term liabilities included long term finance lease liabilities and long-term liabilities assumed from a business combination in 2022.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Reportable Segment and Geographic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2022 financial statements, the Company viewed and managed its operations in one reportable segment. Given the advancement of the therapeutic development business, the Company made certain changes, including the bifurcation of financial information for the Company’s budget and forecast planning process in December 2023. The chief operating decision maker, or CODM, manages the operations of the Company and reviews discrete financial information to make resource decisions for its two operating segments separately. These are laboratory services and therapeutic development. The laboratory services operating segment offers technical laboratory services and professional interpretation of laboratory results by licensed physicians who specialize in pathology and oncology. The therapeutic development operating segment is a pharmaceutical research and development entity that the Company acquired in November 2022. These operating segments do not meet the aggregation criteria and therefore represent the Company’s reportable segments.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inter-segment allocation of interest expense and income taxes. There is no inter-segment revenue and operating income or loss. Information regarding the Company’s operations and assets for its reporting segments as well as geographic information are as follows:</w:t>
      </w:r>
    </w:p>
    <w:p>
      <w:pPr>
        <w:pStyle w:val="TextBody"/>
        <w:bidi w:val="0"/>
        <w:jc w:val="left"/>
        <w:rPr/>
      </w:pPr>
      <w:r>
        <w:rPr/>
        <w:t> </w:t>
      </w:r>
    </w:p>
    <w:tbl>
      <w:tblPr>
        <w:tblW w:w="6282" w:type="dxa"/>
        <w:jc w:val="left"/>
        <w:tblInd w:w="0" w:type="dxa"/>
        <w:tblLayout w:type="fixed"/>
        <w:tblCellMar>
          <w:top w:w="28" w:type="dxa"/>
          <w:left w:w="28" w:type="dxa"/>
          <w:bottom w:w="28" w:type="dxa"/>
          <w:right w:w="28" w:type="dxa"/>
        </w:tblCellMar>
      </w:tblPr>
      <w:tblGrid>
        <w:gridCol w:w="2331"/>
        <w:gridCol w:w="211"/>
        <w:gridCol w:w="781"/>
        <w:gridCol w:w="146"/>
        <w:gridCol w:w="146"/>
        <w:gridCol w:w="211"/>
        <w:gridCol w:w="781"/>
        <w:gridCol w:w="146"/>
        <w:gridCol w:w="146"/>
        <w:gridCol w:w="211"/>
        <w:gridCol w:w="781"/>
        <w:gridCol w:w="391"/>
      </w:tblGrid>
      <w:tr>
        <w:trPr/>
        <w:tc>
          <w:tcPr>
            <w:tcW w:w="2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31" w:type="dxa"/>
            <w:tcBorders/>
            <w:shd w:fill="FFFFFF" w:val="cle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1"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1" w:type="dxa"/>
            <w:tcBorders/>
            <w:shd w:fill="FFFFFF" w:val="clear"/>
            <w:vAlign w:val="center"/>
          </w:tcPr>
          <w:p>
            <w:pPr>
              <w:pStyle w:val="TableContents"/>
              <w:bidi w:val="0"/>
              <w:spacing w:before="0" w:after="283"/>
              <w:jc w:val="left"/>
              <w:rPr/>
            </w:pPr>
            <w:r>
              <w:rPr/>
              <w:t> </w:t>
            </w:r>
          </w:p>
        </w:tc>
        <w:tc>
          <w:tcPr>
            <w:tcW w:w="356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3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services:</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pPr>
            <w:r>
              <w:rPr/>
              <w:t> </w:t>
            </w:r>
          </w:p>
        </w:tc>
      </w:tr>
      <w:tr>
        <w:trPr/>
        <w:tc>
          <w:tcPr>
            <w:tcW w:w="2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services:</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3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Precision diagnostics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3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Anatomic pathology</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3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COVID-19</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899,699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3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BioPharma services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laboratory services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992,584</w:t>
            </w:r>
          </w:p>
        </w:tc>
        <w:tc>
          <w:tcPr>
            <w:tcW w:w="391" w:type="dxa"/>
            <w:tcBorders/>
            <w:shd w:fill="CFF0FC" w:val="clear"/>
            <w:vAlign w:val="center"/>
          </w:tcPr>
          <w:p>
            <w:pPr>
              <w:pStyle w:val="TableContents"/>
              <w:bidi w:val="0"/>
              <w:spacing w:before="0" w:after="283"/>
              <w:jc w:val="left"/>
              <w:rPr/>
            </w:pPr>
            <w:r>
              <w:rPr/>
              <w:t> </w:t>
            </w:r>
          </w:p>
        </w:tc>
      </w:tr>
      <w:tr>
        <w:trPr/>
        <w:tc>
          <w:tcPr>
            <w:tcW w:w="2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Therapeutic development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992,584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057" w:type="dxa"/>
        <w:jc w:val="left"/>
        <w:tblInd w:w="0" w:type="dxa"/>
        <w:tblLayout w:type="fixed"/>
        <w:tblCellMar>
          <w:top w:w="28" w:type="dxa"/>
          <w:left w:w="28" w:type="dxa"/>
          <w:bottom w:w="28" w:type="dxa"/>
          <w:right w:w="28" w:type="dxa"/>
        </w:tblCellMar>
      </w:tblPr>
      <w:tblGrid>
        <w:gridCol w:w="2206"/>
        <w:gridCol w:w="211"/>
        <w:gridCol w:w="841"/>
        <w:gridCol w:w="166"/>
        <w:gridCol w:w="146"/>
        <w:gridCol w:w="211"/>
        <w:gridCol w:w="781"/>
        <w:gridCol w:w="166"/>
        <w:gridCol w:w="146"/>
        <w:gridCol w:w="211"/>
        <w:gridCol w:w="78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pPr>
            <w:r>
              <w:rPr/>
              <w:t> </w:t>
            </w:r>
          </w:p>
        </w:tc>
        <w:tc>
          <w:tcPr>
            <w:tcW w:w="36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pPr>
            <w:r>
              <w:rPr/>
              <w:t> </w:t>
            </w:r>
          </w:p>
        </w:tc>
        <w:tc>
          <w:tcPr>
            <w:tcW w:w="366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 income:</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services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(180,585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675,953</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Therapeutic development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227" w:type="dxa"/>
        <w:jc w:val="left"/>
        <w:tblInd w:w="0" w:type="dxa"/>
        <w:tblLayout w:type="fixed"/>
        <w:tblCellMar>
          <w:top w:w="28" w:type="dxa"/>
          <w:left w:w="28" w:type="dxa"/>
          <w:bottom w:w="28" w:type="dxa"/>
          <w:right w:w="28" w:type="dxa"/>
        </w:tblCellMar>
      </w:tblPr>
      <w:tblGrid>
        <w:gridCol w:w="2791"/>
        <w:gridCol w:w="211"/>
        <w:gridCol w:w="676"/>
        <w:gridCol w:w="146"/>
        <w:gridCol w:w="146"/>
        <w:gridCol w:w="211"/>
        <w:gridCol w:w="676"/>
        <w:gridCol w:w="146"/>
        <w:gridCol w:w="146"/>
        <w:gridCol w:w="211"/>
        <w:gridCol w:w="676"/>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vAlign w:val="center"/>
          </w:tcPr>
          <w:p>
            <w:pPr>
              <w:pStyle w:val="TableContents"/>
              <w:bidi w:val="0"/>
              <w:spacing w:before="0" w:after="283"/>
              <w:jc w:val="left"/>
              <w:rPr/>
            </w:pPr>
            <w:r>
              <w:rPr/>
              <w:t> </w:t>
            </w:r>
          </w:p>
        </w:tc>
        <w:tc>
          <w:tcPr>
            <w:tcW w:w="324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7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Depreciation and amortization:</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services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11,004</w:t>
            </w:r>
          </w:p>
        </w:tc>
        <w:tc>
          <w:tcPr>
            <w:tcW w:w="191" w:type="dxa"/>
            <w:tcBorders/>
            <w:shd w:fill="CFF0FC" w:val="clear"/>
            <w:vAlign w:val="center"/>
          </w:tcPr>
          <w:p>
            <w:pPr>
              <w:pStyle w:val="TableContents"/>
              <w:bidi w:val="0"/>
              <w:spacing w:before="0" w:after="283"/>
              <w:jc w:val="left"/>
              <w:rPr/>
            </w:pPr>
            <w:r>
              <w:rPr/>
              <w:t> </w:t>
            </w:r>
          </w:p>
        </w:tc>
      </w:tr>
      <w:tr>
        <w:trPr/>
        <w:tc>
          <w:tcPr>
            <w:tcW w:w="2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Therapeutic development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973" w:type="dxa"/>
        <w:jc w:val="left"/>
        <w:tblInd w:w="0" w:type="dxa"/>
        <w:tblLayout w:type="fixed"/>
        <w:tblCellMar>
          <w:top w:w="28" w:type="dxa"/>
          <w:left w:w="28" w:type="dxa"/>
          <w:bottom w:w="28" w:type="dxa"/>
          <w:right w:w="28" w:type="dxa"/>
        </w:tblCellMar>
      </w:tblPr>
      <w:tblGrid>
        <w:gridCol w:w="2206"/>
        <w:gridCol w:w="211"/>
        <w:gridCol w:w="931"/>
        <w:gridCol w:w="146"/>
        <w:gridCol w:w="146"/>
        <w:gridCol w:w="211"/>
        <w:gridCol w:w="93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pPr>
            <w:r>
              <w:rPr/>
              <w:t> </w:t>
            </w:r>
          </w:p>
        </w:tc>
        <w:tc>
          <w:tcPr>
            <w:tcW w:w="25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services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1,146,192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1,292,821</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Therapeutic development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1,235,328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1,386,053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Geographic distribution of revenue:</w:t>
      </w:r>
    </w:p>
    <w:p>
      <w:pPr>
        <w:pStyle w:val="TextBody"/>
        <w:bidi w:val="0"/>
        <w:jc w:val="left"/>
        <w:rPr/>
      </w:pPr>
      <w:r>
        <w:rPr/>
        <w:t> </w:t>
      </w:r>
    </w:p>
    <w:tbl>
      <w:tblPr>
        <w:tblW w:w="4952" w:type="dxa"/>
        <w:jc w:val="left"/>
        <w:tblInd w:w="0" w:type="dxa"/>
        <w:tblLayout w:type="fixed"/>
        <w:tblCellMar>
          <w:top w:w="28" w:type="dxa"/>
          <w:left w:w="28" w:type="dxa"/>
          <w:bottom w:w="28" w:type="dxa"/>
          <w:right w:w="28" w:type="dxa"/>
        </w:tblCellMar>
      </w:tblPr>
      <w:tblGrid>
        <w:gridCol w:w="1201"/>
        <w:gridCol w:w="211"/>
        <w:gridCol w:w="781"/>
        <w:gridCol w:w="146"/>
        <w:gridCol w:w="146"/>
        <w:gridCol w:w="211"/>
        <w:gridCol w:w="781"/>
        <w:gridCol w:w="146"/>
        <w:gridCol w:w="146"/>
        <w:gridCol w:w="211"/>
        <w:gridCol w:w="781"/>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left"/>
              <w:rPr/>
            </w:pPr>
            <w:r>
              <w:rPr/>
              <w:t> </w:t>
            </w:r>
          </w:p>
        </w:tc>
        <w:tc>
          <w:tcPr>
            <w:tcW w:w="356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603,148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978,978</w:t>
            </w:r>
          </w:p>
        </w:tc>
        <w:tc>
          <w:tcPr>
            <w:tcW w:w="19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992,584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Geographic distribution of property, plant and equipment, net:</w:t>
      </w:r>
    </w:p>
    <w:tbl>
      <w:tblPr>
        <w:tblW w:w="3443" w:type="dxa"/>
        <w:jc w:val="left"/>
        <w:tblInd w:w="0" w:type="dxa"/>
        <w:tblLayout w:type="fixed"/>
        <w:tblCellMar>
          <w:top w:w="28" w:type="dxa"/>
          <w:left w:w="28" w:type="dxa"/>
          <w:bottom w:w="28" w:type="dxa"/>
          <w:right w:w="28" w:type="dxa"/>
        </w:tblCellMar>
      </w:tblPr>
      <w:tblGrid>
        <w:gridCol w:w="1186"/>
        <w:gridCol w:w="211"/>
        <w:gridCol w:w="676"/>
        <w:gridCol w:w="146"/>
        <w:gridCol w:w="146"/>
        <w:gridCol w:w="211"/>
        <w:gridCol w:w="676"/>
        <w:gridCol w:w="191"/>
      </w:tblGrid>
      <w:tr>
        <w:trPr/>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Fixed assets:</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Unites States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72,617</w:t>
            </w:r>
          </w:p>
        </w:tc>
        <w:tc>
          <w:tcPr>
            <w:tcW w:w="19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Debt,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Notes payable as of December 31, 2023, consisted of $3.4 million of notes payable related to an installment sale contract the Company entered in February 2022 for a building and $775,000 of notes payable to Xilong Scientific Co., or Xilong Scientific, by Fujian Fujun Gene Biotech Co., Ltd., or FF Gene Biotech. The notes payable related to the installment sale are due in February 2030, and the interest rate is 1.08%. The current portion and noncurrent portion are $408,000 and $3.0 million, respectively, and the noncurrent portion is included in the other long-term liabilities in the accompanying Consolidated Balance Sheets. The notes payable to Xilong Scientific is due on March 31, 2024, and the interest rate on the loan is 4.97%. The related interest expenses in 2023, 2022 and 2021 were $37,000, $304,000, and $177,000, respectively. The Company did not have the installment sale contract in 2021.</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and Finance 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9, </w:t>
      </w:r>
      <w:r>
        <w:rPr>
          <w:rFonts w:ascii="Times New Roman" w:hAnsi="Times New Roman"/>
          <w:i/>
          <w:color w:val="000000"/>
          <w:sz w:val="20"/>
        </w:rPr>
        <w:t>Leases</w:t>
      </w:r>
      <w:r>
        <w:rPr>
          <w:rFonts w:ascii="Times New Roman" w:hAnsi="Times New Roman"/>
          <w:color w:val="000000"/>
          <w:sz w:val="20"/>
        </w:rPr>
        <w:t>, for further information.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Purchase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certain purchase commitments with its vendors, which primarily consist of services, reagent and supplies, computer software, and medical lab equipment. As of December 31, 2023, the Company had purchase obligations of $51.9 million, of which $29.7 million is payable within twelve months, and the remainder, $22.2 million, is payable within the next five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subject to legal proceedings and claims arising in the ordinary course of business. Management does not believe that the outcome of any of these matters will have a material effect on the Company’s consolidated financial position, results of operations or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received a Civil Investigative Demand, or CID, issued by the U.S. Department of Justice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the Company’s customers named in the CID, which represent a small portion of the Company’s revenues. As disclosed in the Company’s prior filings, the U.S. Securities and Exchange Commission, or the SEC is also conducting a non-public formal investigation, which appears to relate to the matters raised in the CID requests and our Exchange Act reports filed for 2018 through 2020. The Company is fully cooperating with the U.S. Department of Justice and the SEC to promptly respond to the requests for information in this CID and investigation. The Company cannot predict when these matters will be resolved, the outcome of these matters, or their potential impact, which may ultimately be greater than what the Company currently expects.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 to other laboratories in the industry, the Company is currently being audited by HRSA with respect to its reimbursement for COVID-19 tests furnished to patients believed to be uninsured. The Company recorded approximately $548.9 million of reimbursements from HRSA under the Uninsured Program during the years ending December 31, 2022, 2021, and 2020. The Company is fully cooperating and working with HRSA’s auditors to resolve any issues, including any reimbursed amounts that may need to be returned to HRSA. There is uncertainty with respect to the methodology HRSA will use and whether and how they will extrapolate audit results. The results of the HRSA audit may materially and adversely affect the Company’s business, prospects,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cannot reasonably estimate the loss or range of loss, if any, that may result from any material government investigations,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relation to a recent advisory opinion issued by the Office of Inspector General of the Department of Health and Human Services (the “OIG”), the Company’s subsidiary, Symphony Buyer, Inc., or Inform Diagnostics, initiated a voluntary disclosure process with the appropriate government contact. The Company currently has estimated and recorded $6.9 million as a liability in its financial statements in connection with this voluntary disclosure. This estimate may be incorrect, and the actual amount of liability may be lower or may materially exceed this estimate.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 Leases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Lessee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party as a lessee to various non-cancelable operating leases with varying terms through April 2033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various finance leases for lab equipment with varying terms through December 2026, of which, some were acquired in business combinations. The Company does not have any leases with variable lease payments. The Company’s operating lease agreements do not contain any residual value guarantees, material restrictive covenants, bargain purchase options or asset retirement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headquarters are located in El Monte, California, which is comprised of various corporate offices and two laboratories certified under the Clinical Laboratory Improvement Amendments of 1988, or CLIA, accredited by the College of American Pathologists, or CAP, and licensed by the State of California Department of Public Health. Other CLIA-certified laboratories are located in Irving, Texas; Needham, Massachusetts; Phoenix, Arizona; Alpharetta, Georgia; and New York, New York.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operating and finance lease right-of-use asset, short-term lease liabilities, and long-term lease liabilities as of December 31, 2023, and 2022 were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363" w:type="dxa"/>
        <w:jc w:val="left"/>
        <w:tblInd w:w="0" w:type="dxa"/>
        <w:tblLayout w:type="fixed"/>
        <w:tblCellMar>
          <w:top w:w="28" w:type="dxa"/>
          <w:left w:w="28" w:type="dxa"/>
          <w:bottom w:w="28" w:type="dxa"/>
          <w:right w:w="28" w:type="dxa"/>
        </w:tblCellMar>
      </w:tblPr>
      <w:tblGrid>
        <w:gridCol w:w="3106"/>
        <w:gridCol w:w="211"/>
        <w:gridCol w:w="676"/>
        <w:gridCol w:w="146"/>
        <w:gridCol w:w="146"/>
        <w:gridCol w:w="211"/>
        <w:gridCol w:w="676"/>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vAlign w:val="center"/>
          </w:tcPr>
          <w:p>
            <w:pPr>
              <w:pStyle w:val="TableContents"/>
              <w:bidi w:val="0"/>
              <w:spacing w:before="0" w:after="283"/>
              <w:jc w:val="center"/>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1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ROU asset, net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14,784</w:t>
            </w:r>
          </w:p>
        </w:tc>
        <w:tc>
          <w:tcPr>
            <w:tcW w:w="191" w:type="dxa"/>
            <w:tcBorders/>
            <w:shd w:fill="CFF0FC" w:val="clear"/>
            <w:vAlign w:val="center"/>
          </w:tcPr>
          <w:p>
            <w:pPr>
              <w:pStyle w:val="TableContents"/>
              <w:bidi w:val="0"/>
              <w:spacing w:before="0" w:after="283"/>
              <w:jc w:val="left"/>
              <w:rPr/>
            </w:pPr>
            <w:r>
              <w:rPr/>
              <w:t> </w:t>
            </w:r>
          </w:p>
        </w:tc>
      </w:tr>
      <w:tr>
        <w:trPr/>
        <w:tc>
          <w:tcPr>
            <w:tcW w:w="3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short term</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w:t>
            </w:r>
          </w:p>
        </w:tc>
        <w:tc>
          <w:tcPr>
            <w:tcW w:w="191" w:type="dxa"/>
            <w:tcBorders/>
            <w:shd w:fill="FFFFFF" w:val="clear"/>
            <w:vAlign w:val="center"/>
          </w:tcPr>
          <w:p>
            <w:pPr>
              <w:pStyle w:val="TableContents"/>
              <w:bidi w:val="0"/>
              <w:spacing w:before="0" w:after="283"/>
              <w:jc w:val="left"/>
              <w:rPr/>
            </w:pPr>
            <w:r>
              <w:rPr/>
              <w:t> </w:t>
            </w:r>
          </w:p>
        </w:tc>
      </w:tr>
      <w:tr>
        <w:trPr/>
        <w:tc>
          <w:tcPr>
            <w:tcW w:w="31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long term</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8,795</w:t>
            </w:r>
          </w:p>
        </w:tc>
        <w:tc>
          <w:tcPr>
            <w:tcW w:w="191" w:type="dxa"/>
            <w:tcBorders/>
            <w:shd w:fill="CFF0FC" w:val="clear"/>
            <w:vAlign w:val="center"/>
          </w:tcPr>
          <w:p>
            <w:pPr>
              <w:pStyle w:val="TableContents"/>
              <w:bidi w:val="0"/>
              <w:spacing w:before="0" w:after="283"/>
              <w:jc w:val="left"/>
              <w:rPr/>
            </w:pPr>
            <w:r>
              <w:rPr/>
              <w:t> </w:t>
            </w:r>
          </w:p>
        </w:tc>
      </w:tr>
      <w:tr>
        <w:trPr/>
        <w:tc>
          <w:tcPr>
            <w:tcW w:w="3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ROU asset, net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w:t>
            </w:r>
          </w:p>
        </w:tc>
        <w:tc>
          <w:tcPr>
            <w:tcW w:w="191" w:type="dxa"/>
            <w:tcBorders/>
            <w:shd w:fill="FFFFFF" w:val="clear"/>
            <w:vAlign w:val="center"/>
          </w:tcPr>
          <w:p>
            <w:pPr>
              <w:pStyle w:val="TableContents"/>
              <w:bidi w:val="0"/>
              <w:spacing w:before="0" w:after="283"/>
              <w:jc w:val="left"/>
              <w:rPr/>
            </w:pPr>
            <w:r>
              <w:rPr/>
              <w:t> </w:t>
            </w:r>
          </w:p>
        </w:tc>
      </w:tr>
      <w:tr>
        <w:trPr/>
        <w:tc>
          <w:tcPr>
            <w:tcW w:w="31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short term</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91" w:type="dxa"/>
            <w:tcBorders/>
            <w:shd w:fill="CFF0FC" w:val="clear"/>
            <w:vAlign w:val="center"/>
          </w:tcPr>
          <w:p>
            <w:pPr>
              <w:pStyle w:val="TableContents"/>
              <w:bidi w:val="0"/>
              <w:spacing w:before="0" w:after="283"/>
              <w:jc w:val="left"/>
              <w:rPr/>
            </w:pPr>
            <w:r>
              <w:rPr/>
              <w:t> </w:t>
            </w:r>
          </w:p>
        </w:tc>
      </w:tr>
      <w:tr>
        <w:trPr/>
        <w:tc>
          <w:tcPr>
            <w:tcW w:w="3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long term</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was operating and finance lease expense:</w:t>
      </w:r>
    </w:p>
    <w:p>
      <w:pPr>
        <w:pStyle w:val="TextBody"/>
        <w:bidi w:val="0"/>
        <w:jc w:val="left"/>
        <w:rPr/>
      </w:pPr>
      <w:r>
        <w:rPr/>
        <w:t> </w:t>
      </w:r>
    </w:p>
    <w:tbl>
      <w:tblPr>
        <w:tblW w:w="5892" w:type="dxa"/>
        <w:jc w:val="left"/>
        <w:tblInd w:w="0" w:type="dxa"/>
        <w:tblLayout w:type="fixed"/>
        <w:tblCellMar>
          <w:top w:w="28" w:type="dxa"/>
          <w:left w:w="28" w:type="dxa"/>
          <w:bottom w:w="28" w:type="dxa"/>
          <w:right w:w="28" w:type="dxa"/>
        </w:tblCellMar>
      </w:tblPr>
      <w:tblGrid>
        <w:gridCol w:w="2571"/>
        <w:gridCol w:w="211"/>
        <w:gridCol w:w="571"/>
        <w:gridCol w:w="146"/>
        <w:gridCol w:w="146"/>
        <w:gridCol w:w="211"/>
        <w:gridCol w:w="571"/>
        <w:gridCol w:w="146"/>
        <w:gridCol w:w="146"/>
        <w:gridCol w:w="211"/>
        <w:gridCol w:w="571"/>
        <w:gridCol w:w="391"/>
      </w:tblGrid>
      <w:tr>
        <w:trPr/>
        <w:tc>
          <w:tcPr>
            <w:tcW w:w="2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293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391" w:type="dxa"/>
            <w:tcBorders/>
            <w:shd w:fill="CFF0FC" w:val="clear"/>
            <w:vAlign w:val="center"/>
          </w:tcPr>
          <w:p>
            <w:pPr>
              <w:pStyle w:val="TableContents"/>
              <w:bidi w:val="0"/>
              <w:spacing w:before="0" w:after="283"/>
              <w:jc w:val="left"/>
              <w:rPr/>
            </w:pPr>
            <w:r>
              <w:rPr/>
              <w:t> </w:t>
            </w:r>
          </w:p>
        </w:tc>
      </w:tr>
      <w:tr>
        <w:trPr/>
        <w:tc>
          <w:tcPr>
            <w:tcW w:w="2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ROU assets</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FFFFFF" w:val="clear"/>
            <w:vAlign w:val="center"/>
          </w:tcPr>
          <w:p>
            <w:pPr>
              <w:pStyle w:val="TableContents"/>
              <w:bidi w:val="0"/>
              <w:spacing w:before="0" w:after="283"/>
              <w:jc w:val="left"/>
              <w:rPr/>
            </w:pPr>
            <w:r>
              <w:rPr/>
              <w:t> </w:t>
            </w:r>
          </w:p>
        </w:tc>
      </w:tr>
      <w:tr>
        <w:trPr/>
        <w:tc>
          <w:tcPr>
            <w:tcW w:w="2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Supplemental information related to leases was the following:</w:t>
      </w:r>
    </w:p>
    <w:p>
      <w:pPr>
        <w:pStyle w:val="TextBody"/>
        <w:bidi w:val="0"/>
        <w:jc w:val="left"/>
        <w:rPr/>
      </w:pPr>
      <w:r>
        <w:rPr/>
        <w:t> </w:t>
      </w:r>
    </w:p>
    <w:tbl>
      <w:tblPr>
        <w:tblW w:w="6587" w:type="dxa"/>
        <w:jc w:val="left"/>
        <w:tblInd w:w="0" w:type="dxa"/>
        <w:tblLayout w:type="fixed"/>
        <w:tblCellMar>
          <w:top w:w="28" w:type="dxa"/>
          <w:left w:w="28" w:type="dxa"/>
          <w:bottom w:w="28" w:type="dxa"/>
          <w:right w:w="28" w:type="dxa"/>
        </w:tblCellMar>
      </w:tblPr>
      <w:tblGrid>
        <w:gridCol w:w="4771"/>
        <w:gridCol w:w="357"/>
        <w:gridCol w:w="1143"/>
        <w:gridCol w:w="316"/>
      </w:tblGrid>
      <w:tr>
        <w:trPr/>
        <w:tc>
          <w:tcPr>
            <w:tcW w:w="477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 operating leases</w:t>
            </w:r>
          </w:p>
        </w:tc>
        <w:tc>
          <w:tcPr>
            <w:tcW w:w="150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 years</w:t>
            </w:r>
          </w:p>
        </w:tc>
        <w:tc>
          <w:tcPr>
            <w:tcW w:w="316" w:type="dxa"/>
            <w:tcBorders/>
            <w:shd w:fill="CFF0FC"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 - operating leases</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-finance leases</w:t>
            </w:r>
          </w:p>
        </w:tc>
        <w:tc>
          <w:tcPr>
            <w:tcW w:w="150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 years</w:t>
            </w:r>
          </w:p>
        </w:tc>
        <w:tc>
          <w:tcPr>
            <w:tcW w:w="316" w:type="dxa"/>
            <w:tcBorders/>
            <w:shd w:fill="CFF0FC"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 - finance leases</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maturity analysis of operating and finance lease liabilities using undiscounted cash flows on an annual basis with renewal periods included:</w:t>
      </w:r>
    </w:p>
    <w:p>
      <w:pPr>
        <w:pStyle w:val="TextBody"/>
        <w:bidi w:val="0"/>
        <w:jc w:val="left"/>
        <w:rPr/>
      </w:pPr>
      <w:r>
        <w:rPr/>
        <w:t> </w:t>
      </w:r>
    </w:p>
    <w:tbl>
      <w:tblPr>
        <w:tblW w:w="5799" w:type="dxa"/>
        <w:jc w:val="left"/>
        <w:tblInd w:w="0" w:type="dxa"/>
        <w:tblLayout w:type="fixed"/>
        <w:tblCellMar>
          <w:top w:w="28" w:type="dxa"/>
          <w:left w:w="28" w:type="dxa"/>
          <w:bottom w:w="28" w:type="dxa"/>
          <w:right w:w="28" w:type="dxa"/>
        </w:tblCellMar>
      </w:tblPr>
      <w:tblGrid>
        <w:gridCol w:w="2296"/>
        <w:gridCol w:w="324"/>
        <w:gridCol w:w="1041"/>
        <w:gridCol w:w="246"/>
        <w:gridCol w:w="246"/>
        <w:gridCol w:w="359"/>
        <w:gridCol w:w="976"/>
        <w:gridCol w:w="311"/>
      </w:tblGrid>
      <w:tr>
        <w:trPr/>
        <w:tc>
          <w:tcPr>
            <w:tcW w:w="229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Financing Leases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left"/>
              <w:rPr/>
            </w:pPr>
            <w:r>
              <w:rPr/>
              <w:t> </w:t>
            </w:r>
          </w:p>
        </w:tc>
        <w:tc>
          <w:tcPr>
            <w:tcW w:w="319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365" w:type="dxa"/>
            <w:gridSpan w:val="2"/>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335"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3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311" w:type="dxa"/>
            <w:tcBorders/>
            <w:shd w:fill="FFFFFF" w:val="clear"/>
            <w:vAlign w:val="center"/>
          </w:tcPr>
          <w:p>
            <w:pPr>
              <w:pStyle w:val="TableContents"/>
              <w:bidi w:val="0"/>
              <w:spacing w:before="0" w:after="283"/>
              <w:jc w:val="left"/>
              <w:rPr/>
            </w:pPr>
            <w:r>
              <w:rPr/>
              <w:t> </w:t>
            </w:r>
          </w:p>
        </w:tc>
      </w:tr>
      <w:tr>
        <w:trPr/>
        <w:tc>
          <w:tcPr>
            <w:tcW w:w="2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324"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311" w:type="dxa"/>
            <w:tcBorders/>
            <w:shd w:fill="CFF0FC" w:val="cle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32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311" w:type="dxa"/>
            <w:tcBorders/>
            <w:shd w:fill="FFFFFF" w:val="clear"/>
            <w:vAlign w:val="center"/>
          </w:tcPr>
          <w:p>
            <w:pPr>
              <w:pStyle w:val="TableContents"/>
              <w:bidi w:val="0"/>
              <w:spacing w:before="0" w:after="283"/>
              <w:jc w:val="left"/>
              <w:rPr/>
            </w:pPr>
            <w:r>
              <w:rPr/>
              <w:t> </w:t>
            </w:r>
          </w:p>
        </w:tc>
      </w:tr>
      <w:tr>
        <w:trPr/>
        <w:tc>
          <w:tcPr>
            <w:tcW w:w="2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324"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32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jc w:val="left"/>
              <w:rPr/>
            </w:pPr>
            <w:r>
              <w:rPr/>
              <w:t> </w:t>
            </w:r>
          </w:p>
        </w:tc>
      </w:tr>
      <w:tr>
        <w:trPr/>
        <w:tc>
          <w:tcPr>
            <w:tcW w:w="2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lease payments</w:t>
            </w:r>
          </w:p>
        </w:tc>
        <w:tc>
          <w:tcPr>
            <w:tcW w:w="32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12,242</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59"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311" w:type="dxa"/>
            <w:tcBorders/>
            <w:shd w:fill="FFFFFF" w:val="clear"/>
            <w:vAlign w:val="center"/>
          </w:tcPr>
          <w:p>
            <w:pPr>
              <w:pStyle w:val="TableContents"/>
              <w:bidi w:val="0"/>
              <w:spacing w:before="0" w:after="283"/>
              <w:jc w:val="left"/>
              <w:rPr/>
            </w:pPr>
            <w:r>
              <w:rPr/>
              <w:t> </w:t>
            </w:r>
          </w:p>
        </w:tc>
      </w:tr>
      <w:tr>
        <w:trPr/>
        <w:tc>
          <w:tcPr>
            <w:tcW w:w="2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Lessor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out space in buildings it owns to third-party tenants under noncancelable operating leases. As of December 31, 2023, the remaining lease term is 1 year, including renewal options and may include rent escalation clauses. Lease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primarily represents fixed lease payments from tenants recognized on a straight-line basis over the application lease term. Variable lease income represents tenant payments for real estate taxes, insurance and maintenance.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lease income was included in interest and other income, net, in the accompanying Consolidated Statements of Operations. Total lease income was as follows:</w:t>
      </w:r>
    </w:p>
    <w:p>
      <w:pPr>
        <w:pStyle w:val="TextBody"/>
        <w:bidi w:val="0"/>
        <w:jc w:val="left"/>
        <w:rPr/>
      </w:pPr>
      <w:r>
        <w:rPr/>
        <w:t> </w:t>
      </w:r>
    </w:p>
    <w:tbl>
      <w:tblPr>
        <w:tblW w:w="4577" w:type="dxa"/>
        <w:jc w:val="left"/>
        <w:tblInd w:w="0" w:type="dxa"/>
        <w:tblLayout w:type="fixed"/>
        <w:tblCellMar>
          <w:top w:w="28" w:type="dxa"/>
          <w:left w:w="28" w:type="dxa"/>
          <w:bottom w:w="28" w:type="dxa"/>
          <w:right w:w="28" w:type="dxa"/>
        </w:tblCellMar>
      </w:tblPr>
      <w:tblGrid>
        <w:gridCol w:w="1906"/>
        <w:gridCol w:w="211"/>
        <w:gridCol w:w="421"/>
        <w:gridCol w:w="146"/>
        <w:gridCol w:w="146"/>
        <w:gridCol w:w="211"/>
        <w:gridCol w:w="421"/>
        <w:gridCol w:w="146"/>
        <w:gridCol w:w="146"/>
        <w:gridCol w:w="211"/>
        <w:gridCol w:w="421"/>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vAlign w:val="center"/>
          </w:tcPr>
          <w:p>
            <w:pPr>
              <w:pStyle w:val="TableContents"/>
              <w:bidi w:val="0"/>
              <w:spacing w:before="0" w:after="283"/>
              <w:jc w:val="left"/>
              <w:rPr/>
            </w:pPr>
            <w:r>
              <w:rPr/>
              <w:t> </w:t>
            </w:r>
          </w:p>
        </w:tc>
        <w:tc>
          <w:tcPr>
            <w:tcW w:w="24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vAlign w:val="center"/>
          </w:tcPr>
          <w:p>
            <w:pPr>
              <w:pStyle w:val="TableContents"/>
              <w:bidi w:val="0"/>
              <w:spacing w:before="0" w:after="283"/>
              <w:jc w:val="left"/>
              <w:rPr/>
            </w:pPr>
            <w:r>
              <w:rPr/>
              <w:t> </w:t>
            </w:r>
          </w:p>
        </w:tc>
        <w:tc>
          <w:tcPr>
            <w:tcW w:w="248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income</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91" w:type="dxa"/>
            <w:tcBorders/>
            <w:shd w:fill="CFF0FC" w:val="clear"/>
            <w:vAlign w:val="center"/>
          </w:tcPr>
          <w:p>
            <w:pPr>
              <w:pStyle w:val="TableContents"/>
              <w:bidi w:val="0"/>
              <w:spacing w:before="0" w:after="283"/>
              <w:jc w:val="left"/>
              <w:rPr/>
            </w:pPr>
            <w:r>
              <w:rPr/>
              <w:t> </w:t>
            </w:r>
          </w:p>
        </w:tc>
      </w:tr>
      <w:tr>
        <w:trPr/>
        <w:tc>
          <w:tcPr>
            <w:tcW w:w="1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fixed lease payments from tenants for all noncancelable operating leases as of December 31, 2023 are as follows:</w:t>
      </w:r>
    </w:p>
    <w:p>
      <w:pPr>
        <w:pStyle w:val="TextBody"/>
        <w:bidi w:val="0"/>
        <w:jc w:val="left"/>
        <w:rPr/>
      </w:pPr>
      <w:r>
        <w:rPr/>
        <w:t> </w:t>
      </w:r>
    </w:p>
    <w:tbl>
      <w:tblPr>
        <w:tblW w:w="3747" w:type="dxa"/>
        <w:jc w:val="left"/>
        <w:tblInd w:w="0" w:type="dxa"/>
        <w:tblLayout w:type="fixed"/>
        <w:tblCellMar>
          <w:top w:w="28" w:type="dxa"/>
          <w:left w:w="28" w:type="dxa"/>
          <w:bottom w:w="28" w:type="dxa"/>
          <w:right w:w="28" w:type="dxa"/>
        </w:tblCellMar>
      </w:tblPr>
      <w:tblGrid>
        <w:gridCol w:w="2296"/>
        <w:gridCol w:w="503"/>
        <w:gridCol w:w="757"/>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 Payments</w:t>
            </w:r>
          </w:p>
        </w:tc>
        <w:tc>
          <w:tcPr>
            <w:tcW w:w="191" w:type="dxa"/>
            <w:tcBorders/>
            <w:shd w:fill="FFFFFF" w:val="cle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Tenants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2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Equity-Based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included equity-based compensation expense as part of cost of revenue and operating expenses in the accompanying Consolidated Statements of Operations as follows:</w:t>
      </w:r>
    </w:p>
    <w:p>
      <w:pPr>
        <w:pStyle w:val="TextBody"/>
        <w:bidi w:val="0"/>
        <w:jc w:val="left"/>
        <w:rPr/>
      </w:pPr>
      <w:r>
        <w:rPr/>
        <w:t> </w:t>
      </w:r>
    </w:p>
    <w:tbl>
      <w:tblPr>
        <w:tblW w:w="5747" w:type="dxa"/>
        <w:jc w:val="left"/>
        <w:tblInd w:w="0" w:type="dxa"/>
        <w:tblLayout w:type="fixed"/>
        <w:tblCellMar>
          <w:top w:w="28" w:type="dxa"/>
          <w:left w:w="28" w:type="dxa"/>
          <w:bottom w:w="28" w:type="dxa"/>
          <w:right w:w="28" w:type="dxa"/>
        </w:tblCellMar>
      </w:tblPr>
      <w:tblGrid>
        <w:gridCol w:w="2311"/>
        <w:gridCol w:w="211"/>
        <w:gridCol w:w="676"/>
        <w:gridCol w:w="146"/>
        <w:gridCol w:w="146"/>
        <w:gridCol w:w="211"/>
        <w:gridCol w:w="676"/>
        <w:gridCol w:w="146"/>
        <w:gridCol w:w="146"/>
        <w:gridCol w:w="211"/>
        <w:gridCol w:w="676"/>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324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actual tax (expense) benefit realized from tax deductions related to awards vested or exercised were ($2.7) million, $2.1 million, and $13.3 million for the years ended December 31, 2023, 2022 and 2021,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Award Activity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Option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activity for options to acquire shares of the Company’s common stock in the years ended December 31, 2023, 2022 and 2021:</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2"/>
        <w:gridCol w:w="146"/>
        <w:gridCol w:w="264"/>
        <w:gridCol w:w="767"/>
        <w:gridCol w:w="166"/>
        <w:gridCol w:w="146"/>
        <w:gridCol w:w="279"/>
        <w:gridCol w:w="761"/>
        <w:gridCol w:w="146"/>
        <w:gridCol w:w="146"/>
        <w:gridCol w:w="398"/>
        <w:gridCol w:w="1085"/>
        <w:gridCol w:w="146"/>
        <w:gridCol w:w="146"/>
        <w:gridCol w:w="349"/>
        <w:gridCol w:w="867"/>
        <w:gridCol w:w="146"/>
        <w:gridCol w:w="146"/>
        <w:gridCol w:w="291"/>
        <w:gridCol w:w="934"/>
        <w:gridCol w:w="394"/>
      </w:tblGrid>
      <w:tr>
        <w:trPr/>
        <w:tc>
          <w:tcPr>
            <w:tcW w:w="2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4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br/>
              <w:t>Subject to</w:t>
              <w:br/>
              <w:t xml:space="preserve">Options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 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 (1)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2020</w:t>
            </w:r>
          </w:p>
        </w:tc>
        <w:tc>
          <w:tcPr>
            <w:tcW w:w="146" w:type="dxa"/>
            <w:tcBorders/>
            <w:shd w:fill="CFF0FC" w:val="clear"/>
            <w:vAlign w:val="center"/>
          </w:tcPr>
          <w:p>
            <w:pPr>
              <w:pStyle w:val="TableContents"/>
              <w:bidi w:val="0"/>
              <w:spacing w:before="0" w:after="283"/>
              <w:jc w:val="center"/>
              <w:rPr/>
            </w:pPr>
            <w:r>
              <w:rPr/>
              <w:t> </w:t>
            </w:r>
          </w:p>
        </w:tc>
        <w:tc>
          <w:tcPr>
            <w:tcW w:w="264"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8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349"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14,484</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24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center"/>
              <w:rPr/>
            </w:pPr>
            <w:r>
              <w:rPr/>
              <w:t> </w:t>
            </w:r>
          </w:p>
        </w:tc>
        <w:tc>
          <w:tcPr>
            <w:tcW w:w="264"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248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center"/>
              <w:rPr/>
            </w:pPr>
            <w:r>
              <w:rPr/>
              <w:t> </w:t>
            </w:r>
          </w:p>
        </w:tc>
        <w:tc>
          <w:tcPr>
            <w:tcW w:w="264"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25"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24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24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2021</w:t>
            </w:r>
          </w:p>
        </w:tc>
        <w:tc>
          <w:tcPr>
            <w:tcW w:w="146" w:type="dxa"/>
            <w:tcBorders/>
            <w:shd w:fill="CFF0FC" w:val="clear"/>
            <w:vAlign w:val="center"/>
          </w:tcPr>
          <w:p>
            <w:pPr>
              <w:pStyle w:val="TableContents"/>
              <w:bidi w:val="0"/>
              <w:spacing w:before="0" w:after="283"/>
              <w:jc w:val="center"/>
              <w:rPr/>
            </w:pPr>
            <w:r>
              <w:rPr/>
              <w:t> </w:t>
            </w:r>
          </w:p>
        </w:tc>
        <w:tc>
          <w:tcPr>
            <w:tcW w:w="264"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8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349"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20,965</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24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center"/>
              <w:rPr/>
            </w:pPr>
            <w:r>
              <w:rPr/>
              <w:t> </w:t>
            </w:r>
          </w:p>
        </w:tc>
        <w:tc>
          <w:tcPr>
            <w:tcW w:w="264"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248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center"/>
              <w:rPr/>
            </w:pPr>
            <w:r>
              <w:rPr/>
              <w:t> </w:t>
            </w:r>
          </w:p>
        </w:tc>
        <w:tc>
          <w:tcPr>
            <w:tcW w:w="264"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25"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24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24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center"/>
              <w:rPr/>
            </w:pPr>
            <w:r>
              <w:rPr/>
              <w:t> </w:t>
            </w:r>
          </w:p>
        </w:tc>
        <w:tc>
          <w:tcPr>
            <w:tcW w:w="264"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8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349"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5,420</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24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center"/>
              <w:rPr/>
            </w:pPr>
            <w:r>
              <w:rPr/>
              <w:t> </w:t>
            </w:r>
          </w:p>
        </w:tc>
        <w:tc>
          <w:tcPr>
            <w:tcW w:w="264"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248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center"/>
              <w:rPr/>
            </w:pPr>
            <w:r>
              <w:rPr/>
              <w:t> </w:t>
            </w:r>
          </w:p>
        </w:tc>
        <w:tc>
          <w:tcPr>
            <w:tcW w:w="264"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25"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24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25"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24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center"/>
              <w:rPr/>
            </w:pPr>
            <w:r>
              <w:rPr/>
              <w:t> </w:t>
            </w:r>
          </w:p>
        </w:tc>
        <w:tc>
          <w:tcPr>
            <w:tcW w:w="264"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394" w:type="dxa"/>
            <w:tcBorders/>
            <w:shd w:fill="CFF0FC"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December 31, 2023</w:t>
            </w:r>
          </w:p>
        </w:tc>
        <w:tc>
          <w:tcPr>
            <w:tcW w:w="146" w:type="dxa"/>
            <w:tcBorders/>
            <w:shd w:fill="FFFFFF" w:val="clear"/>
            <w:vAlign w:val="center"/>
          </w:tcPr>
          <w:p>
            <w:pPr>
              <w:pStyle w:val="TableContents"/>
              <w:bidi w:val="0"/>
              <w:spacing w:before="0" w:after="283"/>
              <w:jc w:val="center"/>
              <w:rPr/>
            </w:pPr>
            <w:r>
              <w:rPr/>
              <w:t> </w:t>
            </w:r>
          </w:p>
        </w:tc>
        <w:tc>
          <w:tcPr>
            <w:tcW w:w="264"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Aggregate intrinsic value is calculated as the difference between (i) the exercise price of options and (ii) the market value of the Company’s common stock as of the applicable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fair value of options that vested during the years ended December 31, 2023, 2022 and 2021 was $172,000, $126,000 and $76,000, respectively. As of December 31, 2023, the remaining unrecognized compensation expense related to all outstanding option awards was $695,000 and is expected to be recognized over a weighted-average period of 2.9 years.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RSU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are awards that entitle the holder to receive shares of the Company’s common stock upon satisfaction of vesting conditions. Each RSU represents the contingent right to receive one share of the Company’s common stock upon vesting and settlement.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activity for RSUs relating to shares of the Company’s common stock in the years ended December 31, 2023, 2022, and 2021:</w:t>
      </w:r>
    </w:p>
    <w:tbl>
      <w:tblPr>
        <w:tblW w:w="5985" w:type="dxa"/>
        <w:jc w:val="left"/>
        <w:tblInd w:w="0" w:type="dxa"/>
        <w:tblLayout w:type="fixed"/>
        <w:tblCellMar>
          <w:top w:w="28" w:type="dxa"/>
          <w:left w:w="28" w:type="dxa"/>
          <w:bottom w:w="28" w:type="dxa"/>
          <w:right w:w="28" w:type="dxa"/>
        </w:tblCellMar>
      </w:tblPr>
      <w:tblGrid>
        <w:gridCol w:w="2686"/>
        <w:gridCol w:w="211"/>
        <w:gridCol w:w="914"/>
        <w:gridCol w:w="166"/>
        <w:gridCol w:w="146"/>
        <w:gridCol w:w="396"/>
        <w:gridCol w:w="1075"/>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2020</w:t>
            </w:r>
          </w:p>
        </w:tc>
        <w:tc>
          <w:tcPr>
            <w:tcW w:w="211"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211"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6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 and settled</w:t>
            </w:r>
          </w:p>
        </w:tc>
        <w:tc>
          <w:tcPr>
            <w:tcW w:w="211"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w:t>
            </w:r>
          </w:p>
        </w:tc>
        <w:tc>
          <w:tcPr>
            <w:tcW w:w="39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2021</w:t>
            </w:r>
          </w:p>
        </w:tc>
        <w:tc>
          <w:tcPr>
            <w:tcW w:w="211"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211"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6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 and settled</w:t>
            </w:r>
          </w:p>
        </w:tc>
        <w:tc>
          <w:tcPr>
            <w:tcW w:w="211"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w:t>
            </w:r>
          </w:p>
        </w:tc>
        <w:tc>
          <w:tcPr>
            <w:tcW w:w="39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211"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211"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6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 and settled</w:t>
            </w:r>
          </w:p>
        </w:tc>
        <w:tc>
          <w:tcPr>
            <w:tcW w:w="211"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w:t>
            </w:r>
          </w:p>
        </w:tc>
        <w:tc>
          <w:tcPr>
            <w:tcW w:w="39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211"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RSU awards granted in the years ended December 31, 2023, 2022 and 2021 will result in aggregate equity-based compensation expense of $29.3 million, $94.8 million and $45.5 million, respectively, to be recognized over the vesting periods from the grant date of each award granted in the period. As of December 31, 2023, the remaining unrecognized compensation expense related to all outstanding RSU awards was $86.8 million and is expected to be recognized over a weighted-average period of 2.5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Assumptions for Option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the Black-Scholes option-pricing model to measure the fair value of option awards. The Black-Scholes option-pricing model requires the input of various assumptions, each of which is subjective and requires significant judgment. These assumptions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The expected term represents the period that the Company’s equity-based awards are expected to be outstanding. The Company determines the expected term assumption based on the vesting terms, exercise terms and contractual terms of the options.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Company determines the risk-free interest rate by using the equivalent to the expected term based on the U.S. Treasury yield curve in effect as of the date of grant.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i/>
          <w:color w:val="000000"/>
          <w:sz w:val="20"/>
        </w:rPr>
        <w:t>Dividend Yield.</w:t>
      </w:r>
      <w:r>
        <w:rPr>
          <w:rFonts w:ascii="Times New Roman" w:hAnsi="Times New Roman"/>
          <w:color w:val="000000"/>
          <w:sz w:val="20"/>
        </w:rPr>
        <w:t xml:space="preserve"> The assumed dividend yield is based on the Company’s expectation that it will not pay dividends in the foreseeable future, which is consistent with its history of not paying dividends.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The Company calculates expected volatility based on historical volatility data of its stock that is publicly traded.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i/>
          <w:color w:val="000000"/>
          <w:sz w:val="20"/>
        </w:rPr>
        <w:t>Forfeiture Rate.</w:t>
      </w:r>
      <w:r>
        <w:rPr>
          <w:rFonts w:ascii="Times New Roman" w:hAnsi="Times New Roman"/>
          <w:color w:val="000000"/>
          <w:sz w:val="20"/>
        </w:rPr>
        <w:t xml:space="preserve"> The Company accounts for forfeitures as they occur.</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Awards to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sets forth the weighted-average assumptions used in the Black-Scholes option-pricing model to estimate the fair value of options to acquire shares of the Company’s common stock granted to employees during the years ended December 31, 2023, 2022 and 2021.</w:t>
      </w:r>
    </w:p>
    <w:p>
      <w:pPr>
        <w:pStyle w:val="TextBody"/>
        <w:bidi w:val="0"/>
        <w:jc w:val="left"/>
        <w:rPr/>
      </w:pPr>
      <w:r>
        <w:rPr/>
        <w:t> </w:t>
      </w:r>
    </w:p>
    <w:tbl>
      <w:tblPr>
        <w:tblW w:w="4858" w:type="dxa"/>
        <w:jc w:val="left"/>
        <w:tblInd w:w="0" w:type="dxa"/>
        <w:tblLayout w:type="fixed"/>
        <w:tblCellMar>
          <w:top w:w="28" w:type="dxa"/>
          <w:left w:w="28" w:type="dxa"/>
          <w:bottom w:w="28" w:type="dxa"/>
          <w:right w:w="28" w:type="dxa"/>
        </w:tblCellMar>
      </w:tblPr>
      <w:tblGrid>
        <w:gridCol w:w="2086"/>
        <w:gridCol w:w="146"/>
        <w:gridCol w:w="466"/>
        <w:gridCol w:w="271"/>
        <w:gridCol w:w="146"/>
        <w:gridCol w:w="181"/>
        <w:gridCol w:w="449"/>
        <w:gridCol w:w="146"/>
        <w:gridCol w:w="146"/>
        <w:gridCol w:w="181"/>
        <w:gridCol w:w="449"/>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258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rates</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FFFFFF" w:val="clear"/>
            <w:vAlign w:val="center"/>
          </w:tcPr>
          <w:p>
            <w:pPr>
              <w:pStyle w:val="TableContents"/>
              <w:bidi w:val="0"/>
              <w:spacing w:before="0" w:after="283"/>
              <w:jc w:val="righ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righ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Determination of Fair Value on Grant 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shares of the Company’s common stock underlying option and RSU awards is determined by the Company’s board of directors or the compensation committee thereof based on the closing sales price of the Company’s common stock on the date of grant as reported by the Nasdaq Global Market.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consists of United States federal and state income taxes. A deferred tax liability is recognized for all taxable temporary differences, and a deferred tax asset is recognized for all deductible temporary differences, operating losses and tax credit carryforwards. A valuation allowance is provided when it is more likely than not that some portion or all of a deferred tax asset will not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income (loss) before income taxes and gain on equity-method investments: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34"/>
        <w:gridCol w:w="211"/>
        <w:gridCol w:w="841"/>
        <w:gridCol w:w="166"/>
        <w:gridCol w:w="146"/>
        <w:gridCol w:w="211"/>
        <w:gridCol w:w="781"/>
        <w:gridCol w:w="166"/>
        <w:gridCol w:w="146"/>
        <w:gridCol w:w="211"/>
        <w:gridCol w:w="781"/>
        <w:gridCol w:w="211"/>
      </w:tblGrid>
      <w:tr>
        <w:trPr/>
        <w:tc>
          <w:tcPr>
            <w:tcW w:w="6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334" w:type="dxa"/>
            <w:tcBorders/>
            <w:shd w:fill="FFFFFF" w:val="clear"/>
            <w:vAlign w:val="center"/>
          </w:tcPr>
          <w:p>
            <w:pPr>
              <w:pStyle w:val="TableContents"/>
              <w:bidi w:val="0"/>
              <w:spacing w:before="0" w:after="283"/>
              <w:jc w:val="left"/>
              <w:rPr/>
            </w:pPr>
            <w:r>
              <w:rPr/>
              <w:t> </w:t>
            </w:r>
          </w:p>
        </w:tc>
        <w:tc>
          <w:tcPr>
            <w:tcW w:w="36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4"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4" w:type="dxa"/>
            <w:tcBorders/>
            <w:shd w:fill="FFFFFF" w:val="clear"/>
            <w:vAlign w:val="center"/>
          </w:tcPr>
          <w:p>
            <w:pPr>
              <w:pStyle w:val="TableContents"/>
              <w:bidi w:val="0"/>
              <w:spacing w:before="0" w:after="283"/>
              <w:jc w:val="left"/>
              <w:rPr/>
            </w:pPr>
            <w:r>
              <w:rPr/>
              <w:t> </w:t>
            </w:r>
          </w:p>
        </w:tc>
        <w:tc>
          <w:tcPr>
            <w:tcW w:w="366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6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(loss) income before income taxes and gain on equity-method investments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681,403</w:t>
            </w:r>
          </w:p>
        </w:tc>
        <w:tc>
          <w:tcPr>
            <w:tcW w:w="211" w:type="dxa"/>
            <w:tcBorders/>
            <w:shd w:fill="CFF0FC" w:val="clear"/>
            <w:vAlign w:val="center"/>
          </w:tcPr>
          <w:p>
            <w:pPr>
              <w:pStyle w:val="TableContents"/>
              <w:bidi w:val="0"/>
              <w:spacing w:before="0" w:after="283"/>
              <w:jc w:val="left"/>
              <w:rPr/>
            </w:pPr>
            <w:r>
              <w:rPr/>
              <w:t> </w:t>
            </w:r>
          </w:p>
        </w:tc>
      </w:tr>
      <w:tr>
        <w:trPr/>
        <w:tc>
          <w:tcPr>
            <w:tcW w:w="63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loss before income taxes and gain on equity-method investments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 and gain on equity-method investments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 expense consisted of the following:</w:t>
      </w:r>
    </w:p>
    <w:p>
      <w:pPr>
        <w:pStyle w:val="TextBody"/>
        <w:bidi w:val="0"/>
        <w:jc w:val="left"/>
        <w:rPr/>
      </w:pPr>
      <w:r>
        <w:rPr/>
        <w:t> </w:t>
      </w:r>
    </w:p>
    <w:tbl>
      <w:tblPr>
        <w:tblW w:w="6517" w:type="dxa"/>
        <w:jc w:val="left"/>
        <w:tblInd w:w="0" w:type="dxa"/>
        <w:tblLayout w:type="fixed"/>
        <w:tblCellMar>
          <w:top w:w="28" w:type="dxa"/>
          <w:left w:w="28" w:type="dxa"/>
          <w:bottom w:w="28" w:type="dxa"/>
          <w:right w:w="28" w:type="dxa"/>
        </w:tblCellMar>
      </w:tblPr>
      <w:tblGrid>
        <w:gridCol w:w="2656"/>
        <w:gridCol w:w="211"/>
        <w:gridCol w:w="736"/>
        <w:gridCol w:w="166"/>
        <w:gridCol w:w="146"/>
        <w:gridCol w:w="211"/>
        <w:gridCol w:w="676"/>
        <w:gridCol w:w="166"/>
        <w:gridCol w:w="146"/>
        <w:gridCol w:w="211"/>
        <w:gridCol w:w="781"/>
        <w:gridCol w:w="411"/>
      </w:tblGrid>
      <w:tr>
        <w:trPr/>
        <w:tc>
          <w:tcPr>
            <w:tcW w:w="2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before="0" w:after="283"/>
              <w:jc w:val="left"/>
              <w:rPr/>
            </w:pPr>
            <w:r>
              <w:rPr/>
              <w:t> </w:t>
            </w:r>
          </w:p>
        </w:tc>
        <w:tc>
          <w:tcPr>
            <w:tcW w:w="34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left"/>
              <w:rPr/>
            </w:pPr>
            <w:r>
              <w:rPr/>
              <w:t> </w:t>
            </w:r>
          </w:p>
        </w:tc>
        <w:tc>
          <w:tcPr>
            <w:tcW w:w="345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182,983</w:t>
            </w:r>
          </w:p>
        </w:tc>
        <w:tc>
          <w:tcPr>
            <w:tcW w:w="411" w:type="dxa"/>
            <w:tcBorders/>
            <w:shd w:fill="FFFFFF" w:val="cle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411" w:type="dxa"/>
            <w:tcBorders/>
            <w:shd w:fill="FFFFFF" w:val="cle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Deferred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expense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174,795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Reconciliation of the difference between the federal statutory income tax rate and the effective income tax rate is as follows:</w:t>
      </w:r>
    </w:p>
    <w:p>
      <w:pPr>
        <w:pStyle w:val="TextBody"/>
        <w:bidi w:val="0"/>
        <w:jc w:val="left"/>
        <w:rPr/>
      </w:pPr>
      <w:r>
        <w:rPr/>
        <w:t> </w:t>
      </w:r>
    </w:p>
    <w:tbl>
      <w:tblPr>
        <w:tblW w:w="6653" w:type="dxa"/>
        <w:jc w:val="left"/>
        <w:tblInd w:w="0" w:type="dxa"/>
        <w:tblLayout w:type="fixed"/>
        <w:tblCellMar>
          <w:top w:w="28" w:type="dxa"/>
          <w:left w:w="28" w:type="dxa"/>
          <w:bottom w:w="28" w:type="dxa"/>
          <w:right w:w="28" w:type="dxa"/>
        </w:tblCellMar>
      </w:tblPr>
      <w:tblGrid>
        <w:gridCol w:w="3256"/>
        <w:gridCol w:w="146"/>
        <w:gridCol w:w="631"/>
        <w:gridCol w:w="271"/>
        <w:gridCol w:w="146"/>
        <w:gridCol w:w="159"/>
        <w:gridCol w:w="576"/>
        <w:gridCol w:w="271"/>
        <w:gridCol w:w="146"/>
        <w:gridCol w:w="159"/>
        <w:gridCol w:w="576"/>
        <w:gridCol w:w="3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vAlign w:val="center"/>
          </w:tcPr>
          <w:p>
            <w:pPr>
              <w:pStyle w:val="TableContents"/>
              <w:bidi w:val="0"/>
              <w:spacing w:before="0" w:after="283"/>
              <w:jc w:val="left"/>
              <w:rPr/>
            </w:pPr>
            <w:r>
              <w:rPr/>
              <w:t> </w:t>
            </w:r>
          </w:p>
        </w:tc>
        <w:tc>
          <w:tcPr>
            <w:tcW w:w="308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provision at federal statutory rate</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316"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Uncertain tax positions</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316"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compensation - 162(m)</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return to provision</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return to provision</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permanent differences</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16"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&amp; development credit</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rate differential</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316" w:type="dxa"/>
            <w:tcBorders/>
            <w:shd w:fill="FFFFFF" w:val="clear"/>
            <w:vAlign w:val="center"/>
          </w:tcPr>
          <w:p>
            <w:pPr>
              <w:pStyle w:val="TableContents"/>
              <w:bidi w:val="0"/>
              <w:spacing w:before="0" w:after="283"/>
              <w:jc w:val="righ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elements of the deferred tax assets (liabilities). Net deferred tax assets are included in other long-term assets in the Consolidated Balance Sheets.</w:t>
      </w:r>
    </w:p>
    <w:p>
      <w:pPr>
        <w:pStyle w:val="TextBody"/>
        <w:bidi w:val="0"/>
        <w:jc w:val="left"/>
        <w:rPr/>
      </w:pPr>
      <w:r>
        <w:rPr/>
        <w:t> </w:t>
      </w:r>
    </w:p>
    <w:tbl>
      <w:tblPr>
        <w:tblW w:w="7448" w:type="dxa"/>
        <w:jc w:val="left"/>
        <w:tblInd w:w="0" w:type="dxa"/>
        <w:tblLayout w:type="fixed"/>
        <w:tblCellMar>
          <w:top w:w="28" w:type="dxa"/>
          <w:left w:w="28" w:type="dxa"/>
          <w:bottom w:w="28" w:type="dxa"/>
          <w:right w:w="28" w:type="dxa"/>
        </w:tblCellMar>
      </w:tblPr>
      <w:tblGrid>
        <w:gridCol w:w="4911"/>
        <w:gridCol w:w="211"/>
        <w:gridCol w:w="736"/>
        <w:gridCol w:w="166"/>
        <w:gridCol w:w="146"/>
        <w:gridCol w:w="211"/>
        <w:gridCol w:w="676"/>
        <w:gridCol w:w="391"/>
      </w:tblGrid>
      <w:tr>
        <w:trPr/>
        <w:tc>
          <w:tcPr>
            <w:tcW w:w="4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11"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9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vacation and other accrued expenses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9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credit losses</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losses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9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based compensation</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 income taxes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9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Excess tax basis in FF Gene Biotech net assets</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liability</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9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gain/loss on available-for-sale debt securities</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9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Section 174 research &amp; experimental expenditures</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 loss in investment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9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deferred tax assets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56,587</w:t>
            </w:r>
          </w:p>
        </w:tc>
        <w:tc>
          <w:tcPr>
            <w:tcW w:w="391" w:type="dxa"/>
            <w:tcBorders/>
            <w:shd w:fill="FFFFFF" w:val="clear"/>
            <w:vAlign w:val="center"/>
          </w:tcPr>
          <w:p>
            <w:pPr>
              <w:pStyle w:val="TableContents"/>
              <w:bidi w:val="0"/>
              <w:spacing w:before="0" w:after="283"/>
              <w:jc w:val="left"/>
              <w:rPr/>
            </w:pPr>
            <w:r>
              <w:rPr/>
              <w:t> </w:t>
            </w:r>
          </w:p>
        </w:tc>
      </w:tr>
      <w:tr>
        <w:trPr/>
        <w:tc>
          <w:tcPr>
            <w:tcW w:w="4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9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 of use asset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9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Company has $63.0 million estimated federal net operating loss, or NOL, carryforwards and estimated state NOL carryforwards of $63.0 million. The Company’s state NOLs are scheduled to begin expiring in 2024. The Company also has foreign NOL carryforwards of $13.6 million which are scheduled to expire from 2024 through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ASC 740-10-30-5 requires that deferred income tax assets be reduced by a valuation allowance if it is more likely than not that some or all of the deferred income tax assets will not be realized. The Company has evaluated the realizability of its deferred tax assets and has concluded that it is more likely than not that the Company may not realize the benefit of certain deferred tax assets and, accordingly, has established a full valuation allowance of $15.9 million on its deferred tax assets as of December 31, 2023. The Company maintained a valuation allowance of $2.8 million on certain deferred tax assets related to equity losses in joint ventures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foreign net operating loss carryforwards as of December 31, 2022. The increase in the valuation allowance of $13.1 million for the year ended December 31, 2023 was primarily due to the establishment of a full valuation allowance on the Company’s deferred tax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Organization for Economic Cooperation and Development, or OECD, has enacted model rules for a new global minimum tax framework, or BEPS Pillar II. Various jurisdictions have enacted, or are in the process of enacting, legislation on these rules. We are closely monitoring developments and are currently evaluating the potential impact in each jurisdiction in which we operate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Uncertain Tax Positions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income taxation by the U.S. government and certain states in which the Company’s activities give rise to an income tax filing requirement. The Company does not have any significant income tax filing requirements in any foreign jurisdiction. The Company’s tax returns are subject to statutes of limitations that vary by jurisdiction. As of December 31, 2023, the Company remains subject to income tax examinations in the United States, and various states for tax years 2019 through 2023; certain other states remain subject to examination for tax years 2018 through 2023. However, due to the Company’s NOL carryforwards in various jurisdictions, tax authorities have the ability to adjust carryforwards related to closed years until the statute expires on the year(s) in which the NOL carryforwards are utilized.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under examination by certain tax authorities for the 2020 and 2021 tax years. While the timing of the conclusion of the examination is uncertain, the Company believes that adequate amounts have been reserved for adjustments that may result.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Company’s gross unrecognized tax benefits is as follows:</w:t>
      </w:r>
    </w:p>
    <w:p>
      <w:pPr>
        <w:pStyle w:val="TextBody"/>
        <w:bidi w:val="0"/>
        <w:jc w:val="left"/>
        <w:rPr/>
      </w:pPr>
      <w:r>
        <w:rPr/>
        <w:t> </w:t>
      </w:r>
    </w:p>
    <w:tbl>
      <w:tblPr>
        <w:tblW w:w="5977" w:type="dxa"/>
        <w:jc w:val="left"/>
        <w:tblInd w:w="0" w:type="dxa"/>
        <w:tblLayout w:type="fixed"/>
        <w:tblCellMar>
          <w:top w:w="28" w:type="dxa"/>
          <w:left w:w="28" w:type="dxa"/>
          <w:bottom w:w="28" w:type="dxa"/>
          <w:right w:w="28" w:type="dxa"/>
        </w:tblCellMar>
      </w:tblPr>
      <w:tblGrid>
        <w:gridCol w:w="2926"/>
        <w:gridCol w:w="211"/>
        <w:gridCol w:w="631"/>
        <w:gridCol w:w="166"/>
        <w:gridCol w:w="146"/>
        <w:gridCol w:w="211"/>
        <w:gridCol w:w="571"/>
        <w:gridCol w:w="146"/>
        <w:gridCol w:w="146"/>
        <w:gridCol w:w="211"/>
        <w:gridCol w:w="421"/>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left"/>
              <w:rPr/>
            </w:pPr>
            <w:r>
              <w:rPr/>
              <w:t> </w:t>
            </w:r>
          </w:p>
        </w:tc>
        <w:tc>
          <w:tcPr>
            <w:tcW w:w="28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left"/>
              <w:rPr/>
            </w:pPr>
            <w:r>
              <w:rPr/>
              <w:t> </w:t>
            </w:r>
          </w:p>
        </w:tc>
        <w:tc>
          <w:tcPr>
            <w:tcW w:w="286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to prior year positions</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for current year positions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year</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Company has $5.8 million of gross unrecognized tax benefits, of which, $2.3 million of unrecognized tax benefits would affect the effective tax rate if recognized. The Company has accrued $145,000 and $94,000 for interest at December 31, 2023 and 2022, respectively, and has recognized interest expense of $145,000 and $94,000 for the years ended December 31, 2023 and 2022, respectively. Although it is possible that the amount of unrecognized benefits with respect to our uncertain tax positions will increase or decrease in the next twelve months, the Company does not expect material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Company believes it has adequately provided for all tax positions, amounts asserted by taxing authorities could differ from the Company’s accrued positions. Accordingly, additional provisions on federal, state and foreign tax-related matters could be recorded in future periods as revised estimates are settled or otherwise resolved.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Income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reconciliation of the basic and diluted income (loss) per share computations:</w:t>
      </w:r>
    </w:p>
    <w:p>
      <w:pPr>
        <w:pStyle w:val="TextBody"/>
        <w:bidi w:val="0"/>
        <w:jc w:val="left"/>
        <w:rPr/>
      </w:pPr>
      <w:r>
        <w:rPr/>
        <w:t> </w:t>
      </w:r>
    </w:p>
    <w:tbl>
      <w:tblPr>
        <w:tblW w:w="8527" w:type="dxa"/>
        <w:jc w:val="left"/>
        <w:tblInd w:w="0" w:type="dxa"/>
        <w:tblLayout w:type="fixed"/>
        <w:tblCellMar>
          <w:top w:w="28" w:type="dxa"/>
          <w:left w:w="28" w:type="dxa"/>
          <w:bottom w:w="28" w:type="dxa"/>
          <w:right w:w="28" w:type="dxa"/>
        </w:tblCellMar>
      </w:tblPr>
      <w:tblGrid>
        <w:gridCol w:w="4696"/>
        <w:gridCol w:w="211"/>
        <w:gridCol w:w="841"/>
        <w:gridCol w:w="166"/>
        <w:gridCol w:w="146"/>
        <w:gridCol w:w="211"/>
        <w:gridCol w:w="781"/>
        <w:gridCol w:w="146"/>
        <w:gridCol w:w="146"/>
        <w:gridCol w:w="211"/>
        <w:gridCol w:w="781"/>
        <w:gridCol w:w="191"/>
      </w:tblGrid>
      <w:tr>
        <w:trPr/>
        <w:tc>
          <w:tcPr>
            <w:tcW w:w="4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center"/>
              <w:rPr/>
            </w:pPr>
            <w:r>
              <w:rPr/>
              <w:t> </w:t>
            </w:r>
          </w:p>
        </w:tc>
        <w:tc>
          <w:tcPr>
            <w:tcW w:w="36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vAlign w:val="center"/>
          </w:tcPr>
          <w:p>
            <w:pPr>
              <w:pStyle w:val="TableContents"/>
              <w:bidi w:val="0"/>
              <w:spacing w:before="0" w:after="283"/>
              <w:jc w:val="left"/>
              <w:rPr/>
            </w:pPr>
            <w:r>
              <w:rPr/>
              <w:t> </w:t>
            </w:r>
          </w:p>
        </w:tc>
        <w:tc>
          <w:tcPr>
            <w:tcW w:w="364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191" w:type="dxa"/>
            <w:tcBorders/>
            <w:shd w:fill="FFFFFF" w:val="clear"/>
            <w:vAlign w:val="center"/>
          </w:tcPr>
          <w:p>
            <w:pPr>
              <w:pStyle w:val="TableContents"/>
              <w:bidi w:val="0"/>
              <w:spacing w:before="0" w:after="283"/>
              <w:jc w:val="center"/>
              <w:rPr/>
            </w:pPr>
            <w:r>
              <w:rPr/>
              <w:t> </w:t>
            </w:r>
          </w:p>
        </w:tc>
      </w:tr>
      <w:tr>
        <w:trPr/>
        <w:tc>
          <w:tcPr>
            <w:tcW w:w="4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shareholders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 outstanding, basic</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29,408</w:t>
            </w:r>
          </w:p>
        </w:tc>
        <w:tc>
          <w:tcPr>
            <w:tcW w:w="191" w:type="dxa"/>
            <w:tcBorders/>
            <w:shd w:fill="CFF0FC" w:val="clear"/>
            <w:vAlign w:val="center"/>
          </w:tcPr>
          <w:p>
            <w:pPr>
              <w:pStyle w:val="TableContents"/>
              <w:bidi w:val="0"/>
              <w:spacing w:before="0" w:after="283"/>
              <w:jc w:val="left"/>
              <w:rPr/>
            </w:pPr>
            <w:r>
              <w:rPr/>
              <w:t> </w:t>
            </w:r>
          </w:p>
        </w:tc>
      </w:tr>
      <w:tr>
        <w:trPr/>
        <w:tc>
          <w:tcPr>
            <w:tcW w:w="4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effect of dilutive securities:</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69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 options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91" w:type="dxa"/>
            <w:tcBorders/>
            <w:shd w:fill="CFF0FC" w:val="clear"/>
            <w:vAlign w:val="center"/>
          </w:tcPr>
          <w:p>
            <w:pPr>
              <w:pStyle w:val="TableContents"/>
              <w:bidi w:val="0"/>
              <w:spacing w:before="0" w:after="283"/>
              <w:jc w:val="left"/>
              <w:rPr/>
            </w:pPr>
            <w:r>
              <w:rPr/>
              <w:t> </w:t>
            </w:r>
          </w:p>
        </w:tc>
      </w:tr>
      <w:tr>
        <w:trPr/>
        <w:tc>
          <w:tcPr>
            <w:tcW w:w="469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Restricted stock units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91" w:type="dxa"/>
            <w:tcBorders/>
            <w:shd w:fill="FFFFFF" w:val="clear"/>
            <w:vAlign w:val="center"/>
          </w:tcPr>
          <w:p>
            <w:pPr>
              <w:pStyle w:val="TableContents"/>
              <w:bidi w:val="0"/>
              <w:spacing w:before="0" w:after="283"/>
              <w:jc w:val="left"/>
              <w:rPr/>
            </w:pPr>
            <w:r>
              <w:rPr/>
              <w:t> </w:t>
            </w:r>
          </w:p>
        </w:tc>
      </w:tr>
      <w:tr>
        <w:trPr/>
        <w:tc>
          <w:tcPr>
            <w:tcW w:w="469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Contingently issuable shares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 outstanding,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earnings per share:</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69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91" w:type="dxa"/>
            <w:tcBorders/>
            <w:shd w:fill="CFF0FC" w:val="clear"/>
            <w:vAlign w:val="center"/>
          </w:tcPr>
          <w:p>
            <w:pPr>
              <w:pStyle w:val="TableContents"/>
              <w:bidi w:val="0"/>
              <w:spacing w:before="0" w:after="283"/>
              <w:jc w:val="left"/>
              <w:rPr/>
            </w:pPr>
            <w:r>
              <w:rPr/>
              <w:t> </w:t>
            </w:r>
          </w:p>
        </w:tc>
      </w:tr>
      <w:tr>
        <w:trPr/>
        <w:tc>
          <w:tcPr>
            <w:tcW w:w="469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securities have been excluded from the calculation of diluted income per share because their effect would have been anti-dilutive:</w:t>
      </w:r>
    </w:p>
    <w:p>
      <w:pPr>
        <w:pStyle w:val="TextBody"/>
        <w:bidi w:val="0"/>
        <w:jc w:val="left"/>
        <w:rPr/>
      </w:pPr>
      <w:r>
        <w:rPr/>
        <w:t> </w:t>
      </w:r>
    </w:p>
    <w:tbl>
      <w:tblPr>
        <w:tblW w:w="5117" w:type="dxa"/>
        <w:jc w:val="left"/>
        <w:tblInd w:w="0" w:type="dxa"/>
        <w:tblLayout w:type="fixed"/>
        <w:tblCellMar>
          <w:top w:w="28" w:type="dxa"/>
          <w:left w:w="28" w:type="dxa"/>
          <w:bottom w:w="28" w:type="dxa"/>
          <w:right w:w="28" w:type="dxa"/>
        </w:tblCellMar>
      </w:tblPr>
      <w:tblGrid>
        <w:gridCol w:w="2491"/>
        <w:gridCol w:w="146"/>
        <w:gridCol w:w="571"/>
        <w:gridCol w:w="146"/>
        <w:gridCol w:w="146"/>
        <w:gridCol w:w="146"/>
        <w:gridCol w:w="421"/>
        <w:gridCol w:w="146"/>
        <w:gridCol w:w="146"/>
        <w:gridCol w:w="146"/>
        <w:gridCol w:w="42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pPr>
            <w:r>
              <w:rPr/>
              <w:t> </w:t>
            </w:r>
          </w:p>
        </w:tc>
        <w:tc>
          <w:tcPr>
            <w:tcW w:w="24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243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9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Contingently Issuable Shares</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anti-dilutive shares described above were calculated using the treasury stock method. In the year ended December 31, 2023, the Company had outstanding stock options, restricted stock units, and contingently issuable shares for held back related shares to the business combination of Fulgent Pharma that were excluded from the weighted-average share calculation for continuing operations due to the Company’s net loss positions.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13. Retirement Plans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offers a 401(k) retirement savings plan, or the 401 (k)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3% of an employee’s compensation that the employee contributes to his or her 401(k) Plan account. Total Company matching contributions to the 401(k) Plan were $3.2 million, $2.5 million and $697,000 in the years ended December 31, 2023, 2022 and 2021,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Linda Marsh, who is a member of the Company’s board of directors, is currently the Senior Executive Vice President of AHMC Healthcare Inc., or AHMC. The Company performs genetic testing and other testing services, on an arms-length basis, for AHMC, and the Company recognized $125,000, $1.5 million and $3.4 million in revenue in the years ended December 31, 2023, 2022 and 2021, respectively. As of December 31, 2023 and 2022, $13,000 and $93,000, respectively, was owed to the Company by AHMC, which is included in trade accounts receivable, net, in the accompanying Consolidated Balance Sheets, in connection with this relationship.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Ming Hsieh, is the owner of PTJ Associates Inc., or PTJ. PTJ provides flight services to the Company on an arms-length basis. In the years ended December 31, 2023, 2022, and 2021 the Company incurred zero, $235,000 and $142,000, respectively, in expenses for flights between California and Texas to transport employees and supplies. As of December 31, 2023 and 2022, no amount was owed to PTJ by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Ming Hsieh is also on the board of directors and an approximately 20% owner of ANP Technologies, Inc., or ANP, from which the Company purchased COVID-19 antigen rapid test kits and entered into certain drug-related licensing and development service agreements. The President and Chief Scientific Officer of Fulgent Pharma, Ray Yin, is the Founder, President, and Chief Technology Officer of ANP. The Company incurred $2.4 million and $1.2 million, in 2023 and 2022, respectively, related to the licensing and development services and purchase of equipment. No costs were incurred in the year ended December 31, 2021. As of December 31, 2023 and 2022, zero and $607,000, respectively, were owed to ANP by the Company in connection with these relationships. The Company also entered into an employee service agreement with ANP in April 2023, $115,000 was recognized in 2023, and $29,000 was owed by ANP in connection with the employee service agreement as of December 31, 2023.</w:t>
      </w:r>
    </w:p>
    <w:p>
      <w:pPr>
        <w:pStyle w:val="TextBody"/>
        <w:bidi w:val="0"/>
        <w:spacing w:before="2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15. Business Combinations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Inform Diagnostics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26, 2022, the Company completed the acquisition of 100% of the outstanding equity of Inform Diagnostics, a leading national independent pathology laboratory based in Irving, Texas. Under the terms of the Agreement and Plan of Merger, dated April 16, 2022, or the Inform Merger Agreement, the total purchase price payable to the securityholders of Inform Diagnostics was approximately $170 million, as adjusted for closing cash, closing indebtedness, closing working capital, closing transaction expenses and other transaction matters. With the addition of Inform Diagnostics, the Company will further expand the Company’s genomic testing footprint and extend its test menu into breast pathology, gastrointestinal pathology, dermatopathology, urologic pathology, neuropathology, and hematopathology.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financial results of Inform Diagnostics are included in the consolidated financial statements from the date of acquisition. The Company allocated the purchase price to tangible and identified intangible assets acquired and liabilities assumed based on estimated fair values. The following tables summarizes the consideration paid and the updated amounts of the assets acquired and liabilities assumed recognized at the acquisition date:</w:t>
      </w:r>
    </w:p>
    <w:p>
      <w:pPr>
        <w:pStyle w:val="TextBody"/>
        <w:bidi w:val="0"/>
        <w:jc w:val="left"/>
        <w:rPr/>
      </w:pPr>
      <w:r>
        <w:rPr/>
        <w:t> </w:t>
      </w:r>
    </w:p>
    <w:tbl>
      <w:tblPr>
        <w:tblW w:w="7877" w:type="dxa"/>
        <w:jc w:val="left"/>
        <w:tblInd w:w="0" w:type="dxa"/>
        <w:tblLayout w:type="fixed"/>
        <w:tblCellMar>
          <w:top w:w="28" w:type="dxa"/>
          <w:left w:w="28" w:type="dxa"/>
          <w:bottom w:w="28" w:type="dxa"/>
          <w:right w:w="28" w:type="dxa"/>
        </w:tblCellMar>
      </w:tblPr>
      <w:tblGrid>
        <w:gridCol w:w="6541"/>
        <w:gridCol w:w="239"/>
        <w:gridCol w:w="886"/>
        <w:gridCol w:w="211"/>
      </w:tblGrid>
      <w:tr>
        <w:trPr/>
        <w:tc>
          <w:tcPr>
            <w:tcW w:w="654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541"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1"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w:t>
            </w:r>
          </w:p>
        </w:tc>
        <w:tc>
          <w:tcPr>
            <w:tcW w:w="1125"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net of cash received</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137,755</w:t>
            </w:r>
          </w:p>
        </w:tc>
        <w:tc>
          <w:tcPr>
            <w:tcW w:w="211" w:type="dxa"/>
            <w:tcBorders/>
            <w:shd w:fill="FFFFFF" w:val="clear"/>
            <w:vAlign w:val="center"/>
          </w:tcPr>
          <w:p>
            <w:pPr>
              <w:pStyle w:val="TableContents"/>
              <w:bidi w:val="0"/>
              <w:spacing w:before="0" w:after="283"/>
              <w:jc w:val="left"/>
              <w:rPr/>
            </w:pPr>
            <w:r>
              <w:rPr/>
              <w:t> </w:t>
            </w:r>
          </w:p>
        </w:tc>
      </w:tr>
      <w:tr>
        <w:trPr/>
        <w:tc>
          <w:tcPr>
            <w:tcW w:w="6541"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65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Recognized amounts of identifiable assets acquired and liabilities assumed</w:t>
            </w:r>
          </w:p>
        </w:tc>
        <w:tc>
          <w:tcPr>
            <w:tcW w:w="1125"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working capital</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20,242</w:t>
            </w:r>
          </w:p>
        </w:tc>
        <w:tc>
          <w:tcPr>
            <w:tcW w:w="211" w:type="dxa"/>
            <w:tcBorders/>
            <w:shd w:fill="CFF0FC"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 assets - operating</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12,653</w:t>
            </w:r>
          </w:p>
        </w:tc>
        <w:tc>
          <w:tcPr>
            <w:tcW w:w="211" w:type="dxa"/>
            <w:tcBorders/>
            <w:shd w:fill="FFFFFF" w:val="clear"/>
            <w:vAlign w:val="center"/>
          </w:tcPr>
          <w:p>
            <w:pPr>
              <w:pStyle w:val="TableContents"/>
              <w:bidi w:val="0"/>
              <w:spacing w:before="0" w:after="283"/>
              <w:jc w:val="left"/>
              <w:rPr/>
            </w:pPr>
            <w:r>
              <w:rPr/>
              <w:t> </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 assets - finance</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211" w:type="dxa"/>
            <w:tcBorders/>
            <w:shd w:fill="CFF0FC"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w:t>
            </w:r>
          </w:p>
        </w:tc>
        <w:tc>
          <w:tcPr>
            <w:tcW w:w="211" w:type="dxa"/>
            <w:tcBorders/>
            <w:shd w:fill="FFFFFF" w:val="clear"/>
            <w:vAlign w:val="center"/>
          </w:tcPr>
          <w:p>
            <w:pPr>
              <w:pStyle w:val="TableContents"/>
              <w:bidi w:val="0"/>
              <w:spacing w:before="0" w:after="283"/>
              <w:jc w:val="left"/>
              <w:rPr/>
            </w:pPr>
            <w:r>
              <w:rPr/>
              <w:t> </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w:t>
            </w:r>
          </w:p>
        </w:tc>
        <w:tc>
          <w:tcPr>
            <w:tcW w:w="211" w:type="dxa"/>
            <w:tcBorders/>
            <w:shd w:fill="CFF0FC"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intangible assets</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57,060</w:t>
            </w:r>
          </w:p>
        </w:tc>
        <w:tc>
          <w:tcPr>
            <w:tcW w:w="211" w:type="dxa"/>
            <w:tcBorders/>
            <w:shd w:fill="FFFFFF" w:val="clear"/>
            <w:vAlign w:val="center"/>
          </w:tcPr>
          <w:p>
            <w:pPr>
              <w:pStyle w:val="TableContents"/>
              <w:bidi w:val="0"/>
              <w:spacing w:before="0" w:after="283"/>
              <w:jc w:val="left"/>
              <w:rPr/>
            </w:pPr>
            <w:r>
              <w:rPr/>
              <w:t> </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amounts of identifiable assets acquired and liabilities assumed, net</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65,910</w:t>
            </w:r>
          </w:p>
        </w:tc>
        <w:tc>
          <w:tcPr>
            <w:tcW w:w="211" w:type="dxa"/>
            <w:tcBorders/>
            <w:shd w:fill="CFF0FC"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goodwill of $71.8 million arising from the acquisition is attributed to the expected synergies, assembled workforce, other benefits that will be potentially generated from the combination and deferred tax. The goodwill recognized is not deductible for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identifiable intangible assets acquired consisted of $54.0 million customer relationships with an estimated amortization life of 14 years, $2.7 million trade name with an estimated amortization life of 7 years, and $360,000 in-place lease intangible asset to be amortized over the remaining lease term of 5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the customer relationship was estimated using the Multiperiod Excess Earnings Method, or MPEEM, of the income approach. Under the MPEEM, an intangible asset’s fair value is equal to the present value of the incremental after-tax cash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flows attributable only to the subject intangible asset after deducting contributory asset charges. The incremental after-tax cash flows attributable to the customer relationships are then discounted to their present value at a risk-adjusted rate of return. The fair value of the trade name was estimated using the relief from royalty, or RFR, method. The RFR method estimates the portion of the Company’s earnings attributable to an intangible asset based on the royalty rate the Company would have paid for the use of the asset if it did not own it. The fair value of in-place lease intangible asset was estimated using the discounted cash flow under the income approach.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customer relationships and trade name are amortized on a straight-line basis over their estimated useful lives.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and operating loss from the Inform Diagnostics acquisition since the acquisition date were $83.6 million and $17.0 million, respectively, for year ended December 31, 2022, which are included in the accompanying Consolidated Statements of Operating.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costs associated with the acquisition of Inform Diagnostics consisted primarily of legal, regulatory and financial advisory fees of approximately $6.6 million for the year ended December 31, 2022, respectively. These transaction costs were expensed as incurred as general and administrative expense in the respective period.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Unaudited Pro Forma Financial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unaudited pro forma financial information summarizes the combined results of operations of Fulgent and Inform Diagnostics as if the companies had been combined as of the beginning of 2021. The pro forma financial information has been adjusted for the following: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Acquisition-related costs - Acquisition-related costs incurred by both Fulgent and Inform Diagnostics were excluded from the net income attributable to Fulgent, and total costs were $9.6 million for the year ended December 31,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adjustments to the net income attributable to Fulgent were $772,000 and $2.3 million for the year ended December 31, 2022 and 2021, respectively. Other adjustments to revenue were $962,000 and $3.9 million for or the year ended December 31, 2022 and 2021, respectively.</w:t>
      </w:r>
    </w:p>
    <w:p>
      <w:pPr>
        <w:pStyle w:val="TextBody"/>
        <w:bidi w:val="0"/>
        <w:jc w:val="left"/>
        <w:rPr/>
      </w:pPr>
      <w:r>
        <w:rPr/>
        <w:t> </w:t>
      </w:r>
    </w:p>
    <w:tbl>
      <w:tblPr>
        <w:tblW w:w="7478" w:type="dxa"/>
        <w:jc w:val="left"/>
        <w:tblInd w:w="0" w:type="dxa"/>
        <w:tblLayout w:type="fixed"/>
        <w:tblCellMar>
          <w:top w:w="28" w:type="dxa"/>
          <w:left w:w="28" w:type="dxa"/>
          <w:bottom w:w="28" w:type="dxa"/>
          <w:right w:w="28" w:type="dxa"/>
        </w:tblCellMar>
      </w:tblPr>
      <w:tblGrid>
        <w:gridCol w:w="4861"/>
        <w:gridCol w:w="211"/>
        <w:gridCol w:w="781"/>
        <w:gridCol w:w="146"/>
        <w:gridCol w:w="146"/>
        <w:gridCol w:w="211"/>
        <w:gridCol w:w="931"/>
        <w:gridCol w:w="191"/>
      </w:tblGrid>
      <w:tr>
        <w:trPr/>
        <w:tc>
          <w:tcPr>
            <w:tcW w:w="4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vAlign w:val="center"/>
          </w:tcPr>
          <w:p>
            <w:pPr>
              <w:pStyle w:val="TableContents"/>
              <w:bidi w:val="0"/>
              <w:spacing w:before="0" w:after="283"/>
              <w:jc w:val="left"/>
              <w:rPr/>
            </w:pPr>
            <w:r>
              <w:rPr/>
              <w:t> </w:t>
            </w:r>
          </w:p>
        </w:tc>
        <w:tc>
          <w:tcPr>
            <w:tcW w:w="242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shd w:fill="FFFFFF" w:val="clear"/>
            <w:vAlign w:val="center"/>
          </w:tcPr>
          <w:p>
            <w:pPr>
              <w:pStyle w:val="TableContents"/>
              <w:bidi w:val="0"/>
              <w:spacing w:before="0" w:after="283"/>
              <w:jc w:val="center"/>
              <w:rPr/>
            </w:pPr>
            <w:r>
              <w:rPr/>
              <w:t> </w:t>
            </w:r>
          </w:p>
        </w:tc>
      </w:tr>
      <w:tr>
        <w:trPr/>
        <w:tc>
          <w:tcPr>
            <w:tcW w:w="4861" w:type="dxa"/>
            <w:tcBorders/>
            <w:shd w:fill="FFFFFF" w:val="cle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1,140,184</w:t>
            </w:r>
          </w:p>
        </w:tc>
        <w:tc>
          <w:tcPr>
            <w:tcW w:w="191" w:type="dxa"/>
            <w:tcBorders/>
            <w:shd w:fill="CFF0FC" w:val="clear"/>
            <w:vAlign w:val="center"/>
          </w:tcPr>
          <w:p>
            <w:pPr>
              <w:pStyle w:val="TableContents"/>
              <w:bidi w:val="0"/>
              <w:spacing w:before="0" w:after="283"/>
              <w:jc w:val="left"/>
              <w:rPr/>
            </w:pPr>
            <w:r>
              <w:rPr/>
              <w:t> </w:t>
            </w:r>
          </w:p>
        </w:tc>
      </w:tr>
      <w:tr>
        <w:trPr/>
        <w:tc>
          <w:tcPr>
            <w:tcW w:w="4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Fulgent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493,313</w:t>
            </w:r>
          </w:p>
        </w:tc>
        <w:tc>
          <w:tcPr>
            <w:tcW w:w="191" w:type="dxa"/>
            <w:tcBorders/>
            <w:shd w:fill="FFFFFF" w:val="clear"/>
            <w:vAlign w:val="center"/>
          </w:tcPr>
          <w:p>
            <w:pPr>
              <w:pStyle w:val="TableContents"/>
              <w:bidi w:val="0"/>
              <w:spacing w:before="0" w:after="283"/>
              <w:jc w:val="left"/>
              <w:rPr/>
            </w:pPr>
            <w:r>
              <w:rPr/>
              <w:t> </w:t>
            </w:r>
          </w:p>
        </w:tc>
      </w:tr>
      <w:tr>
        <w:trPr/>
        <w:tc>
          <w:tcPr>
            <w:tcW w:w="4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common share attributable to Fulgent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91" w:type="dxa"/>
            <w:tcBorders/>
            <w:shd w:fill="CFF0FC" w:val="clear"/>
            <w:vAlign w:val="center"/>
          </w:tcPr>
          <w:p>
            <w:pPr>
              <w:pStyle w:val="TableContents"/>
              <w:bidi w:val="0"/>
              <w:spacing w:before="0" w:after="283"/>
              <w:jc w:val="left"/>
              <w:rPr/>
            </w:pPr>
            <w:r>
              <w:rPr/>
              <w:t> </w:t>
            </w:r>
          </w:p>
        </w:tc>
      </w:tr>
      <w:tr>
        <w:trPr/>
        <w:tc>
          <w:tcPr>
            <w:tcW w:w="4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common share attributable to Fulgent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Fulgent Pharma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7, 2022, the Company completed the acquisition of 100% of the outstanding equity of Fulgent Pharma, a clinical-stage, therapeutic development company focused on perfecting drug candidates for treating a broad range of cancers. Under the terms of the Agreement and Plan of Merger, dated November 7, 2022, or the Pharma Merger Agreement, the total merger consideration was paid in a combination of cash, the Company’s common stock, or the Stock Consideration, and assumed RSUs subject to customary adjustments for closing cash, closing indebtedness, transaction expenses and other transaction matters. A portion of the Stock Consideration was held back for a duration of time after the closing of the transaction to satisfy certain indemnification obligations of the Pharma Stockholders as described in the Pharma Merger Agreement. The RSUs are subject to vesting over the four-year period immediately following the date of their original grant, subject to the holder’s continuing service. The integrated companies plan to offer a vertically integrated solution to combat cancer with the potential to unlock significant long-term upsides for both the therapeutic and diagnostic businesses, while effectively managing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financial results of Fulgent Pharma are included in the consolidated financial statements from the date of acquisition. The Company allocated the purchase price to tangible and identified intangible assets acquired and liabilities assumed based on estimated fair values. The following tables summarizes the consideration paid and the updated amounts of the assets acquired and liabilities assumed recognized at the acquisition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goodwill of $22.1 million arising from the acquisition is attributed to Fulgent Pharma's rights to intellectual property, expected synergies, assembled workforce, and other benefits that will potentially be generated from the combination and deferred tax. The goodwill recognized is not deductible for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identified intangible assets acquired consisted of $64.6 million in IPR&amp;D. Fulgent Pharma has developed a novel nanoencapsulation and targeted therapy platform, which is designed to improve the therapeutic window and pharmacokinetic profile of new and existing cancer drugs. The lead drug candidate, FID-007, has achieved proof-of-concept in preliminary human clinical trials for the treatment of various cancer types, including head and neck, ampullary, pancreatic, non-small cell lung cancer, and breast. The fair value of the IPR&amp;D was estimated using MPEEM. The method involves forecasting after-tax operating income from existing clients, subtracting the portions attributable to a contributory asset, and discounting the remaining earnings to present value. The useful life of IPR&amp;D is indefinite.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and operating loss from the Fulgent Pharma acquisition since the acquisition date are zero and $816,000, respectively, which are included in the accompanying Consolidated Statements of Operations, for the year ended December 31,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costs associated with the acquisition of Fulgent Pharma consisted primarily of legal, regulatory and financial advisory fees of approximately $1.4 million for the year ended December 31, 2022. These transaction costs were expensed as incurred as general and administrative expense in the respective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$5.0 million restricted cash received represents cash consideration payable pursuant to the share transfer agreement Fulgent Pharma entered prior to Fulgent Pharma acquisition date. The cash consideration was not paid as of Fulgent Pharma acquisition date and was included in noncurrent or non-operating liabilities in above table.</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FF Gene Biotech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2017, the Company acquired a 30% equity interest in FF Gene Biotech, a newly formed a joint venture with Xilong Scientific and Fuzhou Jinqiang Investment Partnership (LP), or FJIP. The joint venture was formed under the laws of China to offer genetic testing services to customers in China.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2021, we entered into a restructuring agreement with Xilong Scientific and FJIP, resulting in the Company indirectly acquiring a controlling financial interest of 72%in FF Gene Biotech. FF Gene Biotech was founded to bring the Company’s next generation sequencing, or NGS, capabilities to the Chinese genetic testing market through entities separate from the Company’s U.S. operations, and FF Gene Biotech is pursuing this separate from the Company’s business elsewhere. As a result of the acquisition of FF Gene Biotech, or the FF Gene Biotech Acquisition, the Company seeks to be more strategically aligned with its geographic expansion strategy. It also expects to reduce costs through economies of scale.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allocated the purchase price to tangible and identifiable intangible assets acquired and liabilities assumed based on estimated fair values. As additional information becomes available, such as the finalization of the estimated fair value of tax-related items, the Company may further update the preliminary purchase price allocation during the remainder of the measurement period (up to one year from the FF Gene Biotech Acquisition date). The following table summarizes the consideration paid and the amounts of the assets acquired and liabilities assumed recognized at the FF Gene Biotech Acquisition date, as well as the fair value of the noncontrolling interest at the FF Gene Biotech Acquisition date.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462" w:type="dxa"/>
        <w:jc w:val="left"/>
        <w:tblInd w:w="0" w:type="dxa"/>
        <w:tblLayout w:type="fixed"/>
        <w:tblCellMar>
          <w:top w:w="28" w:type="dxa"/>
          <w:left w:w="28" w:type="dxa"/>
          <w:bottom w:w="28" w:type="dxa"/>
          <w:right w:w="28" w:type="dxa"/>
        </w:tblCellMar>
      </w:tblPr>
      <w:tblGrid>
        <w:gridCol w:w="7126"/>
        <w:gridCol w:w="267"/>
        <w:gridCol w:w="858"/>
        <w:gridCol w:w="211"/>
      </w:tblGrid>
      <w:tr>
        <w:trPr/>
        <w:tc>
          <w:tcPr>
            <w:tcW w:w="712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12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7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Considerations</w:t>
            </w:r>
          </w:p>
        </w:tc>
        <w:tc>
          <w:tcPr>
            <w:tcW w:w="1125"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7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18,974</w:t>
            </w:r>
          </w:p>
        </w:tc>
        <w:tc>
          <w:tcPr>
            <w:tcW w:w="211" w:type="dxa"/>
            <w:tcBorders/>
            <w:shd w:fill="CFF0FC" w:val="clear"/>
            <w:vAlign w:val="center"/>
          </w:tcPr>
          <w:p>
            <w:pPr>
              <w:pStyle w:val="TableContents"/>
              <w:bidi w:val="0"/>
              <w:spacing w:before="0" w:after="283"/>
              <w:jc w:val="left"/>
              <w:rPr/>
            </w:pPr>
            <w:r>
              <w:rPr/>
              <w:t> </w:t>
            </w:r>
          </w:p>
        </w:tc>
      </w:tr>
      <w:tr>
        <w:trPr/>
        <w:tc>
          <w:tcPr>
            <w:tcW w:w="7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the Company’s 30% equity interest held before the business combination</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22,708</w:t>
            </w:r>
          </w:p>
        </w:tc>
        <w:tc>
          <w:tcPr>
            <w:tcW w:w="211" w:type="dxa"/>
            <w:tcBorders/>
            <w:shd w:fill="CFF0FC" w:val="clear"/>
            <w:vAlign w:val="center"/>
          </w:tcPr>
          <w:p>
            <w:pPr>
              <w:pStyle w:val="TableContents"/>
              <w:bidi w:val="0"/>
              <w:spacing w:before="0" w:after="283"/>
              <w:jc w:val="left"/>
              <w:rPr/>
            </w:pPr>
            <w:r>
              <w:rPr/>
              <w:t> </w:t>
            </w:r>
          </w:p>
        </w:tc>
      </w:tr>
      <w:tr>
        <w:trPr/>
        <w:tc>
          <w:tcPr>
            <w:tcW w:w="71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Recognized amounts of identifiable assets acquired and liabilities assumed</w:t>
            </w:r>
          </w:p>
        </w:tc>
        <w:tc>
          <w:tcPr>
            <w:tcW w:w="1125"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7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211" w:type="dxa"/>
            <w:tcBorders/>
            <w:shd w:fill="CFF0FC" w:val="clear"/>
            <w:vAlign w:val="center"/>
          </w:tcPr>
          <w:p>
            <w:pPr>
              <w:pStyle w:val="TableContents"/>
              <w:bidi w:val="0"/>
              <w:spacing w:before="0" w:after="283"/>
              <w:jc w:val="left"/>
              <w:rPr/>
            </w:pPr>
            <w:r>
              <w:rPr/>
              <w:t> </w:t>
            </w:r>
          </w:p>
        </w:tc>
      </w:tr>
      <w:tr>
        <w:trPr/>
        <w:tc>
          <w:tcPr>
            <w:tcW w:w="7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Reagents and supplies</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211" w:type="dxa"/>
            <w:tcBorders/>
            <w:shd w:fill="FFFFFF" w:val="clear"/>
            <w:vAlign w:val="center"/>
          </w:tcPr>
          <w:p>
            <w:pPr>
              <w:pStyle w:val="TableContents"/>
              <w:bidi w:val="0"/>
              <w:spacing w:before="0" w:after="283"/>
              <w:jc w:val="left"/>
              <w:rPr/>
            </w:pPr>
            <w:r>
              <w:rPr/>
              <w:t> </w:t>
            </w:r>
          </w:p>
        </w:tc>
      </w:tr>
      <w:tr>
        <w:trPr/>
        <w:tc>
          <w:tcPr>
            <w:tcW w:w="7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w:t>
            </w:r>
          </w:p>
        </w:tc>
        <w:tc>
          <w:tcPr>
            <w:tcW w:w="211" w:type="dxa"/>
            <w:tcBorders/>
            <w:shd w:fill="CFF0FC" w:val="clear"/>
            <w:vAlign w:val="center"/>
          </w:tcPr>
          <w:p>
            <w:pPr>
              <w:pStyle w:val="TableContents"/>
              <w:bidi w:val="0"/>
              <w:spacing w:before="0" w:after="283"/>
              <w:jc w:val="left"/>
              <w:rPr/>
            </w:pPr>
            <w:r>
              <w:rPr/>
              <w:t> </w:t>
            </w:r>
          </w:p>
        </w:tc>
      </w:tr>
      <w:tr>
        <w:trPr/>
        <w:tc>
          <w:tcPr>
            <w:tcW w:w="7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tangible assets</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211" w:type="dxa"/>
            <w:tcBorders/>
            <w:shd w:fill="FFFFFF" w:val="clear"/>
            <w:vAlign w:val="center"/>
          </w:tcPr>
          <w:p>
            <w:pPr>
              <w:pStyle w:val="TableContents"/>
              <w:bidi w:val="0"/>
              <w:spacing w:before="0" w:after="283"/>
              <w:jc w:val="left"/>
              <w:rPr/>
            </w:pPr>
            <w:r>
              <w:rPr/>
              <w:t> </w:t>
            </w:r>
          </w:p>
        </w:tc>
      </w:tr>
      <w:tr>
        <w:trPr/>
        <w:tc>
          <w:tcPr>
            <w:tcW w:w="7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intangible assets</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6,958</w:t>
            </w:r>
          </w:p>
        </w:tc>
        <w:tc>
          <w:tcPr>
            <w:tcW w:w="211" w:type="dxa"/>
            <w:tcBorders/>
            <w:shd w:fill="CFF0FC" w:val="clear"/>
            <w:vAlign w:val="center"/>
          </w:tcPr>
          <w:p>
            <w:pPr>
              <w:pStyle w:val="TableContents"/>
              <w:bidi w:val="0"/>
              <w:spacing w:before="0" w:after="283"/>
              <w:jc w:val="left"/>
              <w:rPr/>
            </w:pPr>
            <w:r>
              <w:rPr/>
              <w:t> </w:t>
            </w:r>
          </w:p>
        </w:tc>
      </w:tr>
      <w:tr>
        <w:trPr/>
        <w:tc>
          <w:tcPr>
            <w:tcW w:w="7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amounts of identifiable assets acquired and liabilities assumed, net</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w:t>
            </w:r>
          </w:p>
        </w:tc>
        <w:tc>
          <w:tcPr>
            <w:tcW w:w="211" w:type="dxa"/>
            <w:tcBorders/>
            <w:shd w:fill="FFFFFF" w:val="clear"/>
            <w:vAlign w:val="center"/>
          </w:tcPr>
          <w:p>
            <w:pPr>
              <w:pStyle w:val="TableContents"/>
              <w:bidi w:val="0"/>
              <w:spacing w:before="0" w:after="283"/>
              <w:jc w:val="left"/>
              <w:rPr/>
            </w:pPr>
            <w:r>
              <w:rPr/>
              <w:t> </w:t>
            </w:r>
          </w:p>
        </w:tc>
      </w:tr>
      <w:tr>
        <w:trPr/>
        <w:tc>
          <w:tcPr>
            <w:tcW w:w="7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noncontrolling interest, or NCI, in FF Gene Biotech, a private entity, $8.1 million, was estimated by applying the income approach and market approach. The fair value measurement was based on significant inputs that are not observable in the market and thus represents a fair value categorized within Level 3 of the three-tier fair value hierarchy. The NCI represents a minority interest of 28% in the post-restructuring FF Gene Biotech. Since the NCI is the result of the restructuring, the implied value was utilized to value the NCI based on the 42% effective investment. After determining the implied value, a discount for lack of marketability was applied to the 28% interest representing lack of marketability related to the holding period to monetize the NCI in a future initial public offering, or IPO, or sale, and marketability related to market participant acquisition premiums implied in the value of the $19.0 million purchase price for a 42% interest. The resultant total discount applied was 35%, which is supported both by the put option analyses related to the potential holding period, and a 10% discount owed to a market participant acquisition premium.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a gain of $3.7 million as a result of remeasuring to fair value its 30% equity interest held before the FF Gene Biotech Acquisition. The fair value of the preexisting equity interest was determined based on the characteristics before consummating the FF Gene Biotech Acquisition and estimated by applying income approach and utilized the discounted cash flow method. The Company did not apply the market approach based on its characteristics before consummating the restructuring. The gain on the equity-method investment is included in the Company’s Consolidated Statements of Operations for the year ended December 31,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goodwill of $23.1 million arising from the FF Gene Biotech Acquisition is attributed to the expected synergies and other benefits that will be potentially generated from the combination of the Company and FF Gene Biotech. The goodwill recognized is not deductible for tax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identifiable intangible assets acquired in the FF Gene Biotech Acquisition consisted of a $5.7 million royalty-free technology with an estimated amortization life of 10 years and $1.2 million customer relationships with an estimated amortization life of 5 years. The value of these assets was based upon the preliminary fair values as of the closing date of the FF Gene Biotech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concluded FF Gene Biotech is a variable interest entity as FF Gene Biotech lacks sufficient capital to operate independently. The Company concluded that it alone has the power to direct the most significant activities of FF Gene Biotech and therefore is the primary beneficiary of the entity post the FF Gene Biotech Acquisition. Judgment regarding the level of influence over FF Gene Biotech includes consideration of key factors such as the Company’s ownership interest, representation on the board of directors or other management body and participation in policy-making decisions.</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CSI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2021, the Company acquired 100% of the outstanding equity of Cytometry Specialist, Inc, or CSI, a multi-site reference laboratory business in the United States. This acquisition of CSI, or the CSI Acquisition, expands the Company’s national reference laboratory presence in the United States.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allocated the purchase price to tangible and identified intangible assets acquired and liabilities assumed based on estimated fair values. As additional information becomes available, such as the finalization of the estimated fair value of tax-related items, the Company may further update the preliminary purchase price allocation during the remainder of the measurement period (up to one year from the CSI Acquisition date).The following tables summarizes the consideration paid and the amounts of the assets acquired and liabilities assumed recognized at the CSI Acquisition date:</w:t>
      </w:r>
    </w:p>
    <w:tbl>
      <w:tblPr>
        <w:tblW w:w="7877" w:type="dxa"/>
        <w:jc w:val="left"/>
        <w:tblInd w:w="0" w:type="dxa"/>
        <w:tblLayout w:type="fixed"/>
        <w:tblCellMar>
          <w:top w:w="28" w:type="dxa"/>
          <w:left w:w="28" w:type="dxa"/>
          <w:bottom w:w="28" w:type="dxa"/>
          <w:right w:w="28" w:type="dxa"/>
        </w:tblCellMar>
      </w:tblPr>
      <w:tblGrid>
        <w:gridCol w:w="6541"/>
        <w:gridCol w:w="267"/>
        <w:gridCol w:w="858"/>
        <w:gridCol w:w="211"/>
      </w:tblGrid>
      <w:tr>
        <w:trPr/>
        <w:tc>
          <w:tcPr>
            <w:tcW w:w="654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541"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1"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Considerations</w:t>
            </w:r>
          </w:p>
        </w:tc>
        <w:tc>
          <w:tcPr>
            <w:tcW w:w="1125"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43,359</w:t>
            </w:r>
          </w:p>
        </w:tc>
        <w:tc>
          <w:tcPr>
            <w:tcW w:w="211" w:type="dxa"/>
            <w:tcBorders/>
            <w:shd w:fill="FFFFFF" w:val="clear"/>
            <w:vAlign w:val="center"/>
          </w:tcPr>
          <w:p>
            <w:pPr>
              <w:pStyle w:val="TableContents"/>
              <w:bidi w:val="0"/>
              <w:spacing w:before="0" w:after="283"/>
              <w:jc w:val="left"/>
              <w:rPr/>
            </w:pPr>
            <w:r>
              <w:rPr/>
              <w:t> </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53,359</w:t>
            </w:r>
          </w:p>
        </w:tc>
        <w:tc>
          <w:tcPr>
            <w:tcW w:w="211" w:type="dxa"/>
            <w:tcBorders/>
            <w:shd w:fill="FFFFFF" w:val="clear"/>
            <w:vAlign w:val="center"/>
          </w:tcPr>
          <w:p>
            <w:pPr>
              <w:pStyle w:val="TableContents"/>
              <w:bidi w:val="0"/>
              <w:spacing w:before="0" w:after="283"/>
              <w:jc w:val="left"/>
              <w:rPr/>
            </w:pPr>
            <w:r>
              <w:rPr/>
              <w:t> </w:t>
            </w:r>
          </w:p>
        </w:tc>
      </w:tr>
      <w:tr>
        <w:trPr/>
        <w:tc>
          <w:tcPr>
            <w:tcW w:w="65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Recognized amounts of identifiable assets acquired and liabilities assumed</w:t>
            </w:r>
          </w:p>
        </w:tc>
        <w:tc>
          <w:tcPr>
            <w:tcW w:w="1125"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Debt-free net working capital</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w:t>
            </w:r>
          </w:p>
        </w:tc>
        <w:tc>
          <w:tcPr>
            <w:tcW w:w="211" w:type="dxa"/>
            <w:tcBorders/>
            <w:shd w:fill="FFFFFF" w:val="clear"/>
            <w:vAlign w:val="center"/>
          </w:tcPr>
          <w:p>
            <w:pPr>
              <w:pStyle w:val="TableContents"/>
              <w:bidi w:val="0"/>
              <w:spacing w:before="0" w:after="283"/>
              <w:jc w:val="left"/>
              <w:rPr/>
            </w:pPr>
            <w:r>
              <w:rPr/>
              <w:t> </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w:t>
            </w:r>
          </w:p>
        </w:tc>
        <w:tc>
          <w:tcPr>
            <w:tcW w:w="211" w:type="dxa"/>
            <w:tcBorders/>
            <w:shd w:fill="CFF0FC"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 assets - operating</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4,988</w:t>
            </w:r>
          </w:p>
        </w:tc>
        <w:tc>
          <w:tcPr>
            <w:tcW w:w="211" w:type="dxa"/>
            <w:tcBorders/>
            <w:shd w:fill="FFFFFF" w:val="clear"/>
            <w:vAlign w:val="center"/>
          </w:tcPr>
          <w:p>
            <w:pPr>
              <w:pStyle w:val="TableContents"/>
              <w:bidi w:val="0"/>
              <w:spacing w:before="0" w:after="283"/>
              <w:jc w:val="left"/>
              <w:rPr/>
            </w:pPr>
            <w:r>
              <w:rPr/>
              <w:t> </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 assets - finance</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shd w:fill="CFF0FC"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11" w:type="dxa"/>
            <w:tcBorders/>
            <w:shd w:fill="FFFFFF" w:val="clear"/>
            <w:vAlign w:val="center"/>
          </w:tcPr>
          <w:p>
            <w:pPr>
              <w:pStyle w:val="TableContents"/>
              <w:bidi w:val="0"/>
              <w:spacing w:before="0" w:after="283"/>
              <w:jc w:val="left"/>
              <w:rPr/>
            </w:pPr>
            <w:r>
              <w:rPr/>
              <w:t> </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intangible assets</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30,540</w:t>
            </w:r>
          </w:p>
        </w:tc>
        <w:tc>
          <w:tcPr>
            <w:tcW w:w="211" w:type="dxa"/>
            <w:tcBorders/>
            <w:shd w:fill="CFF0FC"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amounts of identifiable assets acquired and liabilities assumed, net</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w:t>
            </w:r>
          </w:p>
        </w:tc>
        <w:tc>
          <w:tcPr>
            <w:tcW w:w="211" w:type="dxa"/>
            <w:tcBorders/>
            <w:shd w:fill="FFFFFF" w:val="clear"/>
            <w:vAlign w:val="center"/>
          </w:tcPr>
          <w:p>
            <w:pPr>
              <w:pStyle w:val="TableContents"/>
              <w:bidi w:val="0"/>
              <w:spacing w:before="0" w:after="283"/>
              <w:jc w:val="left"/>
              <w:rPr/>
            </w:pPr>
            <w:r>
              <w:rPr/>
              <w:t> </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CSI Acquisition includes a contingent consideration arrangement that requires additional consideration to be paid by the Company based on CSI’s achievement of a minimum level of earnings, for the year ending December 31, 2021, as described in the acquisition agreement. The range of undiscounted amounts the Company may be required to pay under the contingent consideration agreement is between zero and $10.0 million. The fair value of the contingent consideration recognized on the CSI Acquisition date of $10.0 million was estimated by applying the income approach using discounted cash flows. Given the short-term nature of the contingent consideration, the most significant assumption is the probability weighted cash flow. The actual contingent consideration paid in 2022 was $10.0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goodwill of $27.5 million arising from the CSI Acquisition is attributed to the expected synergies, assembled workforce, other benefits that will be potentially generated from the combination and deferred tax. The goodwill recognized is not deductible for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identifiable intangible assets acquired in the CSI Acquisition consisted of $27.6 million customer relationships with an estimated amortization life of 12 years, $1.9 million laboratory information system platform with an estimated amortization life of 5 years, and $1.1 million trade name with an estimated amortization life of 10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acquisitions, the financial results for FF Gene Biotech and CSI were not significant for pro forma financial information. Post the acquisitions, the financial results for FF Gene Biotech and CSI are included in the Company’s consolidated financial statements. Revenue and operating income or loss from both acquisitions since the respective 2021 acquisition dates are included in the accompanying Consolidated Statements of Operations as follows, in thousands, for the year ended December 31, 2021:</w:t>
      </w:r>
    </w:p>
    <w:p>
      <w:pPr>
        <w:pStyle w:val="TextBody"/>
        <w:bidi w:val="0"/>
        <w:jc w:val="left"/>
        <w:rPr/>
      </w:pPr>
      <w:r>
        <w:rPr/>
        <w:t> </w:t>
      </w:r>
    </w:p>
    <w:tbl>
      <w:tblPr>
        <w:tblW w:w="4781" w:type="dxa"/>
        <w:jc w:val="left"/>
        <w:tblInd w:w="0" w:type="dxa"/>
        <w:tblLayout w:type="fixed"/>
        <w:tblCellMar>
          <w:top w:w="28" w:type="dxa"/>
          <w:left w:w="28" w:type="dxa"/>
          <w:bottom w:w="28" w:type="dxa"/>
          <w:right w:w="28" w:type="dxa"/>
        </w:tblCellMar>
      </w:tblPr>
      <w:tblGrid>
        <w:gridCol w:w="1486"/>
        <w:gridCol w:w="211"/>
        <w:gridCol w:w="676"/>
        <w:gridCol w:w="146"/>
        <w:gridCol w:w="146"/>
        <w:gridCol w:w="476"/>
        <w:gridCol w:w="1429"/>
        <w:gridCol w:w="211"/>
      </w:tblGrid>
      <w:tr>
        <w:trPr/>
        <w:tc>
          <w:tcPr>
            <w:tcW w:w="1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Income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FF Gene Biotech</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CSI</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16. Stock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2022, the Company’s Board authorized a $250.0 million stock repurchase program. Under the stock repurchase program, the Company may repurchase shares from time to time in the open market or in privately negotiated transactions. The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repurchase program has no expiration from the date of authorization. During the year ended December 31, 2023, the Company repurchased 953,000 shares of its common stock at an aggregate cost of $25.1 million under the stock repurchase program. During the year ended December 31, 2022, the Company repurchased $1.8 million shares of its common stock at an aggregate cost of $74.3 million under the stock repurchase program. As of December 31, 2023, a total of approximately $150.7 million remained available for future repurchases of its common stock under the stock repurchase program.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17. Goodwill and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carrying amount of goodwill, net of impairment, by reporting unit for the years ended December 31, 2023 and 2022 are as follows:</w:t>
      </w:r>
    </w:p>
    <w:p>
      <w:pPr>
        <w:pStyle w:val="TextBody"/>
        <w:bidi w:val="0"/>
        <w:jc w:val="left"/>
        <w:rPr/>
      </w:pPr>
      <w:r>
        <w:rPr/>
        <w:t> </w:t>
      </w:r>
    </w:p>
    <w:tbl>
      <w:tblPr>
        <w:tblW w:w="9718" w:type="dxa"/>
        <w:jc w:val="left"/>
        <w:tblInd w:w="0" w:type="dxa"/>
        <w:tblLayout w:type="fixed"/>
        <w:tblCellMar>
          <w:top w:w="28" w:type="dxa"/>
          <w:left w:w="28" w:type="dxa"/>
          <w:bottom w:w="28" w:type="dxa"/>
          <w:right w:w="28" w:type="dxa"/>
        </w:tblCellMar>
      </w:tblPr>
      <w:tblGrid>
        <w:gridCol w:w="2611"/>
        <w:gridCol w:w="301"/>
        <w:gridCol w:w="1199"/>
        <w:gridCol w:w="166"/>
        <w:gridCol w:w="146"/>
        <w:gridCol w:w="319"/>
        <w:gridCol w:w="1181"/>
        <w:gridCol w:w="166"/>
        <w:gridCol w:w="146"/>
        <w:gridCol w:w="357"/>
        <w:gridCol w:w="1143"/>
        <w:gridCol w:w="146"/>
        <w:gridCol w:w="146"/>
        <w:gridCol w:w="357"/>
        <w:gridCol w:w="1143"/>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pPr>
            <w:r>
              <w:rPr/>
              <w:t> </w:t>
            </w:r>
          </w:p>
        </w:tc>
        <w:tc>
          <w:tcPr>
            <w:tcW w:w="3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Laboratory 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Therapeutic Development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6916"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acquired during year</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22,055</w:t>
            </w:r>
          </w:p>
        </w:tc>
        <w:tc>
          <w:tcPr>
            <w:tcW w:w="191"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impact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year</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2023, the Company had a single reporting unit. The Company monitors changing business conditions as well as industry and economic factors, among others, for events which could trigger the need for an interim impairment analysis. During the third quarter, the Company evaluated the significant decrease in its share price which had occurred over a period of about three months, and also performed a market approach supplemental qualitative analysis. Based on the short duration of the share price decline and the analysis performed, the Company did not recognize a goodwill impairment charge during the third quarter of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1, 2023, the Company has identified its laboratory services business and its therapeutic development business as its two operating segments and the Company determined that the operating segments represented the two reporting units. The Company has reassigned goodwill to its two reporting units using the relative fair value approach.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tests for goodwill impairment at the reporting unit level on December 31st of each year and more frequently if events or circumstances indicate a potential impairment. During the fourth quarter of 2023, the Company witnessed a continued decline in its share price and market capitalization which prompted a quantitative impairment analysis as of December 31, 2023. </w:t>
      </w:r>
    </w:p>
    <w:p>
      <w:pPr>
        <w:pStyle w:val="TextBody"/>
        <w:bidi w:val="0"/>
        <w:spacing w:before="240" w:after="283"/>
        <w:jc w:val="left"/>
        <w:rPr>
          <w:rFonts w:ascii="Times New Roman" w:hAnsi="Times New Roman"/>
          <w:sz w:val="20"/>
        </w:rPr>
      </w:pPr>
      <w:r>
        <w:rPr>
          <w:rFonts w:ascii="Times New Roman" w:hAnsi="Times New Roman"/>
          <w:i/>
          <w:color w:val="000000"/>
          <w:sz w:val="20"/>
        </w:rPr>
        <w:t>Laboratory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 fair value for the laboratory services reporting unit was calculated using the (i) income approach (discounted cash flows) weighted at 50% with an assumed weighted average cost of capital, or WACC, of 13% and assumed residual revenue growth rate of 2.5%, and (ii) a market approach weighted at 50%. Within the market approach, the Company used two methods, the guideline public company method weighted at 25% and the merger &amp; acquisition method also weighted at 25%. Based on the quantitative results of the impairment analysis, the carrying value exceeded the fair value on the laboratory services reporting unit. The Company recognized a full goodwill impairment loss and recorded a pre-tax impairment loss of $120.2 million in the Consolidated Statements of Operations. </w:t>
      </w:r>
    </w:p>
    <w:p>
      <w:pPr>
        <w:pStyle w:val="TextBody"/>
        <w:bidi w:val="0"/>
        <w:spacing w:before="240" w:after="283"/>
        <w:jc w:val="left"/>
        <w:rPr>
          <w:rFonts w:ascii="Times New Roman" w:hAnsi="Times New Roman"/>
          <w:sz w:val="20"/>
        </w:rPr>
      </w:pPr>
      <w:r>
        <w:rPr>
          <w:rFonts w:ascii="Times New Roman" w:hAnsi="Times New Roman"/>
          <w:i/>
          <w:color w:val="000000"/>
          <w:sz w:val="20"/>
        </w:rPr>
        <w:t>Therapeutic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fair value for the therapeutic development reporting unit was calculated using the income approach weighted at 100% with a WACC of 36%. This reporting unit includes IPR&amp;D, an intangible asset with an indefinite life that was initially recognized as part of the Fulgent Pharma acquisition in 2022 and which the Company appraised using the income approach known as multi-period excess earnings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the results of the quantitative assessments, the Company concluded that the fair values of the therapeutic development reporting unit and the IPR&amp;D asset, at December 31, 2023, were greater than the carrying values and that there was no impairment. The fair value of this reporting unit was $74.2 million and exceeded the carrying value of $64.3 million by approximately 15%, and the fair value of IPR&amp;D was $71.5 million and exceeded the carrying value of $64.6 million by approximately 11%.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the estimates and assumptions management made for the purposes of the goodwill or IPR&amp;D impairment analysis will prove to be accurate predictions of future performance. It is possible that the conclusions regarding impairment or recoverability of goodwill or intangible assets could change in future periods. Management will continue to monitor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therapeutic development reporting unit. For all IPR&amp;D projects, there are major risks and uncertainties associated with the timely and successful completion of development and commercialization of these product candidates, including the ability to confirm their efficacy based on data from clinical trials, the ability to obtain necessary regulatory approvals, and the ability to successfully complete these tasks within budgeted costs. The Company is not able to market a human therapeutic without obtaining regulatory approvals, and such approvals require completing clinical trials that demonstrate a product candidate is safe and effective. In addition, the availability and extent of coverage and reimbursement from third-party payers, including government healthcare programs and private insurance plans, impact the revenues a product can generate. Consequently, the eventual realized value, if any, of these acquired IPR&amp;D projects may vary from their estimated fair values.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Summaries of intangible assets balances as of December 31, 2023 and 2022 were as follows:</w:t>
      </w:r>
    </w:p>
    <w:p>
      <w:pPr>
        <w:pStyle w:val="TextBody"/>
        <w:bidi w:val="0"/>
        <w:jc w:val="left"/>
        <w:rPr/>
      </w:pPr>
      <w:r>
        <w:rPr/>
        <w:t> </w:t>
      </w:r>
    </w:p>
    <w:tbl>
      <w:tblPr>
        <w:tblW w:w="9409" w:type="dxa"/>
        <w:jc w:val="left"/>
        <w:tblInd w:w="0" w:type="dxa"/>
        <w:tblLayout w:type="fixed"/>
        <w:tblCellMar>
          <w:top w:w="28" w:type="dxa"/>
          <w:left w:w="28" w:type="dxa"/>
          <w:bottom w:w="28" w:type="dxa"/>
          <w:right w:w="28" w:type="dxa"/>
        </w:tblCellMar>
      </w:tblPr>
      <w:tblGrid>
        <w:gridCol w:w="3706"/>
        <w:gridCol w:w="3016"/>
        <w:gridCol w:w="211"/>
        <w:gridCol w:w="781"/>
        <w:gridCol w:w="166"/>
        <w:gridCol w:w="146"/>
        <w:gridCol w:w="211"/>
        <w:gridCol w:w="781"/>
        <w:gridCol w:w="391"/>
      </w:tblGrid>
      <w:tr>
        <w:trPr/>
        <w:tc>
          <w:tcPr>
            <w:tcW w:w="3706"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vAlign w:val="center"/>
          </w:tcPr>
          <w:p>
            <w:pPr>
              <w:pStyle w:val="TableContents"/>
              <w:bidi w:val="0"/>
              <w:spacing w:before="0" w:after="283"/>
              <w:jc w:val="left"/>
              <w:rPr/>
            </w:pPr>
            <w:r>
              <w:rPr/>
              <w:t> </w:t>
            </w:r>
          </w:p>
        </w:tc>
        <w:tc>
          <w:tcPr>
            <w:tcW w:w="3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Amortization Period</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7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Laboratory services:</w:t>
            </w:r>
          </w:p>
        </w:tc>
        <w:tc>
          <w:tcPr>
            <w:tcW w:w="301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Royalty-free technology</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5,364</w:t>
            </w:r>
          </w:p>
        </w:tc>
        <w:tc>
          <w:tcPr>
            <w:tcW w:w="391" w:type="dxa"/>
            <w:tcBorders/>
            <w:shd w:fill="CFF0FC"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301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Royalty-free technology, net</w:t>
            </w:r>
          </w:p>
        </w:tc>
        <w:tc>
          <w:tcPr>
            <w:tcW w:w="301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391" w:type="dxa"/>
            <w:tcBorders/>
            <w:shd w:fill="CFF0FC"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 Years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82,750</w:t>
            </w:r>
          </w:p>
        </w:tc>
        <w:tc>
          <w:tcPr>
            <w:tcW w:w="391" w:type="dxa"/>
            <w:tcBorders/>
            <w:shd w:fill="CFF0FC"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301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 net</w:t>
            </w:r>
          </w:p>
        </w:tc>
        <w:tc>
          <w:tcPr>
            <w:tcW w:w="301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76,535</w:t>
            </w:r>
          </w:p>
        </w:tc>
        <w:tc>
          <w:tcPr>
            <w:tcW w:w="391" w:type="dxa"/>
            <w:tcBorders/>
            <w:shd w:fill="CFF0FC"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 Years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w:t>
            </w:r>
          </w:p>
        </w:tc>
        <w:tc>
          <w:tcPr>
            <w:tcW w:w="391" w:type="dxa"/>
            <w:tcBorders/>
            <w:shd w:fill="CFF0FC"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301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 net</w:t>
            </w:r>
          </w:p>
        </w:tc>
        <w:tc>
          <w:tcPr>
            <w:tcW w:w="301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391" w:type="dxa"/>
            <w:tcBorders/>
            <w:shd w:fill="CFF0FC"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In-place lease intangible assets</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91" w:type="dxa"/>
            <w:tcBorders/>
            <w:shd w:fill="CFF0FC"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301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In-place lease intangible assets, net</w:t>
            </w:r>
          </w:p>
        </w:tc>
        <w:tc>
          <w:tcPr>
            <w:tcW w:w="301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91" w:type="dxa"/>
            <w:tcBorders/>
            <w:shd w:fill="CFF0FC"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information system platform</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391" w:type="dxa"/>
            <w:tcBorders/>
            <w:shd w:fill="CFF0FC"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301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information system platform, net</w:t>
            </w:r>
          </w:p>
        </w:tc>
        <w:tc>
          <w:tcPr>
            <w:tcW w:w="301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391" w:type="dxa"/>
            <w:tcBorders/>
            <w:shd w:fill="CFF0FC"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Purchased patent</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CFF0FC"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301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Purchased patent, net</w:t>
            </w:r>
          </w:p>
        </w:tc>
        <w:tc>
          <w:tcPr>
            <w:tcW w:w="301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301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86,053</w:t>
            </w:r>
          </w:p>
        </w:tc>
        <w:tc>
          <w:tcPr>
            <w:tcW w:w="391" w:type="dxa"/>
            <w:tcBorders/>
            <w:shd w:fill="FFFFFF" w:val="clear"/>
            <w:vAlign w:val="center"/>
          </w:tcPr>
          <w:p>
            <w:pPr>
              <w:pStyle w:val="TableContents"/>
              <w:bidi w:val="0"/>
              <w:spacing w:before="0" w:after="283"/>
              <w:jc w:val="left"/>
              <w:rPr/>
            </w:pPr>
            <w:r>
              <w:rPr/>
              <w:t> </w:t>
            </w:r>
          </w:p>
        </w:tc>
      </w:tr>
      <w:tr>
        <w:trPr/>
        <w:tc>
          <w:tcPr>
            <w:tcW w:w="370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Therapeutic development:</w:t>
            </w:r>
          </w:p>
        </w:tc>
        <w:tc>
          <w:tcPr>
            <w:tcW w:w="301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&amp; development</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301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 net</w:t>
            </w:r>
          </w:p>
        </w:tc>
        <w:tc>
          <w:tcPr>
            <w:tcW w:w="301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Acquisition-related intangibles included in the above tables are generally finite-lived and are carried at cost less accumulated amortization, except for IPR&amp;D, which is related to the acquisition of Fulgent Pharma in 2022 and has an indefinite life until research and development efforts are completed or abandoned. All other finite-lived acquisition-related intangibles related to the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combinations in 2022 and 2021 are amortized on a straight-line basis over their estimated lives, which approximates the pattern in which the economic benefits of the intangible assets are expected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of intangible assets was $7.8 million and $6.5 million in 2023 and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carrying value of intangible assets recorded as of December 31, 2023, and assuming no subsequent impairment of the underlying assets, the annual amortization expense for intangible assets is expected to be as follows:</w:t>
      </w:r>
    </w:p>
    <w:p>
      <w:pPr>
        <w:pStyle w:val="TextBody"/>
        <w:bidi w:val="0"/>
        <w:jc w:val="left"/>
        <w:rPr/>
      </w:pPr>
      <w:r>
        <w:rPr/>
        <w:t> </w:t>
      </w:r>
    </w:p>
    <w:tbl>
      <w:tblPr>
        <w:tblW w:w="2462" w:type="dxa"/>
        <w:jc w:val="left"/>
        <w:tblInd w:w="0" w:type="dxa"/>
        <w:tblLayout w:type="fixed"/>
        <w:tblCellMar>
          <w:top w:w="28" w:type="dxa"/>
          <w:left w:w="28" w:type="dxa"/>
          <w:bottom w:w="28" w:type="dxa"/>
          <w:right w:w="28" w:type="dxa"/>
        </w:tblCellMar>
      </w:tblPr>
      <w:tblGrid>
        <w:gridCol w:w="946"/>
        <w:gridCol w:w="267"/>
        <w:gridCol w:w="858"/>
        <w:gridCol w:w="391"/>
      </w:tblGrid>
      <w:tr>
        <w:trPr/>
        <w:tc>
          <w:tcPr>
            <w:tcW w:w="9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w:t>
            </w:r>
          </w:p>
        </w:tc>
        <w:tc>
          <w:tcPr>
            <w:tcW w:w="3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w:t>
            </w:r>
          </w:p>
        </w:tc>
        <w:tc>
          <w:tcPr>
            <w:tcW w:w="3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w:t>
            </w:r>
          </w:p>
        </w:tc>
        <w:tc>
          <w:tcPr>
            <w:tcW w:w="3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w:t>
            </w:r>
          </w:p>
        </w:tc>
        <w:tc>
          <w:tcPr>
            <w:tcW w:w="3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7,175</w:t>
            </w:r>
          </w:p>
        </w:tc>
        <w:tc>
          <w:tcPr>
            <w:tcW w:w="3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9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18. Subsequent Event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28, 2024, no subsequent events are being reported.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flgt-ex4_2.htm"/>
      <w:bookmarkStart w:id="39" w:name="ksflgtex4_2"/>
      <w:bookmarkEnd w:id="38"/>
      <w:bookmarkEnd w:id="39"/>
      <w:r>
        <w:rPr>
          <w:rFonts w:ascii="Times New Roman" w:hAnsi="Times New Roman"/>
          <w:b/>
          <w:color w:val="000000"/>
          <w:sz w:val="20"/>
        </w:rPr>
        <w:t>Exhibit 4.2</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DESCRIPTION OF FULGENT GENETICS, INC.’S SECURITIES</w:t>
      </w:r>
    </w:p>
    <w:p>
      <w:pPr>
        <w:pStyle w:val="TextBody"/>
        <w:bidi w:val="0"/>
        <w:jc w:val="center"/>
        <w:rPr>
          <w:rFonts w:ascii="Times New Roman" w:hAnsi="Times New Roman"/>
          <w:b/>
          <w:color w:val="000000"/>
          <w:sz w:val="20"/>
        </w:rPr>
      </w:pPr>
      <w:r>
        <w:rPr>
          <w:rFonts w:ascii="Times New Roman" w:hAnsi="Times New Roman"/>
          <w:b/>
          <w:color w:val="000000"/>
          <w:sz w:val="20"/>
        </w:rPr>
        <w:t>REGISTERED PURSUANT TO SECTION 12 OF THE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of December 31, 2023, Fulgent Genetics, Inc. had one class of securities registered under Section 12 of the Securities Exchange Act of 1934, as amended, or the Exchange Act: common stock, $0.0001 par value per share, or Common Stock.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Unless the context otherwise requires, all references to “we” or “us” in this Exhibit 4.2 refer to Fulgent Genetics, Inc.</w:t>
      </w:r>
    </w:p>
    <w:p>
      <w:pPr>
        <w:pStyle w:val="TextBody"/>
        <w:bidi w:val="0"/>
        <w:spacing w:before="0" w:after="240"/>
        <w:jc w:val="center"/>
        <w:rPr>
          <w:rFonts w:ascii="Times New Roman" w:hAnsi="Times New Roman"/>
          <w:b/>
          <w:color w:val="000000"/>
          <w:sz w:val="20"/>
        </w:rPr>
      </w:pPr>
      <w:bookmarkStart w:id="40" w:name="description_capital_stock"/>
      <w:bookmarkEnd w:id="40"/>
      <w:r>
        <w:rPr>
          <w:rFonts w:ascii="Times New Roman" w:hAnsi="Times New Roman"/>
          <w:b/>
          <w:color w:val="000000"/>
          <w:sz w:val="20"/>
        </w:rPr>
        <w:t>DESCRIPTION OF CAPITAL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following summary description of our capital stock is based on the provisions of our Certificate of Incorporation, as amended, or the Certificate, as well as our Bylaws, and the applicable provisions of the Delaware General Corporation Law, or the DGCL. The following description is only a summary and it may not contain all the information that is important to you. This information is qualified entirely by reference to the applicable provisions of our Certificate and Bylaws, which are exhibits to this report, and the DGCL.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of the date of this report, our certificate of incorporation authorizes us to issue 50,000,000 shares of common stock, par value $0.0001 per share, and 1,000,000 shares of preferred stock, par value $0.0001 per share.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holders of our common stock are entitled to one vote for each share held on all matters submitted to a vote of our stockholders. The holders of our common stock do not have any cumulative voting rights. Because of this absence of cumulative voting, the holders of a majority of the shares of common stock entitled to vote in any election of directors have the power to elect all of the directors standing for election, if they should so choose. Holders of our common stock are entitled to receive ratably any dividends that may be declared by our board of directors from time to time out of funds legally available for that purpose, subject to any preferential dividend rights of any outstanding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 All of the outstanding shares of our common stock, as well as any shares of common stock issuable upon the conversion of any securities convertible into our common stock, are (or will be upon issuance) fully paid and non-assessable.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Blank Check Preferred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board of directors is authorized, subject to the limitations imposed by Delaware law, to issue up to 1,000,000 shares of preferred stock, par value $0.0001 per share, in one or more series, without stockholder approval. Our board of directors may fix the rights, preferences, privileges and restrictions of our authorized shares of preferred stock in one or more series and authorize their issuance without the approval of our stockholders. These rights, preferences, privileges and restrictions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of our company or other corporate action. As of the date of the filing of this report, no shares of preferred stock will be outstanding.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Antitakeover Provisions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provisions of Delaware law, our Certificate and/or our Bylaws may have the effect of delaying, deferring or discouraging another person from acquiring control of our company, as described below.</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Section 203 of the DGCL</w:t>
      </w:r>
    </w:p>
    <w:p>
      <w:pPr>
        <w:pStyle w:val="TextBody"/>
        <w:bidi w:val="0"/>
        <w:jc w:val="left"/>
        <w:rPr>
          <w:rFonts w:ascii="Times New Roman" w:hAnsi="Times New Roman"/>
          <w:color w:val="000000"/>
          <w:sz w:val="20"/>
        </w:rPr>
      </w:pPr>
      <w:r>
        <w:rPr>
          <w:rFonts w:ascii="Times New Roman" w:hAnsi="Times New Roman"/>
          <w:color w:val="000000"/>
          <w:sz w:val="20"/>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tbl>
      <w:tblPr>
        <w:tblW w:w="10205" w:type="dxa"/>
        <w:jc w:val="left"/>
        <w:tblInd w:w="0" w:type="dxa"/>
        <w:tblLayout w:type="fixed"/>
        <w:tblCellMar>
          <w:top w:w="28" w:type="dxa"/>
          <w:left w:w="28" w:type="dxa"/>
          <w:bottom w:w="28" w:type="dxa"/>
          <w:right w:w="28" w:type="dxa"/>
        </w:tblCellMar>
      </w:tblPr>
      <w:tblGrid>
        <w:gridCol w:w="161"/>
        <w:gridCol w:w="109"/>
        <w:gridCol w:w="9935"/>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before such date, the board of directors of the corporation approved either the business combination or the transaction that resulted in the stockholder becoming an interested stockholder;</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9935"/>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9935"/>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tc>
      </w:tr>
    </w:tbl>
    <w:p>
      <w:pPr>
        <w:pStyle w:val="TextBody"/>
        <w:bidi w:val="0"/>
        <w:spacing w:before="0" w:after="240"/>
        <w:jc w:val="left"/>
        <w:rPr>
          <w:rFonts w:ascii="Times New Roman" w:hAnsi="Times New Roman"/>
          <w:color w:val="000000"/>
          <w:sz w:val="20"/>
        </w:rPr>
      </w:pPr>
      <w:r>
        <w:rPr>
          <w:rFonts w:ascii="Times New Roman" w:hAnsi="Times New Roman"/>
          <w:color w:val="000000"/>
          <w:sz w:val="20"/>
        </w:rPr>
        <w:t>In general, Section 203 defines a “business combination” to include the following:</w:t>
      </w:r>
    </w:p>
    <w:tbl>
      <w:tblPr>
        <w:tblW w:w="7396" w:type="dxa"/>
        <w:jc w:val="left"/>
        <w:tblInd w:w="0" w:type="dxa"/>
        <w:tblLayout w:type="fixed"/>
        <w:tblCellMar>
          <w:top w:w="28" w:type="dxa"/>
          <w:left w:w="28" w:type="dxa"/>
          <w:bottom w:w="28" w:type="dxa"/>
          <w:right w:w="28" w:type="dxa"/>
        </w:tblCellMar>
      </w:tblPr>
      <w:tblGrid>
        <w:gridCol w:w="161"/>
        <w:gridCol w:w="109"/>
        <w:gridCol w:w="71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712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any merger or consolidation involving the corporation and the interested stockholder;</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9935"/>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any sale, transfer, pledge or other disposition of 10% or more of the assets of the corporation involving the interested stockholder;</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9935"/>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subject to certain exceptions, any transaction that results in the issuance or transfer by the corporation of any stock of the corporation to the interested stockholder</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9935"/>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any transaction involving the corporation that has the effect of increasing the proportionate share of the stock or any class or series of the corporation beneficially owned by the interested stockholder; or</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9935"/>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the receipt by the interested stockholder of the benefit of any loans, advances, guarantees, pledges or other financial benefits by or through the corporation.</w:t>
            </w:r>
          </w:p>
        </w:tc>
      </w:tr>
    </w:tbl>
    <w:p>
      <w:pPr>
        <w:pStyle w:val="TextBody"/>
        <w:bidi w:val="0"/>
        <w:spacing w:before="0" w:after="240"/>
        <w:jc w:val="left"/>
        <w:rPr>
          <w:rFonts w:ascii="Times New Roman" w:hAnsi="Times New Roman"/>
          <w:color w:val="000000"/>
          <w:sz w:val="20"/>
        </w:rPr>
      </w:pPr>
      <w:r>
        <w:rPr>
          <w:rFonts w:ascii="Times New Roman" w:hAnsi="Times New Roman"/>
          <w:color w:val="000000"/>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jc w:val="left"/>
        <w:rPr>
          <w:rFonts w:ascii="Times New Roman" w:hAnsi="Times New Roman"/>
          <w:b/>
          <w:color w:val="000000"/>
          <w:sz w:val="20"/>
        </w:rPr>
      </w:pPr>
      <w:r>
        <w:rPr>
          <w:rFonts w:ascii="Times New Roman" w:hAnsi="Times New Roman"/>
          <w:b/>
          <w:color w:val="000000"/>
          <w:sz w:val="20"/>
        </w:rPr>
        <w:t>Certificate of Incorporation and Bylaws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Certificate and Bylaws include a number of provisions that may discourage or delay attempts to take over our company or effect change to our management. 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We believe the benefits of these provisions, including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increased protection of our potential ability to negotiate with the proponent of an unfriendly or unsolicited proposal to acquire or restructure our company, outweigh the disadvantages of discouraging takeover proposals.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No Cumulative Voting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Because our Certificate does not provide for cumulative voting rights, stockholders holding a majority of our outstanding voting power will be able to elect all of our directors.</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Removal of Directors; Number of Directors; Vacancies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Bylaws provide that directors may be removed by our stockholders upon the vote of a majority of our outstanding common stock, voting together as a single class, and subject to any rights of holders of any series of preferred stock that we may issue in the future, and that any such removal may be made with or without cause. Further, subject to any rights of holders of any series of preferred stock that we may issue in the future, the authorized number of directors may be changed only by the board of directors. Vacancies and newly created directorships on the board of directors may, except as otherwise required by law or determined by the board of directors, only be filled by a majority vote of the directors then serving on the board of directors, even though less than a quorum. These provisions will make it difficult for stockholders to remove directors and will prevent a stockholder from increasing the size of our board of directors and gaining control of our board of directors by filling the resulting vacancies with its own nominees.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Stockholder Actions; Special Meetings of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Certificate and Bylaws provide that all stockholder actions must be effected at a duly called meeting of stockholders, thereby eliminating the right of stockholders to act by written consent without a meeting. Our Bylaws also provide that special meetings of stockholders may only be called by the Chairman of our board of directors, our President or our board of directors.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Advance Notice Requirements for Stockholder Proposals and Director Nominations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Bylaws provide advance notice procedures that must be followed by stockholders seeking to bring business before an annual meeting of our stockholders or to nominate candidates for election as directors at any meeting of our stockholders, which will require any such notice to be delivered to us at a specified time and in a specified form and contain certain specified information. These provisions may preclude our stockholders from bringing matters before our meetings of stockholders or from making nominations for directors at our meetings of stockholders if they do not comply with these requirements.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Issuance of Undesignated Preferred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existence of authorized but unissued shares of preferred stock enables our board of directors to render more difficult or to discourage an attempt to obtain control of our company by means of a merger, tender offer, proxy contest or otherwise.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Limitations on Liability and Indemnification Matters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Certificate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w:t>
      </w:r>
    </w:p>
    <w:tbl>
      <w:tblPr>
        <w:tblW w:w="5986" w:type="dxa"/>
        <w:jc w:val="left"/>
        <w:tblInd w:w="0" w:type="dxa"/>
        <w:tblLayout w:type="fixed"/>
        <w:tblCellMar>
          <w:top w:w="28" w:type="dxa"/>
          <w:left w:w="28" w:type="dxa"/>
          <w:bottom w:w="28" w:type="dxa"/>
          <w:right w:w="28" w:type="dxa"/>
        </w:tblCellMar>
      </w:tblPr>
      <w:tblGrid>
        <w:gridCol w:w="161"/>
        <w:gridCol w:w="109"/>
        <w:gridCol w:w="571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57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any breach of the director’s duty of loyalty to us or our stockholders;</w:t>
            </w:r>
          </w:p>
        </w:tc>
      </w:tr>
    </w:tbl>
    <w:p>
      <w:pPr>
        <w:pStyle w:val="TextBody"/>
        <w:bidi w:val="0"/>
        <w:jc w:val="left"/>
        <w:rPr/>
      </w:pPr>
      <w:r>
        <w:rPr/>
        <w:t> </w:t>
      </w:r>
    </w:p>
    <w:tbl>
      <w:tblPr>
        <w:tblW w:w="9166" w:type="dxa"/>
        <w:jc w:val="left"/>
        <w:tblInd w:w="0" w:type="dxa"/>
        <w:tblLayout w:type="fixed"/>
        <w:tblCellMar>
          <w:top w:w="28" w:type="dxa"/>
          <w:left w:w="28" w:type="dxa"/>
          <w:bottom w:w="28" w:type="dxa"/>
          <w:right w:w="28" w:type="dxa"/>
        </w:tblCellMar>
      </w:tblPr>
      <w:tblGrid>
        <w:gridCol w:w="161"/>
        <w:gridCol w:w="109"/>
        <w:gridCol w:w="889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889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9935"/>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unlawful payments of dividends or unlawful stock repurchases or redemptions as provided in Section 174 of the DGCL; or</w:t>
            </w:r>
          </w:p>
        </w:tc>
      </w:tr>
    </w:tbl>
    <w:p>
      <w:pPr>
        <w:pStyle w:val="TextBody"/>
        <w:bidi w:val="0"/>
        <w:jc w:val="left"/>
        <w:rPr/>
      </w:pPr>
      <w:r>
        <w:rPr/>
        <w:t> </w:t>
      </w:r>
    </w:p>
    <w:tbl>
      <w:tblPr>
        <w:tblW w:w="6676" w:type="dxa"/>
        <w:jc w:val="left"/>
        <w:tblInd w:w="0" w:type="dxa"/>
        <w:tblLayout w:type="fixed"/>
        <w:tblCellMar>
          <w:top w:w="28" w:type="dxa"/>
          <w:left w:w="28" w:type="dxa"/>
          <w:bottom w:w="28" w:type="dxa"/>
          <w:right w:w="28" w:type="dxa"/>
        </w:tblCellMar>
      </w:tblPr>
      <w:tblGrid>
        <w:gridCol w:w="161"/>
        <w:gridCol w:w="109"/>
        <w:gridCol w:w="64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64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any transaction from which the director derived an improper personal benefit.</w:t>
            </w:r>
          </w:p>
        </w:tc>
      </w:tr>
    </w:tbl>
    <w:p>
      <w:pPr>
        <w:pStyle w:val="TextBody"/>
        <w:bidi w:val="0"/>
        <w:spacing w:before="0" w:after="240"/>
        <w:jc w:val="left"/>
        <w:rPr>
          <w:rFonts w:ascii="Times New Roman" w:hAnsi="Times New Roman"/>
          <w:color w:val="000000"/>
          <w:sz w:val="20"/>
        </w:rPr>
      </w:pPr>
      <w:r>
        <w:rPr>
          <w:rFonts w:ascii="Times New Roman" w:hAnsi="Times New Roman"/>
          <w:color w:val="000000"/>
          <w:sz w:val="20"/>
        </w:rPr>
        <w:t>Additionally, our Certificate and Bylaws require us to indemnify our directors and officers to the maximum extent permitted by the DGCL and allow us to indemnify other employees and agents as set forth in the DGCL. These documents further provide that we shall pay expenses (including attorneys’ fees) incurred by an director or officer in defending any civil, criminal, administrative or investigative action, suit or proceeding for which such director or officer may be entitled to indemnification in advance of the final disposition of such action, suit or proceeding, upon receipt of an undertaking by or on behalf of such director or officer to repay such amount if it shall ultimately be determined that he or she is not entitled to be indemnified by 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entered separate indemnification agreements with each of our directors which provide these individuals with indemnification in addition to the indemnification provided for in our certificate of incorporation and bylaws. These agreements, among other things, require us to indemnify our directors and officers for certain expenses, including attorneys’ fees, judgments, penalties, fines and settlement amounts actually and reasonably incurred by such director and officer in any action or proceeding arising out of his or her service to us or any of our subsidiaries or any other company or enterprise to which the individual provides services at our request. Subject to certain limitations, these indemnification agreements also require us to advance expenses incurred by our directors and officers for the defense of any action for which indemnification is required or permitted.</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limitation of liability and indemnification provisions in our Certificate, Bylaws and indemnification agreements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transfer agent and registrar for our common stock is Computershare Trust Company, N.A. The transfer agent’s address is 250 Royall Street, Canton, Massachusetts 02021 and its telephone number is 1(800) 662-7232.</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Listing on the Nasdaq Global Market</w:t>
      </w:r>
    </w:p>
    <w:p>
      <w:pPr>
        <w:pStyle w:val="TextBody"/>
        <w:bidi w:val="0"/>
        <w:jc w:val="left"/>
        <w:rPr>
          <w:rFonts w:ascii="Times New Roman" w:hAnsi="Times New Roman"/>
          <w:color w:val="000000"/>
          <w:sz w:val="20"/>
        </w:rPr>
      </w:pPr>
      <w:r>
        <w:rPr>
          <w:rFonts w:ascii="Times New Roman" w:hAnsi="Times New Roman"/>
          <w:color w:val="000000"/>
          <w:sz w:val="20"/>
        </w:rPr>
        <w:t>Our common stock is listed on the Nasdaq Global Market under the symbol “FLGT.”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5"/>
        </w:rPr>
      </w:pPr>
      <w:bookmarkStart w:id="41" w:name="flgt-ex10_41.htm"/>
      <w:bookmarkStart w:id="42" w:name="ksflgtex10_41"/>
      <w:bookmarkEnd w:id="41"/>
      <w:bookmarkEnd w:id="42"/>
      <w:r>
        <w:rPr>
          <w:rFonts w:ascii="Times New Roman" w:hAnsi="Times New Roman"/>
          <w:b/>
          <w:color w:val="000000"/>
          <w:sz w:val="25"/>
        </w:rPr>
        <w:t>Exhibit 10.41</w:t>
      </w:r>
      <w:r>
        <w:br w:type="page"/>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Rule 10b5-1 Issuer Repurchase Plan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Rule 10b5-1 Issuer Repurchase Plan (this “Plan”) is entered into this 12th day of December, 2023 between Fulgent Genetics, Inc. (</w:t>
      </w:r>
      <w:r>
        <w:rPr>
          <w:rFonts w:ascii="Times New Roman" w:hAnsi="Times New Roman"/>
          <w:color w:val="000000"/>
          <w:sz w:val="20"/>
        </w:rPr>
        <w:t>“</w:t>
      </w:r>
      <w:r>
        <w:rPr>
          <w:rFonts w:ascii="Times New Roman" w:hAnsi="Times New Roman"/>
          <w:b/>
          <w:color w:val="000000"/>
          <w:sz w:val="24"/>
        </w:rPr>
        <w:t>Company”</w:t>
      </w:r>
      <w:r>
        <w:rPr>
          <w:rFonts w:ascii="Times New Roman" w:hAnsi="Times New Roman"/>
          <w:color w:val="000000"/>
          <w:sz w:val="24"/>
        </w:rPr>
        <w:t>) and Piper Sandler &amp; Co. (</w:t>
      </w:r>
      <w:r>
        <w:rPr>
          <w:rFonts w:ascii="Times New Roman" w:hAnsi="Times New Roman"/>
          <w:color w:val="000000"/>
          <w:sz w:val="20"/>
        </w:rPr>
        <w:t>“</w:t>
      </w:r>
      <w:r>
        <w:rPr>
          <w:rFonts w:ascii="Times New Roman" w:hAnsi="Times New Roman"/>
          <w:b/>
          <w:color w:val="000000"/>
          <w:sz w:val="24"/>
        </w:rPr>
        <w:t>Broker”</w:t>
      </w:r>
      <w:r>
        <w:rPr>
          <w:rFonts w:ascii="Times New Roman" w:hAnsi="Times New Roman"/>
          <w:color w:val="000000"/>
          <w:sz w:val="24"/>
        </w:rPr>
        <w:t>)</w:t>
      </w:r>
      <w:r>
        <w:rPr>
          <w:rFonts w:ascii="Times New Roman" w:hAnsi="Times New Roman"/>
          <w:b/>
          <w:color w:val="000000"/>
          <w:sz w:val="24"/>
        </w:rPr>
        <w:t>.</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Recitals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Whereas, Company desires to establish this Plan to systematically repurchase shares of its common stock, </w:t>
      </w:r>
      <w:r>
        <w:rPr>
          <w:rFonts w:ascii="Times New Roman" w:hAnsi="Times New Roman"/>
          <w:b/>
          <w:color w:val="000000"/>
          <w:sz w:val="24"/>
        </w:rPr>
        <w:t>par value $</w:t>
      </w:r>
      <w:r>
        <w:rPr>
          <w:rFonts w:ascii="Times New Roman" w:hAnsi="Times New Roman"/>
          <w:b/>
          <w:color w:val="000000"/>
          <w:sz w:val="25"/>
        </w:rPr>
        <w:t>0.0001</w:t>
      </w:r>
      <w:r>
        <w:rPr>
          <w:rFonts w:ascii="Times New Roman" w:hAnsi="Times New Roman"/>
          <w:color w:val="000000"/>
          <w:sz w:val="20"/>
        </w:rPr>
        <w:t xml:space="preserve"> </w:t>
      </w:r>
      <w:r>
        <w:rPr>
          <w:rFonts w:ascii="Times New Roman" w:hAnsi="Times New Roman"/>
          <w:b/>
          <w:color w:val="000000"/>
          <w:sz w:val="24"/>
        </w:rPr>
        <w:t>per share</w:t>
      </w:r>
      <w:r>
        <w:rPr>
          <w:rFonts w:ascii="Times New Roman" w:hAnsi="Times New Roman"/>
          <w:color w:val="000000"/>
          <w:sz w:val="20"/>
        </w:rPr>
        <w:t xml:space="preserve"> </w:t>
      </w:r>
      <w:r>
        <w:rPr>
          <w:rFonts w:ascii="Times New Roman" w:hAnsi="Times New Roman"/>
          <w:color w:val="000000"/>
          <w:sz w:val="24"/>
        </w:rPr>
        <w:t xml:space="preserve">(the </w:t>
      </w:r>
      <w:r>
        <w:rPr>
          <w:rFonts w:ascii="Times New Roman" w:hAnsi="Times New Roman"/>
          <w:color w:val="000000"/>
          <w:sz w:val="20"/>
        </w:rPr>
        <w:t>“</w:t>
      </w:r>
      <w:r>
        <w:rPr>
          <w:rFonts w:ascii="Times New Roman" w:hAnsi="Times New Roman"/>
          <w:b/>
          <w:color w:val="000000"/>
          <w:sz w:val="24"/>
        </w:rPr>
        <w:t>Shares”</w:t>
      </w:r>
      <w:r>
        <w:rPr>
          <w:rFonts w:ascii="Times New Roman" w:hAnsi="Times New Roman"/>
          <w:color w:val="000000"/>
          <w:sz w:val="24"/>
        </w:rPr>
        <w:t xml:space="preserve">) in accordance with this Plan and the safe harbor provided by Rule 10b5-1 of the Securities Exchange Act of 1934, as amended (the </w:t>
      </w:r>
      <w:r>
        <w:rPr>
          <w:rFonts w:ascii="Times New Roman" w:hAnsi="Times New Roman"/>
          <w:color w:val="000000"/>
          <w:sz w:val="20"/>
        </w:rPr>
        <w:t>“</w:t>
      </w:r>
      <w:r>
        <w:rPr>
          <w:rFonts w:ascii="Times New Roman" w:hAnsi="Times New Roman"/>
          <w:b/>
          <w:color w:val="000000"/>
          <w:sz w:val="24"/>
        </w:rPr>
        <w:t>Exchange Act”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Whereas, Company desires to engage Broker to effect repurchases of shares of the Stock in accordance with this Plan and Rule 10b5-1.</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Whereas, Company desires that all Plan Transactions to be executed under this Plan be executed in accordance with the safe harbor set forth in Rule 10b-18.</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Agreement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Therefore, Company and Broker hereby agree as follows: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 xml:space="preserve">Subject to the Instructions set forth on </w:t>
      </w:r>
      <w:r>
        <w:rPr>
          <w:rFonts w:ascii="Times New Roman" w:hAnsi="Times New Roman"/>
          <w:color w:val="000000"/>
          <w:sz w:val="24"/>
          <w:u w:val="single"/>
        </w:rPr>
        <w:t>Attachment A</w:t>
      </w:r>
      <w:r>
        <w:rPr>
          <w:rFonts w:ascii="Times New Roman" w:hAnsi="Times New Roman"/>
          <w:color w:val="000000"/>
          <w:sz w:val="20"/>
        </w:rPr>
        <w:t xml:space="preserve"> </w:t>
      </w:r>
      <w:r>
        <w:rPr>
          <w:rFonts w:ascii="Times New Roman" w:hAnsi="Times New Roman"/>
          <w:color w:val="000000"/>
          <w:sz w:val="24"/>
        </w:rPr>
        <w:t xml:space="preserve">(the </w:t>
      </w:r>
      <w:r>
        <w:rPr>
          <w:rFonts w:ascii="Times New Roman" w:hAnsi="Times New Roman"/>
          <w:color w:val="000000"/>
          <w:sz w:val="20"/>
        </w:rPr>
        <w:t>“</w:t>
      </w:r>
      <w:r>
        <w:rPr>
          <w:rFonts w:ascii="Times New Roman" w:hAnsi="Times New Roman"/>
          <w:b/>
          <w:color w:val="000000"/>
          <w:sz w:val="24"/>
        </w:rPr>
        <w:t>Instructions”</w:t>
      </w:r>
      <w:r>
        <w:rPr>
          <w:rFonts w:ascii="Times New Roman" w:hAnsi="Times New Roman"/>
          <w:b/>
          <w:i/>
          <w:color w:val="000000"/>
          <w:sz w:val="24"/>
        </w:rPr>
        <w:t xml:space="preserve">) </w:t>
      </w:r>
      <w:r>
        <w:rPr>
          <w:rFonts w:ascii="Times New Roman" w:hAnsi="Times New Roman"/>
          <w:color w:val="000000"/>
          <w:sz w:val="24"/>
        </w:rPr>
        <w:t xml:space="preserve">and ordinary principles of best execution, Company grants to Broker time and price discretion with respect to the Plan Transactions, and Broker shall use its reasonable efforts to effect transactions in the Stock (each, a </w:t>
      </w:r>
      <w:r>
        <w:rPr>
          <w:rFonts w:ascii="Times New Roman" w:hAnsi="Times New Roman"/>
          <w:color w:val="000000"/>
          <w:sz w:val="20"/>
        </w:rPr>
        <w:t>“</w:t>
      </w:r>
      <w:r>
        <w:rPr>
          <w:rFonts w:ascii="Times New Roman" w:hAnsi="Times New Roman"/>
          <w:b/>
          <w:color w:val="000000"/>
          <w:sz w:val="24"/>
        </w:rPr>
        <w:t>Plan Transaction”</w:t>
      </w:r>
      <w:r>
        <w:rPr>
          <w:rFonts w:ascii="Times New Roman" w:hAnsi="Times New Roman"/>
          <w:color w:val="000000"/>
          <w:sz w:val="24"/>
        </w:rPr>
        <w:t>) pursuant to the Instructions.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2. Company understands that if Broker is not able to effect part or all of a Plan Transaction due to a market disruption or a legal, regulatory, or contractual restriction applicable to Broker or Company, then any contemplated Plan Transaction shall not be executed pursuant to this Plan or alternatively, at the discretion of Broker, shall be executed in whole or in part as promptly and practically as possible after cessation or termination of any such market disruption or legal, regulatory or contractual restriction, taking into consideration ordinary principles of best execution; provided however, that in no event shall any Plan Transaction be executed after the Termination Date.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3. Company represents and warrants that: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 xml:space="preserve">the purchase of the Shares pursuant to this Plan has been duly authorized by Company and is consistent with Company’s publicly announced repurchase program for the Shares;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 xml:space="preserve">neither the Plan nor the contemplated Plan Transactions is prohibited or restricted by any legal, regulatory or contractual restriction or undertaking binding upon Company;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to its knowledge, neither the Plan nor any of the contemplated Plan Transactions is prohibited or restricted by any legal, regulatory or contractual restriction or undertaking binding upon Broker;</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4"/>
        </w:rPr>
      </w:pPr>
      <w:r>
        <w:rPr>
          <w:rFonts w:ascii="Times New Roman" w:hAnsi="Times New Roman"/>
          <w:color w:val="000000"/>
          <w:sz w:val="24"/>
        </w:rPr>
        <w:t>(d) it is not currently aware of any material nonpublic information with respect to the Company or any securities of the Company (including the Shares);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(e) it is entering into this Plan in good faith and not as part of a plan or scheme to evade the prohibitions of Section 10(b) of the Exchange Act or Rule 10b-5, and is its intent that the Plan and all Plan Transactions comply with the requirements of the safe harbor of Rule 10b5-1.</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4. Company undertakes to immediately notify Broker if:</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 xml:space="preserve">the purchase of the Shares pursuant to this Plan is no longer duly authorized by Company or is otherwise inconsistent with Company’s publicly announced repurchase program for the Shares;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it becomes subject to any legal, regulatory, or contractual restriction or undertaking that would prevent it from maintaining this Plan or having Broker execute Plan Transactions under this Plan; or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it becomes aware of any legal, regulatory, or contractual restriction or undertaking that would prevent Broker from executing Plan Transactions under this Plan.</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5.</w:t>
      </w:r>
    </w:p>
    <w:p>
      <w:pPr>
        <w:pStyle w:val="TextBody"/>
        <w:bidi w:val="0"/>
        <w:jc w:val="both"/>
        <w:rPr>
          <w:rFonts w:ascii="Times New Roman" w:hAnsi="Times New Roman"/>
          <w:color w:val="000000"/>
          <w:sz w:val="24"/>
        </w:rPr>
      </w:pPr>
      <w:r>
        <w:rPr>
          <w:rFonts w:ascii="Times New Roman" w:hAnsi="Times New Roman"/>
          <w:color w:val="000000"/>
          <w:sz w:val="24"/>
        </w:rPr>
        <w:t xml:space="preserve">In the event that Company becomes (i) subject to any legal, regulatory, or contractual restriction or undertaking that would prevent it from maintaining this Plan or having Broker execute Plan Transactions under this Plan (pursuant to Section 4(b) above), or (ii) aware of any legal, regulatory, or contractual restriction or undertaking that would prevent Broker from executing Plan Transactions under this Plan (pursuant to Section 4(c) above), then in either case, Company and Broker shall use their reasonable efforts to suspend, amend or terminate this Plan to take account any such restriction or undertaking (but neither party shall be obligated to take any action that would be inconsistent with the safe harbor set forth in Rule 10b5-1.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6.</w:t>
      </w:r>
    </w:p>
    <w:p>
      <w:pPr>
        <w:pStyle w:val="TextBody"/>
        <w:bidi w:val="0"/>
        <w:jc w:val="both"/>
        <w:rPr>
          <w:rFonts w:ascii="Times New Roman" w:hAnsi="Times New Roman"/>
          <w:color w:val="000000"/>
          <w:sz w:val="24"/>
        </w:rPr>
      </w:pPr>
      <w:r>
        <w:rPr>
          <w:rFonts w:ascii="Times New Roman" w:hAnsi="Times New Roman"/>
          <w:color w:val="000000"/>
          <w:sz w:val="24"/>
        </w:rPr>
        <w:t xml:space="preserve">In the event of the occurrence of any of the circumstances described in Section 4, the Company may suspend further Plan Transactions at such times and for such periods as may be advisable to ensure compliance with any applicable legal, regulatory or contractual restrictions or undertakings. In such event, the chief executive officer, chief financial officer, or general counsel of the Company shall promptly communicate in writing the details of such suspension to Broker and such communication shall contain an acknowledgement by Company that such suspension is being made pursuant to the requirements of Rule 10b5-1.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7.</w:t>
      </w:r>
    </w:p>
    <w:p>
      <w:pPr>
        <w:pStyle w:val="TextBody"/>
        <w:bidi w:val="0"/>
        <w:jc w:val="both"/>
        <w:rPr>
          <w:rFonts w:ascii="Times New Roman" w:hAnsi="Times New Roman"/>
          <w:color w:val="000000"/>
          <w:sz w:val="24"/>
        </w:rPr>
      </w:pPr>
      <w:r>
        <w:rPr>
          <w:rFonts w:ascii="Times New Roman" w:hAnsi="Times New Roman"/>
          <w:color w:val="000000"/>
          <w:sz w:val="24"/>
        </w:rPr>
        <w:t>It is the parties’ intent that this Plan and all Plan Transactions comply with the requirements of the safe harbor set forth in Rule 10b5-1. Any provision of this Plan that cannot be construed in accordance with Rule 10b5-1 shall be void.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8.</w:t>
      </w:r>
    </w:p>
    <w:p>
      <w:pPr>
        <w:pStyle w:val="TextBody"/>
        <w:bidi w:val="0"/>
        <w:jc w:val="both"/>
        <w:rPr>
          <w:rFonts w:ascii="Times New Roman" w:hAnsi="Times New Roman"/>
          <w:color w:val="000000"/>
          <w:sz w:val="24"/>
        </w:rPr>
      </w:pPr>
      <w:r>
        <w:rPr>
          <w:rFonts w:ascii="Times New Roman" w:hAnsi="Times New Roman"/>
          <w:color w:val="000000"/>
          <w:sz w:val="24"/>
        </w:rPr>
        <w:t>It is the parties’ intent that all Plan Transactions be executed in accordance with the safe harbor set forth in Rule 10b-18. Broker undertakes to execute all Plan Transactions in accordance with the Rule 10b-18 safe harbor and Company undertakes not to take any action which would cause any Plan Transaction to fall outside the Rule 10b-18 safe harbor. Each party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5"/>
        </w:rPr>
      </w:pPr>
      <w:r>
        <w:rPr>
          <w:rFonts w:ascii="Times New Roman" w:hAnsi="Times New Roman"/>
          <w:color w:val="000000"/>
          <w:sz w:val="25"/>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4"/>
        </w:rPr>
        <w:t>undertakes to promptly notify the other party in the event either party learns of any Plan Transaction that has been executed outside the Rule 10b-18 safe harbor. Any Plan Transaction executed outside the Rule 10b-18 safe harbor shall be voidable at the election of Company, with any resulting costs borne by the party at fault.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9.</w:t>
      </w:r>
    </w:p>
    <w:p>
      <w:pPr>
        <w:pStyle w:val="TextBody"/>
        <w:bidi w:val="0"/>
        <w:jc w:val="both"/>
        <w:rPr>
          <w:rFonts w:ascii="Times New Roman" w:hAnsi="Times New Roman"/>
          <w:color w:val="000000"/>
          <w:sz w:val="24"/>
        </w:rPr>
      </w:pPr>
      <w:r>
        <w:rPr>
          <w:rFonts w:ascii="Times New Roman" w:hAnsi="Times New Roman"/>
          <w:color w:val="000000"/>
          <w:sz w:val="24"/>
        </w:rPr>
        <w:t>Broker agrees not to use any information contained in this Plan in connection with its purchases or sales of, or trading in, the Shares or any other securities of Company (including any derivative securities), or to provide third persons with such information or recommend that such third persons buy or sell securities based upon such information.</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10.</w:t>
      </w:r>
    </w:p>
    <w:p>
      <w:pPr>
        <w:pStyle w:val="TextBody"/>
        <w:bidi w:val="0"/>
        <w:jc w:val="both"/>
        <w:rPr>
          <w:rFonts w:ascii="Times New Roman" w:hAnsi="Times New Roman"/>
          <w:color w:val="000000"/>
          <w:sz w:val="24"/>
        </w:rPr>
      </w:pPr>
      <w:r>
        <w:rPr>
          <w:rFonts w:ascii="Times New Roman" w:hAnsi="Times New Roman"/>
          <w:color w:val="000000"/>
          <w:sz w:val="24"/>
        </w:rPr>
        <w:t>All Share numbers and dollar amounts set forth in this Plan shall automatically be adjusted to reflect stock splits, stock dividends, and similar events occurring after the date hereof.</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11.</w:t>
      </w:r>
    </w:p>
    <w:p>
      <w:pPr>
        <w:pStyle w:val="TextBody"/>
        <w:bidi w:val="0"/>
        <w:jc w:val="both"/>
        <w:rPr>
          <w:rFonts w:ascii="Times New Roman" w:hAnsi="Times New Roman"/>
          <w:color w:val="000000"/>
          <w:sz w:val="24"/>
        </w:rPr>
      </w:pPr>
      <w:r>
        <w:rPr>
          <w:rFonts w:ascii="Times New Roman" w:hAnsi="Times New Roman"/>
          <w:color w:val="000000"/>
          <w:sz w:val="24"/>
        </w:rPr>
        <w:t>This Plan may be amended only by a writing executed by Company and Broker. Any such writing shall contain Company’s representation that it is not aware of material nonpublic information regarding Company, its Shares, or any of its securities (including any derivative securities) as of the date thereof.</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12.</w:t>
      </w:r>
    </w:p>
    <w:p>
      <w:pPr>
        <w:pStyle w:val="TextBody"/>
        <w:bidi w:val="0"/>
        <w:jc w:val="both"/>
        <w:rPr>
          <w:rFonts w:ascii="Times New Roman" w:hAnsi="Times New Roman"/>
          <w:color w:val="000000"/>
          <w:sz w:val="24"/>
        </w:rPr>
      </w:pPr>
      <w:r>
        <w:rPr>
          <w:rFonts w:ascii="Times New Roman" w:hAnsi="Times New Roman"/>
          <w:color w:val="000000"/>
          <w:sz w:val="24"/>
        </w:rPr>
        <w:t xml:space="preserve">Notwithstanding anything contained herein, after consultation with its counsel, Company may terminate this Plan at any time prior to the Termination Date by providing written notice of termination prior thereto.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[Remainder of Page Intentionally Left Blank – Signature Page Follows]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IN WITNESS WHEREOF, the undersigned have signed this Plan as of the date first written above.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5"/>
        </w:rPr>
      </w:pPr>
      <w:r>
        <w:rPr>
          <w:rFonts w:ascii="Times New Roman" w:hAnsi="Times New Roman"/>
          <w:color w:val="000000"/>
          <w:sz w:val="25"/>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Fulgent Genetics, Inc.</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 Paul Kim</w:t>
      </w:r>
    </w:p>
    <w:p>
      <w:pPr>
        <w:pStyle w:val="TextBody"/>
        <w:bidi w:val="0"/>
        <w:jc w:val="both"/>
        <w:rPr>
          <w:rFonts w:ascii="Times New Roman" w:hAnsi="Times New Roman"/>
          <w:sz w:val="20"/>
        </w:rPr>
      </w:pPr>
      <w:r>
        <w:rPr>
          <w:rFonts w:ascii="Times New Roman" w:hAnsi="Times New Roman"/>
          <w:color w:val="000000"/>
          <w:sz w:val="24"/>
        </w:rPr>
        <w:t xml:space="preserve">Its: </w:t>
      </w:r>
      <w:r>
        <w:rPr>
          <w:rFonts w:ascii="Times New Roman" w:hAnsi="Times New Roman"/>
          <w:color w:val="000000"/>
          <w:sz w:val="24"/>
          <w:u w:val="single"/>
        </w:rPr>
        <w:t>CFO</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PIPER SANDLER &amp; CO.</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By: /s/ Mark Cieciura</w:t>
      </w:r>
    </w:p>
    <w:p>
      <w:pPr>
        <w:pStyle w:val="TextBody"/>
        <w:bidi w:val="0"/>
        <w:jc w:val="both"/>
        <w:rPr>
          <w:rFonts w:ascii="Times New Roman" w:hAnsi="Times New Roman"/>
          <w:color w:val="000000"/>
          <w:sz w:val="24"/>
        </w:rPr>
      </w:pPr>
      <w:r>
        <w:rPr>
          <w:rFonts w:ascii="Times New Roman" w:hAnsi="Times New Roman"/>
          <w:color w:val="000000"/>
          <w:sz w:val="24"/>
        </w:rPr>
        <w:t>Its: Managing Director</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5"/>
        </w:rPr>
      </w:pPr>
      <w:r>
        <w:rPr>
          <w:rFonts w:ascii="Times New Roman" w:hAnsi="Times New Roman"/>
          <w:color w:val="000000"/>
          <w:sz w:val="25"/>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3" w:name="flgt-ex21_1.htm"/>
      <w:bookmarkStart w:id="44" w:name="ksflgtex21_1"/>
      <w:bookmarkEnd w:id="43"/>
      <w:bookmarkEnd w:id="44"/>
      <w:r>
        <w:rPr>
          <w:rFonts w:ascii="Times New Roman" w:hAnsi="Times New Roman"/>
          <w:b/>
          <w:color w:val="000000"/>
          <w:sz w:val="22"/>
        </w:rPr>
        <w:t>Exhibit 21.1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SUBSIDIARIES OF FULGENT GENETICS, INC.</w:t>
      </w:r>
    </w:p>
    <w:p>
      <w:pPr>
        <w:pStyle w:val="TextBody"/>
        <w:bidi w:val="0"/>
        <w:jc w:val="center"/>
        <w:rPr/>
      </w:pPr>
      <w:r>
        <w:rPr/>
        <w:t> </w:t>
      </w:r>
    </w:p>
    <w:tbl>
      <w:tblPr>
        <w:tblW w:w="6313" w:type="dxa"/>
        <w:jc w:val="left"/>
        <w:tblInd w:w="0" w:type="dxa"/>
        <w:tblLayout w:type="fixed"/>
        <w:tblCellMar>
          <w:top w:w="28" w:type="dxa"/>
          <w:left w:w="28" w:type="dxa"/>
          <w:bottom w:w="28" w:type="dxa"/>
          <w:right w:w="28" w:type="dxa"/>
        </w:tblCellMar>
      </w:tblPr>
      <w:tblGrid>
        <w:gridCol w:w="3526"/>
        <w:gridCol w:w="146"/>
        <w:gridCol w:w="264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1" w:type="dxa"/>
            <w:tcBorders/>
            <w:vAlign w:val="center"/>
          </w:tcPr>
          <w:p>
            <w:pPr>
              <w:pStyle w:val="TableContents"/>
              <w:bidi w:val="0"/>
              <w:spacing w:before="0" w:after="283"/>
              <w:jc w:val="left"/>
              <w:rPr/>
            </w:pPr>
            <w:r>
              <w:rPr/>
              <w:t> </w:t>
            </w:r>
          </w:p>
        </w:tc>
      </w:tr>
      <w:tr>
        <w:trPr/>
        <w:tc>
          <w:tcPr>
            <w:tcW w:w="3526" w:type="dxa"/>
            <w:tcBorders>
              <w:bottom w:val="single" w:sz="6"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Name of Subsidiary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1"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ind w:left="0" w:right="0" w:firstLine="240"/>
              <w:jc w:val="left"/>
              <w:rPr>
                <w:rFonts w:ascii="Times New Roman" w:hAnsi="Times New Roman"/>
                <w:b/>
                <w:color w:val="000000"/>
                <w:sz w:val="16"/>
              </w:rPr>
            </w:pPr>
            <w:r>
              <w:rPr>
                <w:rFonts w:ascii="Times New Roman" w:hAnsi="Times New Roman"/>
                <w:b/>
                <w:color w:val="000000"/>
                <w:sz w:val="16"/>
              </w:rPr>
              <w:t>Incorporation or Organization</w:t>
            </w:r>
          </w:p>
        </w:tc>
      </w:tr>
      <w:tr>
        <w:trPr/>
        <w:tc>
          <w:tcPr>
            <w:tcW w:w="352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Fulgent Therapeutics LLC</w:t>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California</w:t>
            </w:r>
          </w:p>
        </w:tc>
      </w:tr>
      <w:tr>
        <w:trPr/>
        <w:tc>
          <w:tcPr>
            <w:tcW w:w="352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Fulgent Investment Development Limited</w:t>
            </w:r>
          </w:p>
        </w:tc>
        <w:tc>
          <w:tcPr>
            <w:tcW w:w="146" w:type="dxa"/>
            <w:tcBorders/>
            <w:vAlign w:val="center"/>
          </w:tcPr>
          <w:p>
            <w:pPr>
              <w:pStyle w:val="TableContents"/>
              <w:bidi w:val="0"/>
              <w:spacing w:before="0" w:after="283"/>
              <w:jc w:val="left"/>
              <w:rPr/>
            </w:pPr>
            <w:r>
              <w:rPr/>
              <w:t> </w:t>
            </w:r>
          </w:p>
        </w:tc>
        <w:tc>
          <w:tcPr>
            <w:tcW w:w="264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Hong Kong</w:t>
            </w:r>
          </w:p>
        </w:tc>
      </w:tr>
      <w:tr>
        <w:trPr/>
        <w:tc>
          <w:tcPr>
            <w:tcW w:w="352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Cytometry Specialists, Inc.</w:t>
            </w:r>
          </w:p>
        </w:tc>
        <w:tc>
          <w:tcPr>
            <w:tcW w:w="146" w:type="dxa"/>
            <w:tcBorders/>
            <w:vAlign w:val="center"/>
          </w:tcPr>
          <w:p>
            <w:pPr>
              <w:pStyle w:val="TableContents"/>
              <w:bidi w:val="0"/>
              <w:spacing w:before="0" w:after="283"/>
              <w:jc w:val="left"/>
              <w:rPr/>
            </w:pPr>
            <w:r>
              <w:rPr/>
              <w:t> </w:t>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Georgia</w:t>
            </w:r>
          </w:p>
        </w:tc>
      </w:tr>
      <w:tr>
        <w:trPr/>
        <w:tc>
          <w:tcPr>
            <w:tcW w:w="3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Inform Diagnostics, Inc</w:t>
            </w:r>
          </w:p>
        </w:tc>
        <w:tc>
          <w:tcPr>
            <w:tcW w:w="146" w:type="dxa"/>
            <w:tcBorders/>
            <w:vAlign w:val="center"/>
          </w:tcPr>
          <w:p>
            <w:pPr>
              <w:pStyle w:val="TableContents"/>
              <w:bidi w:val="0"/>
              <w:spacing w:before="0" w:after="283"/>
              <w:jc w:val="left"/>
              <w:rPr/>
            </w:pPr>
            <w:r>
              <w:rPr/>
              <w:t> </w:t>
            </w:r>
          </w:p>
        </w:tc>
        <w:tc>
          <w:tcPr>
            <w:tcW w:w="264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Delaware</w:t>
            </w:r>
          </w:p>
        </w:tc>
      </w:tr>
      <w:tr>
        <w:trPr/>
        <w:tc>
          <w:tcPr>
            <w:tcW w:w="352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Fulgent Pharma Holdings, Inc.</w:t>
            </w:r>
          </w:p>
        </w:tc>
        <w:tc>
          <w:tcPr>
            <w:tcW w:w="146" w:type="dxa"/>
            <w:tcBorders/>
            <w:vAlign w:val="center"/>
          </w:tcPr>
          <w:p>
            <w:pPr>
              <w:pStyle w:val="TableContents"/>
              <w:bidi w:val="0"/>
              <w:spacing w:before="0" w:after="283"/>
              <w:jc w:val="left"/>
              <w:rPr/>
            </w:pPr>
            <w:r>
              <w:rPr/>
              <w:t> </w:t>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flgt-ex23_1.htm"/>
      <w:bookmarkStart w:id="46" w:name="ksflgtex23_1"/>
      <w:bookmarkEnd w:id="45"/>
      <w:bookmarkEnd w:id="46"/>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Registration Statement Nos. 333-272048, 333-270135, 333-248962 and 333-213912 on Form S-8 of our reports dated February 28, 2024, relating to the financial statements of Fulgent Genetics, Inc. and effectiveness of Fulgent Genetics, Inc.’s internal control over financial reporting appearing in this Annual Report on Form 10-K for the year ended December 31, 2023.</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 DELOITTE &amp; TOUCHE LLP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Los Angeles, California</w:t>
      </w:r>
    </w:p>
    <w:p>
      <w:pPr>
        <w:pStyle w:val="TextBody"/>
        <w:bidi w:val="0"/>
        <w:jc w:val="left"/>
        <w:rPr>
          <w:rFonts w:ascii="Times New Roman" w:hAnsi="Times New Roman"/>
          <w:color w:val="000000"/>
          <w:sz w:val="20"/>
        </w:rPr>
      </w:pPr>
      <w:r>
        <w:rPr>
          <w:rFonts w:ascii="Times New Roman" w:hAnsi="Times New Roman"/>
          <w:color w:val="000000"/>
          <w:sz w:val="20"/>
        </w:rPr>
        <w:t>February 28,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flgt-ex31_1.htm"/>
      <w:bookmarkStart w:id="48" w:name="ksflgtex31_1"/>
      <w:bookmarkEnd w:id="47"/>
      <w:bookmarkEnd w:id="48"/>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Ming Hsieh,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for the fiscal year ended December 31, 2023 of Fulgent Genetics,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017" w:type="dxa"/>
        <w:jc w:val="left"/>
        <w:tblInd w:w="0" w:type="dxa"/>
        <w:tblLayout w:type="fixed"/>
        <w:tblCellMar>
          <w:top w:w="28" w:type="dxa"/>
          <w:left w:w="28" w:type="dxa"/>
          <w:bottom w:w="28" w:type="dxa"/>
          <w:right w:w="28" w:type="dxa"/>
        </w:tblCellMar>
      </w:tblPr>
      <w:tblGrid>
        <w:gridCol w:w="2086"/>
        <w:gridCol w:w="109"/>
        <w:gridCol w:w="406"/>
        <w:gridCol w:w="241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Ming Hsieh</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Ming Hsieh</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flgt-ex31_2.htm"/>
      <w:bookmarkStart w:id="50" w:name="ksflgtex31_2"/>
      <w:bookmarkEnd w:id="49"/>
      <w:bookmarkEnd w:id="50"/>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Paul Kim,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for the fiscal year ended December 31, 2023 of Fulgent Genetics,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 's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 's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247" w:type="dxa"/>
        <w:jc w:val="left"/>
        <w:tblInd w:w="0" w:type="dxa"/>
        <w:tblLayout w:type="fixed"/>
        <w:tblCellMar>
          <w:top w:w="28" w:type="dxa"/>
          <w:left w:w="28" w:type="dxa"/>
          <w:bottom w:w="28" w:type="dxa"/>
          <w:right w:w="28" w:type="dxa"/>
        </w:tblCellMar>
      </w:tblPr>
      <w:tblGrid>
        <w:gridCol w:w="2086"/>
        <w:gridCol w:w="109"/>
        <w:gridCol w:w="406"/>
        <w:gridCol w:w="364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Kim</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Kim</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flgt-ex32_1.htm"/>
      <w:bookmarkStart w:id="52" w:name="ksflgtex32_1"/>
      <w:bookmarkEnd w:id="51"/>
      <w:bookmarkEnd w:id="52"/>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for the fiscal year ended December 31, 2023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5054" w:type="dxa"/>
        <w:jc w:val="left"/>
        <w:tblInd w:w="0" w:type="dxa"/>
        <w:tblLayout w:type="fixed"/>
        <w:tblCellMar>
          <w:top w:w="28" w:type="dxa"/>
          <w:left w:w="28" w:type="dxa"/>
          <w:bottom w:w="28" w:type="dxa"/>
          <w:right w:w="28" w:type="dxa"/>
        </w:tblCellMar>
      </w:tblPr>
      <w:tblGrid>
        <w:gridCol w:w="2086"/>
        <w:gridCol w:w="146"/>
        <w:gridCol w:w="406"/>
        <w:gridCol w:w="24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Ming Hsieh</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Ming Hsieh</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284" w:type="dxa"/>
        <w:jc w:val="left"/>
        <w:tblInd w:w="0" w:type="dxa"/>
        <w:tblLayout w:type="fixed"/>
        <w:tblCellMar>
          <w:top w:w="28" w:type="dxa"/>
          <w:left w:w="28" w:type="dxa"/>
          <w:bottom w:w="28" w:type="dxa"/>
          <w:right w:w="28" w:type="dxa"/>
        </w:tblCellMar>
      </w:tblPr>
      <w:tblGrid>
        <w:gridCol w:w="2086"/>
        <w:gridCol w:w="146"/>
        <w:gridCol w:w="406"/>
        <w:gridCol w:w="364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Kim</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Kim</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hyperlink" Target="https://www.sec.gov/Archives/edgar/data/1674930/000119312516712712/d360404dex21.htm" TargetMode="External"/><Relationship Id="rId13" Type="http://schemas.openxmlformats.org/officeDocument/2006/relationships/hyperlink" Target="https://www.sec.gov/Archives/edgar/data/1674930/000119312516700733/d360404dex31.htm" TargetMode="External"/><Relationship Id="rId14" Type="http://schemas.openxmlformats.org/officeDocument/2006/relationships/hyperlink" Target="https://www.sec.gov/Archives/edgar/data/1674930/000119312516700733/d360404dex311.htm" TargetMode="External"/><Relationship Id="rId15" Type="http://schemas.openxmlformats.org/officeDocument/2006/relationships/hyperlink" Target="https://www.sec.gov/Archives/edgar/data/1674930/000156459017017670/flgt-ex312_342.htm" TargetMode="External"/><Relationship Id="rId16" Type="http://schemas.openxmlformats.org/officeDocument/2006/relationships/hyperlink" Target="https://www.sec.gov/Archives/edgar/data/1674930/000095017023038316/flgt-ex3_2.htm" TargetMode="External"/><Relationship Id="rId17" Type="http://schemas.openxmlformats.org/officeDocument/2006/relationships/hyperlink" Target="https://www.sec.gov/Archives/edgar/data/1674930/000119312516712712/d360404dex41.htm" TargetMode="External"/><Relationship Id="rId18" Type="http://schemas.openxmlformats.org/officeDocument/2006/relationships/hyperlink" Target="https://www.sec.gov/Archives/edgar/data/1674930/000119312516700733/d360404dex101.htm" TargetMode="External"/><Relationship Id="rId19" Type="http://schemas.openxmlformats.org/officeDocument/2006/relationships/hyperlink" Target="https://www.sec.gov/Archives/edgar/data/1674930/000119312516700733/d360404dex102.htm" TargetMode="External"/><Relationship Id="rId20" Type="http://schemas.openxmlformats.org/officeDocument/2006/relationships/hyperlink" Target="https://www.sec.gov/Archives/edgar/data/1674930/000119312516700733/d360404dex103.htm" TargetMode="External"/><Relationship Id="rId21" Type="http://schemas.openxmlformats.org/officeDocument/2006/relationships/hyperlink" Target="https://www.sec.gov/Archives/edgar/data/1674930/000119312516700733/d360404dex104.htm" TargetMode="External"/><Relationship Id="rId22" Type="http://schemas.openxmlformats.org/officeDocument/2006/relationships/hyperlink" Target="https://www.sec.gov/Archives/edgar/data/1674930/000119312516700733/d360404dex105.htm" TargetMode="External"/><Relationship Id="rId23" Type="http://schemas.openxmlformats.org/officeDocument/2006/relationships/hyperlink" Target="https://www.sec.gov/Archives/edgar/data/1674930/000119312516700733/d360404dex106.htm" TargetMode="External"/><Relationship Id="rId24" Type="http://schemas.openxmlformats.org/officeDocument/2006/relationships/hyperlink" Target="https://www.sec.gov/Archives/edgar/data/1674930/000119312516700733/d360404dex107.htm" TargetMode="External"/><Relationship Id="rId25" Type="http://schemas.openxmlformats.org/officeDocument/2006/relationships/hyperlink" Target="https://www.sec.gov/Archives/edgar/data/1674930/000156459017004681/flgt-ex108_234.htm" TargetMode="External"/><Relationship Id="rId26" Type="http://schemas.openxmlformats.org/officeDocument/2006/relationships/hyperlink" Target="https://www.sec.gov/Archives/edgar/data/1674930/000119312516700733/d360404dex109.htm" TargetMode="External"/><Relationship Id="rId27" Type="http://schemas.openxmlformats.org/officeDocument/2006/relationships/hyperlink" Target="https://www.sec.gov/Archives/edgar/data/1674930/000119312516700733/d360404dex1010.htm" TargetMode="External"/><Relationship Id="rId28" Type="http://schemas.openxmlformats.org/officeDocument/2006/relationships/hyperlink" Target="https://www.sec.gov/Archives/edgar/data/1674930/000119312516700733/d360404dex1011.htm" TargetMode="External"/><Relationship Id="rId29" Type="http://schemas.openxmlformats.org/officeDocument/2006/relationships/hyperlink" Target="https://www.sec.gov/Archives/edgar/data/1674930/000119312516700733/d360404dex1012.htm" TargetMode="External"/><Relationship Id="rId30" Type="http://schemas.openxmlformats.org/officeDocument/2006/relationships/hyperlink" Target="https://www.sec.gov/Archives/edgar/data/1674930/000119312516700733/d360404dex1013.htm" TargetMode="External"/><Relationship Id="rId31" Type="http://schemas.openxmlformats.org/officeDocument/2006/relationships/hyperlink" Target="https://www.sec.gov/Archives/edgar/data/0001674930/000119312516700733/d360404dex1014.htm" TargetMode="External"/><Relationship Id="rId32" Type="http://schemas.openxmlformats.org/officeDocument/2006/relationships/hyperlink" Target="https://www.sec.gov/Archives/edgar/data/1674930/000119312516700733/d360404dex1015.htm" TargetMode="External"/><Relationship Id="rId33" Type="http://schemas.openxmlformats.org/officeDocument/2006/relationships/hyperlink" Target="https://www.sec.gov/Archives/edgar/data/1674930/000119312516700733/d360404dex1016.htm" TargetMode="External"/><Relationship Id="rId34" Type="http://schemas.openxmlformats.org/officeDocument/2006/relationships/hyperlink" Target="https://www.sec.gov/Archives/edgar/data/1674930/000119312516700733/d360404dex1017.htm" TargetMode="External"/><Relationship Id="rId35" Type="http://schemas.openxmlformats.org/officeDocument/2006/relationships/hyperlink" Target="https://www.sec.gov/Archives/edgar/data/1674930/000119312516700733/d360404dex21.htm" TargetMode="External"/><Relationship Id="rId36" Type="http://schemas.openxmlformats.org/officeDocument/2006/relationships/hyperlink" Target="https://www.sec.gov/Archives/edgar/data/1674930/000156459018006239/flgt-ex1020_63.htm" TargetMode="External"/><Relationship Id="rId37" Type="http://schemas.openxmlformats.org/officeDocument/2006/relationships/hyperlink" Target="https://www.sec.gov/Archives/edgar/data/1674930/000156459017017670/flgt-ex101_346.htm" TargetMode="External"/><Relationship Id="rId38" Type="http://schemas.openxmlformats.org/officeDocument/2006/relationships/hyperlink" Target="https://www.sec.gov/Archives/edgar/data/1674930/000156459019033796/flgt-ex11_39.htm" TargetMode="External"/><Relationship Id="rId39" Type="http://schemas.openxmlformats.org/officeDocument/2006/relationships/hyperlink" Target="https://www.sec.gov/Archives/edgar/data/1674930/000156459019043443/flgt-ex11_203.htm" TargetMode="External"/><Relationship Id="rId40" Type="http://schemas.openxmlformats.org/officeDocument/2006/relationships/hyperlink" Target="https://www.sec.gov/Archives/edgar/data/1674930/000156459020036257/flgt-ex11_7.htm" TargetMode="External"/><Relationship Id="rId41" Type="http://schemas.openxmlformats.org/officeDocument/2006/relationships/hyperlink" Target="https://www.sec.gov/Archives/edgar/data/1674930/000156459020044576/flgt-ex11_6.htm" TargetMode="External"/><Relationship Id="rId42" Type="http://schemas.openxmlformats.org/officeDocument/2006/relationships/hyperlink" Target="https://www.sec.gov/Archives/edgar/data/1674930/000156459020054804/flgt-ex11_7.htm" TargetMode="External"/><Relationship Id="rId43" Type="http://schemas.openxmlformats.org/officeDocument/2006/relationships/hyperlink" Target="https://www.sec.gov/Archives/edgar/data/1674930/000156459018014078/flgt-ex101_54.htm" TargetMode="External"/><Relationship Id="rId44" Type="http://schemas.openxmlformats.org/officeDocument/2006/relationships/hyperlink" Target="https://www.sec.gov/Archives/edgar/data/1674930/000156459020043892/flgt-ex101_6.htm" TargetMode="External"/><Relationship Id="rId45" Type="http://schemas.openxmlformats.org/officeDocument/2006/relationships/hyperlink" Target="https://www.sec.gov/Archives/edgar/data/1674930/000156459020047097/flgt-ex21_6.htm" TargetMode="External"/><Relationship Id="rId46" Type="http://schemas.openxmlformats.org/officeDocument/2006/relationships/hyperlink" Target="https://www.sec.gov/Archives/edgar/data/1674930/000156459020052530/flgt-ex102_9.htm" TargetMode="External"/><Relationship Id="rId47" Type="http://schemas.openxmlformats.org/officeDocument/2006/relationships/hyperlink" Target="https://www.sec.gov/Archives/edgar/data/1674930/000156459021011526/flgt-ex1037_91.htm" TargetMode="External"/><Relationship Id="rId48" Type="http://schemas.openxmlformats.org/officeDocument/2006/relationships/hyperlink" Target="https://www.sec.gov/Archives/edgar/data/1674930/000156459021011526/flgt-ex1038_92.htm" TargetMode="External"/><Relationship Id="rId49" Type="http://schemas.openxmlformats.org/officeDocument/2006/relationships/hyperlink" Target="https://www.sec.gov/Archives/edgar/data/1674930/000156459021025554/flgt-ex101_24.htm" TargetMode="External"/><Relationship Id="rId50" Type="http://schemas.openxmlformats.org/officeDocument/2006/relationships/hyperlink" Target="https://www.sec.gov/Archives/edgar/data/1674930/000156459021042834/flgt-ex101_40.htm" TargetMode="External"/><Relationship Id="rId51" Type="http://schemas.openxmlformats.org/officeDocument/2006/relationships/hyperlink" Target="https://www.sec.gov/Archives/edgar/data/1674930/000156459022007366/flgt-ex1041_29.htm" TargetMode="External"/><Relationship Id="rId52" Type="http://schemas.openxmlformats.org/officeDocument/2006/relationships/hyperlink" Target="https://www.sec.gov/Archives/edgar/data/1674930/000156459022012215/flgt-ex101_7.htm" TargetMode="External"/><Relationship Id="rId53" Type="http://schemas.openxmlformats.org/officeDocument/2006/relationships/hyperlink" Target="https://www.sec.gov/Archives/edgar/data/1674930/000156459022015730/flgt-ex21_7.htm" TargetMode="External"/><Relationship Id="rId54" Type="http://schemas.openxmlformats.org/officeDocument/2006/relationships/hyperlink" Target="https://www.sec.gov/Archives/edgar/data/1674930/000095017022022661/flgt-ex10_1.htm" TargetMode="External"/><Relationship Id="rId55" Type="http://schemas.openxmlformats.org/officeDocument/2006/relationships/hyperlink" Target="https://www.sec.gov/Archives/edgar/data/1674930/000095017022022661/flgt-ex10_2.htm" TargetMode="External"/><Relationship Id="rId56" Type="http://schemas.openxmlformats.org/officeDocument/2006/relationships/hyperlink" Target="https://www.sec.gov/Archives/edgar/data/1674930/000095017022022661/flgt-ex10_3.htm" TargetMode="External"/><Relationship Id="rId57" Type="http://schemas.openxmlformats.org/officeDocument/2006/relationships/hyperlink" Target="https://www.sec.gov/Archives/edgar/data/1674930/000095017023005178/flgt-ex10_48.htm" TargetMode="External"/><Relationship Id="rId58" Type="http://schemas.openxmlformats.org/officeDocument/2006/relationships/hyperlink" Target="https://www.sec.gov/Archives/edgar/data/1674930/000095017023005178/flgt-ex10_49.htm" TargetMode="External"/><Relationship Id="rId59" Type="http://schemas.openxmlformats.org/officeDocument/2006/relationships/hyperlink" Target="https://www.sec.gov/Archives/edgar/data/1674930/000095017023005178/flgt-ex10_49.htm" TargetMode="External"/><Relationship Id="rId60" Type="http://schemas.openxmlformats.org/officeDocument/2006/relationships/hyperlink" Target="https://www.sec.gov/Archives/edgar/data/1674930/000095017023005178/flgt-ex10_50.htm" TargetMode="External"/><Relationship Id="rId61" Type="http://schemas.openxmlformats.org/officeDocument/2006/relationships/hyperlink" Target="https://www.sec.gov/Archives/edgar/data/1674930/000095017023005178/flgt-ex10_51.htm" TargetMode="External"/><Relationship Id="rId62" Type="http://schemas.openxmlformats.org/officeDocument/2006/relationships/hyperlink" Target="https://www.sec.gov/Archives/edgar/data/1674930/000095017023005178/flgt-ex10_52.htm" TargetMode="External"/><Relationship Id="rId63" Type="http://schemas.openxmlformats.org/officeDocument/2006/relationships/hyperlink" Target="https://www.sec.gov/Archives/edgar/data/1674930/000095017023018079/flgt-ex10_1.htm" TargetMode="External"/><Relationship Id="rId64" Type="http://schemas.openxmlformats.org/officeDocument/2006/relationships/hyperlink" Target="https://www.sec.gov/Archives/edgar/data/1674930/000095017023018079/flgt-ex10_3.htm" TargetMode="External"/><Relationship Id="rId65" Type="http://schemas.openxmlformats.org/officeDocument/2006/relationships/hyperlink" Target="https://www.sec.gov/Archives/edgar/data/1674930/000095017023023014/flgt-ex10_1.htm" TargetMode="External"/><Relationship Id="rId66" Type="http://schemas.openxmlformats.org/officeDocument/2006/relationships/hyperlink" Target="https://www.sec.gov/Archives/edgar/data/1674930/000095017023058512/flgt-ex10_2.htm" TargetMode="External"/><Relationship Id="rId67" Type="http://schemas.openxmlformats.org/officeDocument/2006/relationships/hyperlink" Target="https://www.sec.gov/Archives/edgar/data/1674930/000095017023058512/flgt-ex10_1.htm" TargetMode="External"/><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96473</Words>
  <Characters>541442</Characters>
  <CharactersWithSpaces>638559</CharactersWithSpaces>
  <Paragraphs>11443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