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333-233227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Prospectus dated August 23, 2019)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$22,500,000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89535</wp:posOffset>
            </wp:positionV>
            <wp:extent cx="157797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97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12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We have entered into an equity distribution agreement, dated August 30, 2019, or the Equity Distribution Agreement, with Piper Jaffray &amp; Co., or Piper Jaffray, relating to shares of our common stock, par value $0.0001 per share, offered by this prospectus supplement and the accompanying prospectus. In accordance with the terms of the Equity Distribution Agreement, we may offer and sell shares of our common stock having an aggregate offering price of up to $30.0 million from time to time through Piper Jaffray. This prospectus supplement is offering only $22.5 million in shares of our common stock. We will be required to file another prospectus supplement in the event that we want to offer more than $22.5 million in shares of our common stock in accordance with the terms of the Equity Distribution Agreement.</w:t>
      </w:r>
    </w:p>
    <w:p>
      <w:pPr>
        <w:spacing w:after="0" w:line="85" w:lineRule="exact"/>
        <w:rPr>
          <w:sz w:val="24"/>
          <w:szCs w:val="24"/>
          <w:color w:val="auto"/>
        </w:rPr>
      </w:pPr>
    </w:p>
    <w:p>
      <w:pPr>
        <w:ind w:right="40"/>
        <w:spacing w:after="0" w:line="302" w:lineRule="auto"/>
        <w:rPr>
          <w:sz w:val="20"/>
          <w:szCs w:val="20"/>
          <w:color w:val="auto"/>
        </w:rPr>
      </w:pPr>
      <w:r>
        <w:rPr>
          <w:rFonts w:ascii="Arial" w:cs="Arial" w:eastAsia="Arial" w:hAnsi="Arial"/>
          <w:sz w:val="16"/>
          <w:szCs w:val="16"/>
          <w:color w:val="auto"/>
        </w:rPr>
        <w:t>Pursuant to General Instruction I.B.6 of Form S-3, in no event will we sell our common stock registered on the registration statement of which this prospectus supplement forms a part in a public primary offering with a value exceeding more than one-third of our public float in any 12-month period so long as our public float remains below $75.0 million, as measured in accordance with General Instruction I.B.6 of Form S-3. We have not offered any securities pursuant to General Instruction I.B.6 of Form S-3 during the 12 calendar months prior to and including the date of this prospectus supplement.</w:t>
      </w:r>
    </w:p>
    <w:p>
      <w:pPr>
        <w:spacing w:after="0" w:line="46"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Our common stock is currently listed on The Nasdaq Global Market, or Nasdaq, under the symbol “FLGT.” On August 27, 2019, the last sale price of our common stock reported on Nasdaq was $12.38 per share.</w:t>
      </w:r>
    </w:p>
    <w:p>
      <w:pPr>
        <w:spacing w:after="0" w:line="62" w:lineRule="exact"/>
        <w:rPr>
          <w:sz w:val="24"/>
          <w:szCs w:val="24"/>
          <w:color w:val="auto"/>
        </w:rPr>
      </w:pPr>
    </w:p>
    <w:p>
      <w:pPr>
        <w:ind w:right="60"/>
        <w:spacing w:after="0" w:line="257" w:lineRule="auto"/>
        <w:rPr>
          <w:sz w:val="20"/>
          <w:szCs w:val="20"/>
          <w:color w:val="auto"/>
        </w:rPr>
      </w:pPr>
      <w:r>
        <w:rPr>
          <w:rFonts w:ascii="Arial" w:cs="Arial" w:eastAsia="Arial" w:hAnsi="Arial"/>
          <w:sz w:val="18"/>
          <w:szCs w:val="18"/>
          <w:color w:val="auto"/>
        </w:rPr>
        <w:t>Sales of our common stock, if any, under this prospectus supplement and the accompanying base prospectus may be made in sales deemed to be “at the market equity offerings” as defined in Rule 415 promulgated under the Securities Act of 1933, as amended, or the Securities Act. Piper Jaffray is not required to sell any specific number or dollar amount of our common stock, but will act as a sales agent using commercially reasonable efforts consistent with its normal trading and sales practices, on mutually agreed terms between Piper Jaffray and us. There is no arrangement for funds to be received in any escrow, trust or similar arrangement.</w:t>
      </w:r>
    </w:p>
    <w:p>
      <w:pPr>
        <w:spacing w:after="0" w:line="80" w:lineRule="exact"/>
        <w:rPr>
          <w:sz w:val="24"/>
          <w:szCs w:val="24"/>
          <w:color w:val="auto"/>
        </w:rPr>
      </w:pPr>
    </w:p>
    <w:p>
      <w:pPr>
        <w:ind w:right="160"/>
        <w:spacing w:after="0" w:line="276" w:lineRule="auto"/>
        <w:rPr>
          <w:sz w:val="20"/>
          <w:szCs w:val="20"/>
          <w:color w:val="auto"/>
        </w:rPr>
      </w:pPr>
      <w:r>
        <w:rPr>
          <w:rFonts w:ascii="Arial" w:cs="Arial" w:eastAsia="Arial" w:hAnsi="Arial"/>
          <w:sz w:val="17"/>
          <w:szCs w:val="17"/>
          <w:color w:val="auto"/>
        </w:rPr>
        <w:t>The compensation to Piper Jaffray for sales of common stock sold pursuant to the Equity Distribution Agreement will be an amount of up to 3.0% of the gross proceeds of any shares of common stock sold thereunder. In connection with the sale of the common stock on our behalf, Piper Jaffray will be deemed to be an “underwriter” within the meaning of the Securities Act, and the compensation of Piper Jaffray will be deemed to be underwriting commissions or discounts. We have also agreed to provide indemnification and contribution to Piper Jaffray with respect to certain liabilities, including liabilities under the Securities Act or the Securities Exchange Act of 1934, as amended, or the Exchange Act.</w:t>
      </w:r>
    </w:p>
    <w:p>
      <w:pPr>
        <w:spacing w:after="0" w:line="60" w:lineRule="exact"/>
        <w:rPr>
          <w:sz w:val="24"/>
          <w:szCs w:val="24"/>
          <w:color w:val="auto"/>
        </w:rPr>
      </w:pPr>
    </w:p>
    <w:p>
      <w:pPr>
        <w:ind w:right="80" w:firstLine="41"/>
        <w:spacing w:after="0" w:line="266" w:lineRule="auto"/>
        <w:rPr>
          <w:sz w:val="20"/>
          <w:szCs w:val="20"/>
          <w:color w:val="auto"/>
        </w:rPr>
      </w:pPr>
      <w:r>
        <w:rPr>
          <w:rFonts w:ascii="Arial" w:cs="Arial" w:eastAsia="Arial" w:hAnsi="Arial"/>
          <w:sz w:val="18"/>
          <w:szCs w:val="18"/>
          <w:b w:val="1"/>
          <w:bCs w:val="1"/>
          <w:color w:val="auto"/>
        </w:rPr>
        <w:t>Investing in our common stock involves a high degree of risk. You should review carefully the risks and uncertainties described under the heading “Risk Factors” on page S-6 of this prospectus supplement, and under similar headings in the documents that are incorporated by reference into this prospectus supplement and the accompanying prospectus.</w:t>
      </w:r>
    </w:p>
    <w:p>
      <w:pPr>
        <w:spacing w:after="0" w:line="68" w:lineRule="exact"/>
        <w:rPr>
          <w:sz w:val="24"/>
          <w:szCs w:val="24"/>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Neither the Securities and Exchange Commission, or the SEC, nor any state securities commission has approved or disapproved of these securities, or passed upon the adequacy or accuracy of this prospectus supplement and the accompanying prospectus. Any representation to the contrary is a criminal offense.</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Piper Jaffray</w:t>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August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gridSpan w:val="6"/>
          </w:tcPr>
          <w:p>
            <w:pPr>
              <w:ind w:left="94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17"/>
                <w:szCs w:val="17"/>
                <w:color w:val="auto"/>
              </w:rPr>
            </w:pPr>
          </w:p>
        </w:tc>
      </w:tr>
      <w:tr>
        <w:trPr>
          <w:trHeight w:val="439"/>
        </w:trPr>
        <w:tc>
          <w:tcPr>
            <w:tcW w:w="4760" w:type="dxa"/>
            <w:vAlign w:val="bottom"/>
            <w:gridSpan w:val="20"/>
          </w:tcPr>
          <w:p>
            <w:pPr>
              <w:spacing w:after="0"/>
              <w:rPr>
                <w:sz w:val="20"/>
                <w:szCs w:val="20"/>
                <w:color w:val="auto"/>
              </w:rPr>
            </w:pPr>
            <w:r>
              <w:rPr>
                <w:rFonts w:ascii="Arial" w:cs="Arial" w:eastAsia="Arial" w:hAnsi="Arial"/>
                <w:sz w:val="18"/>
                <w:szCs w:val="18"/>
                <w:b w:val="1"/>
                <w:bCs w:val="1"/>
                <w:color w:val="auto"/>
              </w:rPr>
              <w:t>PROSPECTUS SUPPLEMENT</w:t>
            </w:r>
          </w:p>
        </w:tc>
        <w:tc>
          <w:tcPr>
            <w:tcW w:w="1920" w:type="dxa"/>
            <w:vAlign w:val="bottom"/>
            <w:tcBorders>
              <w:top w:val="single" w:sz="8" w:color="auto"/>
            </w:tcBorders>
            <w:gridSpan w:val="4"/>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92"/>
        </w:trPr>
        <w:tc>
          <w:tcPr>
            <w:tcW w:w="88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33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PROSPECTUS SUPPLEMENT SUMMARY</w:t>
              </w:r>
            </w:hyperlink>
          </w:p>
        </w:tc>
        <w:tc>
          <w:tcPr>
            <w:tcW w:w="140" w:type="dxa"/>
            <w:vAlign w:val="bottom"/>
            <w:tcBorders>
              <w:top w:val="single" w:sz="8" w:color="0000EE"/>
            </w:tcBorders>
          </w:tcPr>
          <w:p>
            <w:pPr>
              <w:spacing w:after="0"/>
              <w:rPr>
                <w:sz w:val="17"/>
                <w:szCs w:val="17"/>
                <w:color w:val="auto"/>
              </w:rPr>
            </w:pPr>
          </w:p>
        </w:tc>
        <w:tc>
          <w:tcPr>
            <w:tcW w:w="5440" w:type="dxa"/>
            <w:vAlign w:val="bottom"/>
            <w:gridSpan w:val="8"/>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8880" w:type="dxa"/>
            <w:vAlign w:val="bottom"/>
            <w:gridSpan w:val="2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THE OFFERING</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7600" w:type="dxa"/>
            <w:vAlign w:val="bottom"/>
            <w:gridSpan w:val="21"/>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8880" w:type="dxa"/>
            <w:vAlign w:val="bottom"/>
            <w:gridSpan w:val="2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SPECIAL NOTE REGARDING FORWARD-LOOKING STATEMENTS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53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3540" w:type="dxa"/>
            <w:vAlign w:val="bottom"/>
            <w:gridSpan w:val="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880" w:type="dxa"/>
            <w:vAlign w:val="bottom"/>
            <w:gridSpan w:val="2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DIVIDEND POLICY</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15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DILUTION</w:t>
              </w:r>
            </w:hyperlink>
          </w:p>
        </w:tc>
        <w:tc>
          <w:tcPr>
            <w:tcW w:w="7300" w:type="dxa"/>
            <w:vAlign w:val="bottom"/>
            <w:gridSpan w:val="19"/>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PLAN OF DISTRIBUTION</w:t>
              </w:r>
            </w:hyperlink>
          </w:p>
        </w:tc>
        <w:tc>
          <w:tcPr>
            <w:tcW w:w="6820" w:type="dxa"/>
            <w:vAlign w:val="bottom"/>
            <w:gridSpan w:val="17"/>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8880" w:type="dxa"/>
            <w:vAlign w:val="bottom"/>
            <w:gridSpan w:val="2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LEGAL MATTERS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7420" w:type="dxa"/>
            <w:vAlign w:val="bottom"/>
            <w:gridSpan w:val="20"/>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r>
      <w:tr>
        <w:trPr>
          <w:trHeight w:val="196"/>
        </w:trPr>
        <w:tc>
          <w:tcPr>
            <w:tcW w:w="8880" w:type="dxa"/>
            <w:vAlign w:val="bottom"/>
            <w:gridSpan w:val="2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WHERE YOU CAN FIND MORE INFORMATION</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880" w:type="dxa"/>
            <w:vAlign w:val="bottom"/>
            <w:gridSpan w:val="2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INCORPORATION OF CERTAIN INFORMATION BY REFERENCE</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r>
      <w:tr>
        <w:trPr>
          <w:trHeight w:val="453"/>
        </w:trPr>
        <w:tc>
          <w:tcPr>
            <w:tcW w:w="5180" w:type="dxa"/>
            <w:vAlign w:val="bottom"/>
            <w:tcBorders>
              <w:top w:val="single" w:sz="8" w:color="0000EE"/>
            </w:tcBorders>
            <w:gridSpan w:val="21"/>
          </w:tcPr>
          <w:p>
            <w:pPr>
              <w:spacing w:after="0"/>
              <w:rPr>
                <w:sz w:val="20"/>
                <w:szCs w:val="20"/>
                <w:color w:val="auto"/>
              </w:rPr>
            </w:pPr>
            <w:r>
              <w:rPr>
                <w:rFonts w:ascii="Arial" w:cs="Arial" w:eastAsia="Arial" w:hAnsi="Arial"/>
                <w:sz w:val="18"/>
                <w:szCs w:val="18"/>
                <w:b w:val="1"/>
                <w:bCs w:val="1"/>
                <w:color w:val="auto"/>
              </w:rPr>
              <w:t>PROSPECTUS</w:t>
            </w:r>
          </w:p>
        </w:tc>
        <w:tc>
          <w:tcPr>
            <w:tcW w:w="3700" w:type="dxa"/>
            <w:vAlign w:val="bottom"/>
            <w:gridSpan w:val="4"/>
          </w:tcPr>
          <w:p>
            <w:pPr>
              <w:spacing w:after="0"/>
              <w:rPr>
                <w:sz w:val="24"/>
                <w:szCs w:val="24"/>
                <w:color w:val="auto"/>
              </w:rPr>
            </w:pPr>
          </w:p>
        </w:tc>
        <w:tc>
          <w:tcPr>
            <w:tcW w:w="2560" w:type="dxa"/>
            <w:vAlign w:val="bottom"/>
          </w:tcPr>
          <w:p>
            <w:pPr>
              <w:spacing w:after="0"/>
              <w:rPr>
                <w:sz w:val="24"/>
                <w:szCs w:val="24"/>
                <w:color w:val="auto"/>
              </w:rPr>
            </w:pPr>
          </w:p>
        </w:tc>
      </w:tr>
      <w:tr>
        <w:trPr>
          <w:trHeight w:val="392"/>
        </w:trPr>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ABOUT THIS PROSPECTUS</w:t>
              </w:r>
            </w:hyperlink>
          </w:p>
        </w:tc>
        <w:tc>
          <w:tcPr>
            <w:tcW w:w="6640" w:type="dxa"/>
            <w:vAlign w:val="bottom"/>
            <w:gridSpan w:val="14"/>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1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PROSPECTUS SUMMARY</w:t>
              </w:r>
            </w:hyperlink>
          </w:p>
        </w:tc>
        <w:tc>
          <w:tcPr>
            <w:tcW w:w="6780" w:type="dxa"/>
            <w:vAlign w:val="bottom"/>
            <w:gridSpan w:val="1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RISK FACTORS</w:t>
              </w:r>
            </w:hyperlink>
          </w:p>
        </w:tc>
        <w:tc>
          <w:tcPr>
            <w:tcW w:w="7620" w:type="dxa"/>
            <w:vAlign w:val="bottom"/>
            <w:gridSpan w:val="2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52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RATIO OF EARNINGS TO FIXED CHARGES</w:t>
              </w:r>
            </w:hyperlink>
          </w:p>
        </w:tc>
        <w:tc>
          <w:tcPr>
            <w:tcW w:w="5360" w:type="dxa"/>
            <w:vAlign w:val="bottom"/>
            <w:gridSpan w:val="7"/>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880" w:type="dxa"/>
            <w:vAlign w:val="bottom"/>
            <w:gridSpan w:val="2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SPECIAL NOTE REGARDING FORWARD-LOOKING STATEMENTS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53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3540" w:type="dxa"/>
            <w:vAlign w:val="bottom"/>
            <w:gridSpan w:val="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PLAN OF DISTRIBUTION</w:t>
              </w:r>
            </w:hyperlink>
          </w:p>
        </w:tc>
        <w:tc>
          <w:tcPr>
            <w:tcW w:w="6820" w:type="dxa"/>
            <w:vAlign w:val="bottom"/>
            <w:gridSpan w:val="17"/>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DESCRIPTION OF CAPITAL STOCK</w:t>
              </w:r>
            </w:hyperlink>
          </w:p>
        </w:tc>
        <w:tc>
          <w:tcPr>
            <w:tcW w:w="6000" w:type="dxa"/>
            <w:vAlign w:val="bottom"/>
            <w:gridSpan w:val="11"/>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0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DESCRIPTION OF DEBT SECURITIES</w:t>
              </w:r>
            </w:hyperlink>
          </w:p>
        </w:tc>
        <w:tc>
          <w:tcPr>
            <w:tcW w:w="5840" w:type="dxa"/>
            <w:vAlign w:val="bottom"/>
            <w:gridSpan w:val="10"/>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8880" w:type="dxa"/>
            <w:vAlign w:val="bottom"/>
            <w:gridSpan w:val="2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WARRANTS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RIGHTS</w:t>
              </w:r>
            </w:hyperlink>
          </w:p>
        </w:tc>
        <w:tc>
          <w:tcPr>
            <w:tcW w:w="6400" w:type="dxa"/>
            <w:vAlign w:val="bottom"/>
            <w:gridSpan w:val="1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140" w:type="dxa"/>
            <w:vAlign w:val="bottom"/>
            <w:tcBorders>
              <w:top w:val="single" w:sz="8" w:color="0000EE"/>
            </w:tcBorders>
            <w:gridSpan w:val="10"/>
          </w:tcPr>
          <w:p>
            <w:pPr>
              <w:spacing w:after="0" w:line="196"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DESCRIPTION OF UNITS</w:t>
              </w:r>
            </w:hyperlink>
          </w:p>
        </w:tc>
        <w:tc>
          <w:tcPr>
            <w:tcW w:w="6740" w:type="dxa"/>
            <w:vAlign w:val="bottom"/>
            <w:gridSpan w:val="15"/>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0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6860" w:type="dxa"/>
            <w:vAlign w:val="bottom"/>
            <w:gridSpan w:val="18"/>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7420" w:type="dxa"/>
            <w:vAlign w:val="bottom"/>
            <w:gridSpan w:val="20"/>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8880" w:type="dxa"/>
            <w:vAlign w:val="bottom"/>
            <w:gridSpan w:val="2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360" w:type="dxa"/>
            <w:vAlign w:val="bottom"/>
            <w:gridSpan w:val="12"/>
            <w:shd w:val="clear" w:color="auto" w:fill="0000EE"/>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880" w:type="dxa"/>
            <w:vAlign w:val="bottom"/>
            <w:gridSpan w:val="2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INCORPORATION OF CERTAIN INFORMATION BY REFERENCE</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360" w:type="dxa"/>
            <w:vAlign w:val="bottom"/>
            <w:gridSpan w:val="12"/>
            <w:shd w:val="clear" w:color="auto" w:fill="0000EE"/>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DISCLOSURE OF COMMISSION POSITION ON INDEMNIFICATION FOR</w:t>
              </w:r>
            </w:hyperlink>
          </w:p>
        </w:tc>
        <w:tc>
          <w:tcPr>
            <w:tcW w:w="3080" w:type="dxa"/>
            <w:vAlign w:val="bottom"/>
            <w:gridSpan w:val="2"/>
          </w:tcPr>
          <w:p>
            <w:pPr>
              <w:spacing w:after="0"/>
              <w:rPr>
                <w:sz w:val="17"/>
                <w:szCs w:val="17"/>
                <w:color w:val="auto"/>
              </w:rPr>
            </w:pPr>
          </w:p>
        </w:tc>
        <w:tc>
          <w:tcPr>
            <w:tcW w:w="2560" w:type="dxa"/>
            <w:vAlign w:val="bottom"/>
          </w:tcPr>
          <w:p>
            <w:pPr>
              <w:spacing w:after="0"/>
              <w:rPr>
                <w:sz w:val="17"/>
                <w:szCs w:val="17"/>
                <w:color w:val="auto"/>
              </w:rPr>
            </w:pPr>
          </w:p>
        </w:tc>
      </w:tr>
      <w:tr>
        <w:trPr>
          <w:trHeight w:val="196"/>
        </w:trPr>
        <w:tc>
          <w:tcPr>
            <w:tcW w:w="8880" w:type="dxa"/>
            <w:vAlign w:val="bottom"/>
            <w:gridSpan w:val="2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SECURITIES ACT LIABILITY</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000"/>
        </w:trPr>
        <w:tc>
          <w:tcPr>
            <w:tcW w:w="78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7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document part of a “shelf” registration statement on Form S-3 (File No. 333-233227) that we filed with the SEC, and is in two parts. The first part is this prospectus supplement, which describes the specific terms of this offering of common shares and also adds to and updates information contained in the accompanying prospectus and the documents incorporated by reference into this prospectus supplement and the accompanying prospectus. The second part, the accompanying prospectus dated August 23, 2019, including the documents incorporated by reference into it, provides more general information. Generally, when we refer to this “prospectus,” we are referring to both parts of this document combined.</w:t>
      </w:r>
    </w:p>
    <w:p>
      <w:pPr>
        <w:spacing w:after="0" w:line="11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This prospectus supplement relates only to an offering of up to $22.5 million of shares of our common stock through Piper Jaffray. These sales, if any, will be made pursuant to the terms of the Equity Distribution Agreement, a copy of which is incorporated by reference into this prospectus supplement.</w:t>
      </w:r>
    </w:p>
    <w:p>
      <w:pPr>
        <w:spacing w:after="0" w:line="9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Before you invest, you should carefully read this prospectus supplement, the accompanying prospectus, all information incorporated by reference herein and the additional information described under “Where You Can Find More Information” and “Incorporation of Certain Information by Reference.” These documents contain information you should consider when making your investment decision. To the extent that any statement that we make in this prospectus supplement and the accompanying prospectus is inconsistent with statements made the accompanying prospectus or in any documents incorporated by reference, the statements made in this prospectus supplement will be deemed to modify or supersede those made in such documents incorporated by reference; however, if any statement in one of these documents is inconsistent with a statement in another document having a later date and that is incorporated by reference herein, the statement in the document having the later date modifies or supersedes the earlier statement.</w:t>
      </w:r>
    </w:p>
    <w:p>
      <w:pPr>
        <w:spacing w:after="0" w:line="11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the registration statement to which the accompanying prospectus forms a part or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the accompanying prospectus, the documents incorporated by reference herein and any free writing prospectus we provide you. We have not, and Piper Jaffray has not, authorized anyone to provide you with different information. If anyone provides you with different or inconsistent information, you should not rely on it. You should assume that the information appearing in this prospectus supplement, the accompanying prospectus, the documents incorporated by reference herein and any free writing prospectus we provide you is accurate only as of the date on those respective documents. Our business, financial condition, results of operations and prospects may have changed since those dates. You should read this prospectus supplement, the accompanying prospectus, including the documents incorporated by reference herein, when making your investment decision. You should also read and consider the information in the documents we have referred you to in the sections of this prospectus supplement and the accompanying prospectus entitled “Where You Can Find More Information” and “Incorporation of Certain Information by Reference.” The distribution of this prospectus supplement and the accompanying prospectus and the offering of the common stock in certain jurisdictions may be restricted by law. Persons outside the United States, or the U.S.,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U.S. This prospectus supplement and the accompanying prospectus does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1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Unless otherwise indicated, information contained in this prospectus supplement, the accompanying prospectus or the documents incorporated by reference herein concerning our industry and the markets in which we operate,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spacing w:after="0" w:line="289" w:lineRule="auto"/>
        <w:rPr>
          <w:sz w:val="20"/>
          <w:szCs w:val="20"/>
          <w:color w:val="auto"/>
        </w:rPr>
      </w:pPr>
      <w:r>
        <w:rPr>
          <w:rFonts w:ascii="Arial" w:cs="Arial" w:eastAsia="Arial" w:hAnsi="Arial"/>
          <w:sz w:val="16"/>
          <w:szCs w:val="16"/>
          <w:color w:val="auto"/>
        </w:rPr>
        <w:t>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subject to a high degree of uncertainty and risk due to a variety of factors, including those described in “Risk Factors” in this prospectus supplement, and the accompanying prospectus, in our Annual Report on Form 10-K for the fiscal year ended December 31, 2018, as filed with the Securities and Exchange Commission, or SEC, on March 22, 2019 and our Quarterly Reports on Form 10-Q for the quarter ended March 31, 2019, filed with the SEC on May 10, 2019, and for the quarter ended June 30, 2019, filed with the SEC on August 12, 2019, which are incorporated by reference into this prospectus supplement. These and other important factors could cause our future performance to differ materially from our assumptions and estimates. See “Special Note Regarding Forward-Looking Statements.”</w:t>
      </w:r>
    </w:p>
    <w:p>
      <w:pPr>
        <w:spacing w:after="0" w:line="11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Our trademarks include, without limitation, our name and corporate logo. Other service marks, trademarks and trade names contained in this prospectus supplement, the accompanying prospectus or the documents incorporated by reference herein and therein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3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994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7994650"/>
                    </a:xfrm>
                    <a:prstGeom prst="rect">
                      <a:avLst/>
                    </a:prstGeom>
                    <a:noFill/>
                  </pic:spPr>
                </pic:pic>
              </a:graphicData>
            </a:graphic>
          </wp:anchor>
        </w:drawing>
        <w:t>PROSPECTUS SUPPLEMENT SUMMARY</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and the accompanying prospectus, including the information incorporated by reference into this prospectus supplement and the accompanying prospectus, and the information referred to under the heading “Risk Factors” in this prospectus supplement on page S-6 and in the documents incorporated by reference into this prospectus supplement and the accompanying prospectus.</w:t>
      </w:r>
    </w:p>
    <w:p>
      <w:pPr>
        <w:spacing w:after="0" w:line="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Unless the context indicates otherwise, as used in this prospectus, the terms “Fulgent Genetics,” “Fulgent,” “the Company,” “we,” “us” and “our” refer to Fulgent Genetics, Inc., a Delaware corporation, and its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Fulgent Genetics, Inc.</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Fulgent is a growing technology company offering comprehensive genetic testing and providing physicians with clinically actionable diagnostic information they can use to improve the quality of patient care. We have developed a proprietary technology platform that allows us to offer a broad and flexible test menu and continually expand and improve our proprietary genetic reference library, while maintaining accessible pricing, high accuracy and competitive turnaround times. Combining next generation sequencing, or NGS, with our technology platform, we perform full-gene sequencing with deletion/duplication analysis in single-gene tests; pre-established, multi-gene, disease-specific panels; and customized panels that can be tailored to meet specific customer needs. We believe our test menu offers more genes for testing than our competitors in today’s market, which enables us to provide expansive options for test customization and clinically actionable results. After launching our first commercial genetic tests in 2013 and as of August 2019, we have expanded our test menu to include approximately 18,000 single-gene tests and more than 800 panels that collectively test for approximately 7,700 genetic conditions, including various cancers, cardiovascular diseases, neurological disorders and pediatric conditions. A cornerstone of our business is our ability to provide expansive options and flexibility for all clients’ unique genetic testing needs.</w:t>
      </w:r>
    </w:p>
    <w:p>
      <w:pPr>
        <w:spacing w:after="0" w:line="18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Genetic testing offers the possibility of early identification of a disease or a genetic predisposition to a disease and enhanced disease treatment and prognosis. As a result, we believe widespread genetic testing could enable significant health improvements and healthcare cost reductions by providing patients and clinicians with more advanced knowledge and options for personal health management plans. Due to these and other potential benefits, genetic testing has experienced significant growth in recent years. If this growth trend continues, we believe genetic testing will become part of standard medical care. The knowledge of a person’s unique genetic makeup could then begin to play a more important role in the practice of medicine. We believe this growth has been tempered in prior years, however, because many tests are prohibitively expensive, are produced through inefficient processes and often do not result in clinically actionable data. Through our technology platform, we have developed an offering that we believe addresses these industry challenges and provides a sustainable competitive advantage, both in today’s genetic testing market and as we seek to implement new diagnostic tools in the future.</w:t>
      </w:r>
    </w:p>
    <w:p>
      <w:pPr>
        <w:spacing w:after="0" w:line="17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Our technology platform, which integrates sophisticated data comparison and suppression algorithms, adaptive learning software, advanced genetic diagnostics tools and integrated laboratory processes, allows us to offer a test menu with expansive genetic coverage. We believe the comprehensive data output and high detection rates of our tests, both made possible by this expansive genetic coverage, provide physicians with information they can readily incorporate into treatment decisions for their patients, which we refer to as clinical actionability. In addition, our technology platform facilitates our ability to perform customized genetic tests using our expansive library of genes, and we believe this flexibility increases the utility of the genetic data we produce. Further, our technology platform provides us with operating efficiencies that help lower our internal costs, which allows us to offer our tests at accessible price points. As a result, our efforts to build and continually enhance our technology platform allow us to deliver comprehensive, adaptable, clinically actionable and affordable genetic analysis while maintaining a low cost per billable test, enabling us to efficiently meet the needs of our growing base of customers. These features of our offering have resulted in rapid volume growth since our commercial launch, with 23,899 billable tests delivered as of June 2019, 22,298 billable tests delivered in 2018, 16,578 billable tests delivered in 2017, and an aggregate of over 83,100 billable tests delivered to approximately 1,000 customers from inception through June 30, 2019.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165100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00"/>
          </w:cols>
          <w:pgMar w:left="1160" w:top="1053" w:right="11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37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637915"/>
                    </a:xfrm>
                    <a:prstGeom prst="rect">
                      <a:avLst/>
                    </a:prstGeom>
                    <a:noFill/>
                  </pic:spPr>
                </pic:pic>
              </a:graphicData>
            </a:graphic>
          </wp:anchor>
        </w:drawing>
        <w:t>Corporate Information</w:t>
      </w:r>
    </w:p>
    <w:p>
      <w:pPr>
        <w:spacing w:after="0" w:line="12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were incorporated in Delaware on May 13, 2016. We are the holding company of our subsidiaries, including primarily Fulgent LLC, which was initially formed in June 2011. On September 30, 2016, Fulgent LLC became our wholly owned subsidiary in a transaction we refer to as the Reorganization, in which the holders of all equity interests in Fulgent LLC immediately prior to the Reorganization became all of our stockholders immediately following the Reorganization.</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u w:val="single" w:color="auto"/>
          <w:color w:val="auto"/>
        </w:rPr>
        <w:t>www.fulgentgenetics.com</w:t>
      </w:r>
      <w:r>
        <w:rPr>
          <w:rFonts w:ascii="Arial" w:cs="Arial" w:eastAsia="Arial" w:hAnsi="Arial"/>
          <w:sz w:val="18"/>
          <w:szCs w:val="18"/>
          <w:color w:val="auto"/>
        </w:rPr>
        <w:t xml:space="preserve">. Any information contained on, or that can be accessed through, our website is not incorporated by reference into, nor is it in any way part of this prospectus supplement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8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We are a “smaller reporting company” as defined in Rule 12b-2 of the Exchange Act, and we qualify as an “emerging growth company” as defined in the Jumpstart Our Business Startups Act of 2012, as amended, or JOBS Act. We will remain an emerging growth company until December 31, 2021, unless our gross revenue exceeds $1.07 billion in any fiscal year before that date, we issue more than $1.0 billion of non-convertible debt in any three-year period before that date or the market value of our common stock held by non-affiliates exceeds $700.0 million as of the last business day of the second fiscal quarter of any fiscal year before that date. We have elected to take advantage of certain of the scaled disclosure available for smaller reporting companies and emerging growth companies in this prospectus as well as our filings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165100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0"/>
          </w:cols>
          <w:pgMar w:left="1160" w:top="1053" w:right="11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984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4984750"/>
                    </a:xfrm>
                    <a:prstGeom prst="rect">
                      <a:avLst/>
                    </a:prstGeom>
                    <a:noFill/>
                  </pic:spPr>
                </pic:pic>
              </a:graphicData>
            </a:graphic>
          </wp:anchor>
        </w:drawing>
        <w:t>THE OFFERING</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The following is a brief summary of certain terms of this offering. For a more complete description of the terms of the common stock offered hereby, see the “Description of Capital Stock” section of the accompanying prospectus.</w:t>
      </w:r>
    </w:p>
    <w:p>
      <w:pPr>
        <w:sectPr>
          <w:pgSz w:w="11900" w:h="16838" w:orient="portrait"/>
          <w:cols w:equalWidth="0" w:num="1">
            <w:col w:w="9600"/>
          </w:cols>
          <w:pgMar w:left="1160" w:top="1161" w:right="11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Shares of our common stock having an aggregate offering price of up to $22.5 million. Pursuant to General Instruction I.B.6, in no event will we sell our common stock registered on the registration statement of which this prospectus supplement forms a part in a public primary offering with a value exceeding more than one-third of our public float in any 12-month period so long as our public float remains below $75.0 million, as measured in accordance with General Instruction I.B.6 of Form S-3.</w:t>
      </w:r>
    </w:p>
    <w:p>
      <w:pPr>
        <w:spacing w:after="0" w:line="151" w:lineRule="exact"/>
        <w:rPr>
          <w:sz w:val="20"/>
          <w:szCs w:val="20"/>
          <w:color w:val="auto"/>
        </w:rPr>
      </w:pPr>
    </w:p>
    <w:p>
      <w:pPr>
        <w:sectPr>
          <w:pgSz w:w="11900" w:h="16838" w:orient="portrait"/>
          <w:cols w:equalWidth="0" w:num="2">
            <w:col w:w="2460" w:space="720"/>
            <w:col w:w="6420"/>
          </w:cols>
          <w:pgMar w:left="1160" w:top="1161" w:right="11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Manner of offering</w:t>
      </w:r>
    </w:p>
    <w:p>
      <w:pPr>
        <w:spacing w:after="0" w:line="20" w:lineRule="exact"/>
        <w:rPr>
          <w:sz w:val="20"/>
          <w:szCs w:val="20"/>
          <w:color w:val="auto"/>
        </w:rPr>
      </w:pPr>
      <w:r>
        <w:rPr>
          <w:sz w:val="20"/>
          <w:szCs w:val="20"/>
          <w:color w:val="auto"/>
        </w:rPr>
        <w:br w:type="column"/>
      </w:r>
    </w:p>
    <w:p>
      <w:pPr>
        <w:jc w:val="both"/>
        <w:ind w:right="240"/>
        <w:spacing w:after="0" w:line="342" w:lineRule="auto"/>
        <w:rPr>
          <w:sz w:val="20"/>
          <w:szCs w:val="20"/>
          <w:color w:val="auto"/>
        </w:rPr>
      </w:pPr>
      <w:r>
        <w:rPr>
          <w:rFonts w:ascii="Arial" w:cs="Arial" w:eastAsia="Arial" w:hAnsi="Arial"/>
          <w:sz w:val="16"/>
          <w:szCs w:val="16"/>
          <w:color w:val="auto"/>
        </w:rPr>
        <w:t>“At the market offering” that may be made from time to time through our sales agent, Piper Jaffray. See “Plan of Distribution” on page S-14 of this prospectus supplement.</w:t>
      </w:r>
    </w:p>
    <w:p>
      <w:pPr>
        <w:spacing w:after="0" w:line="97" w:lineRule="exact"/>
        <w:rPr>
          <w:sz w:val="20"/>
          <w:szCs w:val="20"/>
          <w:color w:val="auto"/>
        </w:rPr>
      </w:pPr>
    </w:p>
    <w:p>
      <w:pPr>
        <w:sectPr>
          <w:pgSz w:w="11900" w:h="16838" w:orient="portrait"/>
          <w:cols w:equalWidth="0" w:num="2">
            <w:col w:w="2460" w:space="720"/>
            <w:col w:w="6420"/>
          </w:cols>
          <w:pgMar w:left="1160" w:top="1161" w:right="11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ind w:right="400"/>
        <w:spacing w:after="0" w:line="264" w:lineRule="auto"/>
        <w:rPr>
          <w:sz w:val="20"/>
          <w:szCs w:val="20"/>
          <w:color w:val="auto"/>
        </w:rPr>
      </w:pPr>
      <w:r>
        <w:rPr>
          <w:rFonts w:ascii="Arial" w:cs="Arial" w:eastAsia="Arial" w:hAnsi="Arial"/>
          <w:sz w:val="18"/>
          <w:szCs w:val="18"/>
          <w:color w:val="auto"/>
        </w:rPr>
        <w:t>We currently plan to use the net proceeds from this offering for working capital and general corporate purposes. See “Use of Proceeds” on page S-10 of this prospectus supplement.</w:t>
      </w:r>
    </w:p>
    <w:p>
      <w:pPr>
        <w:spacing w:after="0" w:line="154" w:lineRule="exact"/>
        <w:rPr>
          <w:sz w:val="20"/>
          <w:szCs w:val="20"/>
          <w:color w:val="auto"/>
        </w:rPr>
      </w:pPr>
    </w:p>
    <w:p>
      <w:pPr>
        <w:sectPr>
          <w:pgSz w:w="11900" w:h="16838" w:orient="portrait"/>
          <w:cols w:equalWidth="0" w:num="2">
            <w:col w:w="2460" w:space="720"/>
            <w:col w:w="6420"/>
          </w:cols>
          <w:pgMar w:left="1160" w:top="1161" w:right="11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Investing in our common stock involves a high degree of risk. Please read the information contained in and incorporated by reference under the heading “Risk Factors” on page S-6 of this prospectus supplement and under similar headings in the other documents that are filed after the date hereof and incorporated by reference into this prospectus supplement and the accompanying prospectus.</w:t>
      </w:r>
    </w:p>
    <w:p>
      <w:pPr>
        <w:spacing w:after="0" w:line="161" w:lineRule="exact"/>
        <w:rPr>
          <w:sz w:val="20"/>
          <w:szCs w:val="20"/>
          <w:color w:val="auto"/>
        </w:rPr>
      </w:pPr>
    </w:p>
    <w:p>
      <w:pPr>
        <w:sectPr>
          <w:pgSz w:w="11900" w:h="16838" w:orient="portrait"/>
          <w:cols w:equalWidth="0" w:num="2">
            <w:col w:w="2460" w:space="720"/>
            <w:col w:w="6420"/>
          </w:cols>
          <w:pgMar w:left="1160" w:top="1161" w:right="11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The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common stock is listed on Nasdaq under the symbol “FLGT.”</w:t>
      </w:r>
    </w:p>
    <w:p>
      <w:pPr>
        <w:spacing w:after="0" w:line="200" w:lineRule="exact"/>
        <w:rPr>
          <w:sz w:val="20"/>
          <w:szCs w:val="20"/>
          <w:color w:val="auto"/>
        </w:rPr>
      </w:pPr>
    </w:p>
    <w:p>
      <w:pPr>
        <w:sectPr>
          <w:pgSz w:w="11900" w:h="16838" w:orient="portrait"/>
          <w:cols w:equalWidth="0" w:num="2">
            <w:col w:w="2740" w:space="440"/>
            <w:col w:w="6420"/>
          </w:cols>
          <w:pgMar w:left="1160" w:top="1161"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179705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00"/>
          </w:cols>
          <w:pgMar w:left="1160" w:top="1161" w:right="11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Investing in our common stock involves risk. Before deciding whether to invest in our common stock, you should consider carefully the risks and uncertainties described below. You should also consider the risks, uncertainties and assumptions discussed under the heading “Risk Factors” included in our most recent annual report on Form 10-K, as revised or supplemented by our most recent quarterly report on Form 10-Q, each of which are on file with the SEC and are incorporated herein by reference, and which may be amended, supplemented or superseded from time to time by other reports we file with the SEC in the future. There may be other unknown or unpredictable economic, business, competitive, regulatory or other factors that could have material adverse effects on our future results.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currently intend to use the net proceeds of this offering for working capital and general corporate purposes, as further described in the section of this prospectus supplement entitled “Use of Proceeds.” We will have broad discretion in the application of the net proceeds and investors will be relying on the judgment of our management regarding the application of the proceeds of this offering. The failure by our management to apply these funds effectively could harm our business, financial condition and results of operations. Pending their use, we may invest the net proceeds from this offering in short-term, interest-bearing instruments. These investments may not yield a favorable return, or any return, to us or our stockholders.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immediate and substantial dilution.</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offering price per share in this offering may exceed the net tangible book value per share of our common stock outstanding prior to this offering. Assuming that an aggregate of 1,817,447 shares of our common stock are sold during the term of the Equity Distribution Agreement with Piper Jaffray at a price of $12.38 per share, the last reported sale price of our common stock on Nasdaq on August 27, 2019, for aggregate gross proceeds of approximately $22.5 million, after deducting commissions and estimated aggregate offering expenses payable by us, you will experience immediate dilution of $8.77 per share, representing the difference between the assumed offering price and our as adjusted net tangible book value per share as of June 30, 2019 after giving effect to this offering. The exercise of outstanding stock options and vesting of other stock awards may result in further dilution of your investment. See the section entitled “Dilution” appearing elsewhere in this prospectus supplement for a more detailed illustration of the dilution you would incur if you participate in this offering.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actual number of shares we will issue under the Equity Distribution Agreement with Piper Jaffray, at any one time or in total, is uncertain.</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Subject to certain limitations in the Equity Distribution Agreement with Piper Jaffray and compliance with applicable law, we have the discretion to deliver placement notices to Piper Jaffray at any time throughout the term of the Equity Distribution Agreement. The number of shares that are sold by Piper Jaffray after delivering a placement notice will fluctuate based on the market price of the common stock during the sales period and limits we set with Piper Jaffray.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1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common stock.</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currently anticipate that we will retain any future earnings to finance the continued development, operation and expansion of our business. As a result, we do not anticipate declaring or paying any cash dividends or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8" w:name="page9"/>
    <w:bookmarkEnd w:id="8"/>
    <w:p>
      <w:pPr>
        <w:spacing w:after="0" w:line="286" w:lineRule="auto"/>
        <w:rPr>
          <w:sz w:val="20"/>
          <w:szCs w:val="20"/>
          <w:color w:val="auto"/>
        </w:rPr>
      </w:pPr>
      <w:r>
        <w:rPr>
          <w:rFonts w:ascii="Arial" w:cs="Arial" w:eastAsia="Arial" w:hAnsi="Arial"/>
          <w:sz w:val="17"/>
          <w:szCs w:val="17"/>
          <w:color w:val="auto"/>
        </w:rPr>
        <w:t>distributions in the foreseeable future. Further, if we were to enter into a credit facility or issue debt securities or preferred stock in the future, we may become contractually restricted from paying dividends. If we do not pay dividends, our common stock may be less valuable because stockholders must rely on sales of their common stock after price appreciation, which may never occur, to realize any gains on their investment.</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sale of our common stock in this offering and any future sales of our common stock may depress our stock price and our ability to raise funds in new stock offerings.</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Sales of our common stock in this offering and the public market following this offering could lower the market price of our common stock. Sales may also make it more difficult for us to sell equity securities or equity-related securities in the future at a time and price that our management deems acceptable, or at all.</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prospectus supplement and the accompanying prospectus and the documents incorporated by reference into this prospectus supplement and the accompanying prospectus may contain forward-looking statements within the meaning of Section 27A of the Securities Act of 1933, as amended, or the Securities Act, and Section 21E of the Securities Exchange Act of 1934, as amended, or the Exchange Act, about Fulgent. These forward-looking statements are intended to be covered by the safe harbor for forward-looking statements provided by the Private Securities Litigation Reform Act of 1995.</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Words such as “anticipate,” “estimate,” “expect,” “project,” “intend,” “may,” “plan,” “predict,” “believe,” “possible,” “should” and similar words or expressions are intended to identify forward looking statements although not all forward-looking statements contain these identifying words. These forward-looking statements include statements about, among other things:</w:t>
      </w:r>
    </w:p>
    <w:p>
      <w:pPr>
        <w:spacing w:after="0" w:line="73" w:lineRule="exact"/>
        <w:rPr>
          <w:sz w:val="20"/>
          <w:szCs w:val="20"/>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projections and trends relating to us, our competitors and our industry;</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strategic plans for our business;</w:t>
      </w:r>
    </w:p>
    <w:p>
      <w:pPr>
        <w:spacing w:after="0" w:line="9" w:lineRule="exact"/>
        <w:rPr>
          <w:rFonts w:ascii="Arial" w:cs="Arial" w:eastAsia="Arial" w:hAnsi="Arial"/>
          <w:sz w:val="18"/>
          <w:szCs w:val="18"/>
          <w:color w:val="auto"/>
        </w:rPr>
      </w:pPr>
    </w:p>
    <w:p>
      <w:pPr>
        <w:ind w:left="880" w:right="760" w:hanging="440"/>
        <w:spacing w:after="0" w:line="250"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operating performance, including our ability to achieve equal or higher levels of revenue, stabilize the historical fluctuations in our performance and achieve or grow profitability;</w:t>
      </w:r>
    </w:p>
    <w:p>
      <w:pPr>
        <w:ind w:left="880" w:hanging="440"/>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rate and degree of market acceptance and adoption of our tests and genetic testing generally and other anticipated trends in our industry;</w:t>
      </w:r>
    </w:p>
    <w:p>
      <w:pPr>
        <w:spacing w:after="0" w:line="32" w:lineRule="exact"/>
        <w:rPr>
          <w:rFonts w:ascii="Arial" w:cs="Arial" w:eastAsia="Arial" w:hAnsi="Arial"/>
          <w:sz w:val="16"/>
          <w:szCs w:val="16"/>
          <w:color w:val="auto"/>
        </w:rPr>
      </w:pPr>
    </w:p>
    <w:p>
      <w:pPr>
        <w:ind w:left="880" w:hanging="440"/>
        <w:spacing w:after="0"/>
        <w:tabs>
          <w:tab w:leader="none" w:pos="8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remain competitive, particularly if the genetic testing market continues to expand and competition becomes more acute;</w:t>
      </w:r>
    </w:p>
    <w:p>
      <w:pPr>
        <w:spacing w:after="0" w:line="20" w:lineRule="exact"/>
        <w:rPr>
          <w:rFonts w:ascii="Arial" w:cs="Arial" w:eastAsia="Arial" w:hAnsi="Arial"/>
          <w:sz w:val="17"/>
          <w:szCs w:val="17"/>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expand the number of genes covered by our tests and introduce other improvements to our tests;</w:t>
      </w:r>
    </w:p>
    <w:p>
      <w:pPr>
        <w:spacing w:after="0" w:line="9" w:lineRule="exact"/>
        <w:rPr>
          <w:rFonts w:ascii="Arial" w:cs="Arial" w:eastAsia="Arial" w:hAnsi="Arial"/>
          <w:sz w:val="18"/>
          <w:szCs w:val="18"/>
          <w:color w:val="auto"/>
        </w:rPr>
      </w:pPr>
    </w:p>
    <w:p>
      <w:pPr>
        <w:ind w:left="880" w:right="200" w:hanging="440"/>
        <w:spacing w:after="0" w:line="250"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continued ability to offer affordable pricing for our tests, in spite of recent price degradation in our industry, and our ability to maintain the low internal costs of our business model and record acceptable margins on our sales;</w:t>
      </w:r>
    </w:p>
    <w:p>
      <w:pPr>
        <w:ind w:left="880" w:right="660" w:hanging="440"/>
        <w:spacing w:after="0" w:line="250"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strengthen our existing base of hospital and medical institution customers by maintaining or increasing demand from these customers;</w:t>
      </w: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grow and diversify our customer base, including our plans to target new institutional and individual customer groups;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a limited number of suppliers and ability to adapt to possible disruptions in their operations;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use of our sole laboratory facility and ability to adapt in the event it is damaged or rendered inoperable;</w:t>
      </w:r>
    </w:p>
    <w:p>
      <w:pPr>
        <w:spacing w:after="0" w:line="9" w:lineRule="exact"/>
        <w:rPr>
          <w:rFonts w:ascii="Arial" w:cs="Arial" w:eastAsia="Arial" w:hAnsi="Arial"/>
          <w:sz w:val="18"/>
          <w:szCs w:val="18"/>
          <w:color w:val="auto"/>
        </w:rPr>
      </w:pPr>
    </w:p>
    <w:p>
      <w:pPr>
        <w:ind w:left="880" w:right="460" w:hanging="440"/>
        <w:spacing w:after="0" w:line="250"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level of success of our efforts to increase our global presence, including strengthening relationships with existing and new international customers and establishing other types of arrangements, including our joint venture in the People’s Republic of China, or PRC, or other international joint venture or distributor relationships we may pursue;</w:t>
      </w:r>
    </w:p>
    <w:p>
      <w:pPr>
        <w:spacing w:after="0" w:line="1" w:lineRule="exact"/>
        <w:rPr>
          <w:rFonts w:ascii="Arial" w:cs="Arial" w:eastAsia="Arial" w:hAnsi="Arial"/>
          <w:sz w:val="18"/>
          <w:szCs w:val="18"/>
          <w:color w:val="auto"/>
        </w:rPr>
      </w:pPr>
    </w:p>
    <w:p>
      <w:pPr>
        <w:ind w:left="880" w:right="20" w:hanging="440"/>
        <w:spacing w:after="0" w:line="250"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on our business of our recent investments in building and restructuring our sales and marketing strategies and teams, and our plans for future sales and marketing efforts;</w:t>
      </w: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advancements in technology by us and our competitors;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use of technology and ability to prevent security breaches, loss of data and other disruptions;</w:t>
      </w:r>
    </w:p>
    <w:p>
      <w:pPr>
        <w:spacing w:after="0" w:line="9" w:lineRule="exact"/>
        <w:rPr>
          <w:rFonts w:ascii="Arial" w:cs="Arial" w:eastAsia="Arial" w:hAnsi="Arial"/>
          <w:sz w:val="18"/>
          <w:szCs w:val="18"/>
          <w:color w:val="auto"/>
        </w:rPr>
      </w:pPr>
    </w:p>
    <w:p>
      <w:pPr>
        <w:ind w:left="880" w:hanging="440"/>
        <w:spacing w:after="0" w:line="250"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effectively manage any growth we may experience, including expanding our infrastructure, developing increased efficiencies in our operations and hiring additional skilled personnel in order to support any such growth;</w:t>
      </w:r>
    </w:p>
    <w:p>
      <w:pPr>
        <w:ind w:left="880" w:hanging="440"/>
        <w:spacing w:after="0"/>
        <w:tabs>
          <w:tab w:leader="none" w:pos="88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developments with respect to U.S. and foreign regulations applicable to our business, and our ability to comply with these regulations;</w:t>
      </w:r>
    </w:p>
    <w:p>
      <w:pPr>
        <w:spacing w:after="0" w:line="20" w:lineRule="exact"/>
        <w:rPr>
          <w:rFonts w:ascii="Arial" w:cs="Arial" w:eastAsia="Arial" w:hAnsi="Arial"/>
          <w:sz w:val="17"/>
          <w:szCs w:val="17"/>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prevent errors in interpreting the results of our tests so as to avoid product liability and professional liability claims;</w:t>
      </w:r>
    </w:p>
    <w:p>
      <w:pPr>
        <w:spacing w:after="0" w:line="9" w:lineRule="exact"/>
        <w:rPr>
          <w:rFonts w:ascii="Arial" w:cs="Arial" w:eastAsia="Arial" w:hAnsi="Arial"/>
          <w:sz w:val="18"/>
          <w:szCs w:val="18"/>
          <w:color w:val="auto"/>
        </w:rPr>
      </w:pPr>
    </w:p>
    <w:p>
      <w:pPr>
        <w:ind w:left="880" w:hanging="440"/>
        <w:spacing w:after="0" w:line="250"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coverage and adequate reimbursement for our tests and to manage the complexity of billing and collecting such reimbursement;</w:t>
      </w:r>
    </w:p>
    <w:p>
      <w:pPr>
        <w:jc w:val="both"/>
        <w:ind w:left="880" w:right="400" w:hanging="440"/>
        <w:spacing w:after="0" w:line="250"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state of the U.S. and foreign healthcare markets, including the role of governments in the healthcare industry generally and pressures or incentives to reduce healthcare costs while expanding individual benefits, as well as the impact of general uncertainty in the U.S. healthcare regulatory environment following the results of the 2016 U.S. presidential election;</w:t>
      </w:r>
    </w:p>
    <w:p>
      <w:pPr>
        <w:spacing w:after="0" w:line="1"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retain and motivate key scientific and management personnel;</w:t>
      </w:r>
    </w:p>
    <w:p>
      <w:pPr>
        <w:spacing w:after="0" w:line="9" w:lineRule="exact"/>
        <w:rPr>
          <w:rFonts w:ascii="Arial" w:cs="Arial" w:eastAsia="Arial" w:hAnsi="Arial"/>
          <w:sz w:val="18"/>
          <w:szCs w:val="18"/>
          <w:color w:val="auto"/>
        </w:rPr>
      </w:pPr>
    </w:p>
    <w:p>
      <w:pPr>
        <w:ind w:left="880" w:right="40" w:hanging="440"/>
        <w:spacing w:after="0" w:line="261"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protection of our trade secrets and other intellectual property rights and not infringe the rights of others;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10" w:name="page11"/>
    <w:bookmarkEnd w:id="10"/>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future expense levels and our ability to appropriately forecast and plan our expenses;</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future capital requirements and our ability to obtain additional capital if and when needed; and</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above factors and other future events on the market price of our common stock.</w:t>
      </w:r>
    </w:p>
    <w:p>
      <w:pPr>
        <w:spacing w:after="0" w:line="10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forward-looking statements are subject to a number of risks and uncertainties, including, among others under the heading “Risk Factors” contained in this prospectus, any related free writing prospectus, and in our most recent annual report on Form 10-K and quarterly reports on Form 10-Q, as well as any amendments thereto reflected in subsequent filings with the SEC.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report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report should be read with the understanding that our actual future results, levels of activity, performance and achievements or other future events may be materially different than what we currently expect.</w:t>
      </w:r>
    </w:p>
    <w:p>
      <w:pPr>
        <w:spacing w:after="0" w:line="6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forward-looking statements in this prospectus supplement and accompanying prospectus speak only as of the date of those documents, and except as required by law, we undertake no obligation to update publicly any forward-looking statements for any reason after the date of this report to conform these statements to actual results or to changes in our expectations.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qualify all of our forward-looking statements by this cautionary note.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may issue and sell shares of our common stock having aggregate gross proceeds of up to $22.5 million from time to time under this prospectus supplement and accompanying prospectus. Because there is no minimum offering amount required as a condition to close this offering, the actual total offering amount, commissions and proceeds to us, if any, are not determinable at this time. The amount of proceeds from this offering will depend upon the number of shares of our common stock sold and the market price at which they are sold. There can be no assurance that we will be able to sell any shares under or fully utilize the Equity Distribution Agreement as a source of financing.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currently intend to use the net proceeds from this offering for working capital and general corporate purposes.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will have broad discretion in the application of the net proceeds we receive from this offering and, as of the date of this prospectus supplement, we cannot predict with certainty all of the particular uses for these net proceeds. The amounts and timing of our actual expenditures will depend on numerous factors, including the amount of cash generated by our operations, competitive and technological developments, demand for our tests, the number of billable tests we deliver and the number of billable tests for we collect full or partial payment, our ability to develop our sales and marketing team, the timing and amount of other investments in our business, including sequencing or other equipment or systems, and unforeseen cash needs. We also may use a portion of the net proceeds for the acquisition of, investment in or partnership with new and complementary businesses, technologies or assets. Although we presently have no specific agreements, commitments or understandings with respect to any such acquisition, investment or partnership, we evaluate such opportunities and engage in related discussions with other companies from time to time.</w:t>
      </w:r>
    </w:p>
    <w:p>
      <w:pPr>
        <w:spacing w:after="0" w:line="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Pending their use as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72" w:right="3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currently anticipate that, following completion of this offering, we will retain all available funds and any future earnings for use in the operation of our business. As a result, we do not anticipate paying any dividends or other distributions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Our ability to pay dividends may also be restricted by the terms of any future credit facility we may establish or any future debt or preferred equity securities we may issue, although we presently have no specific plans, agreements or commitments with respect to establishing any such credit facility or issuing any such securities.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If you purchase our common stock in this offering, your interest will be diluted to the extent of the difference between the public offering price per share and the net tangible book value per share of our common stock after this offering. We calculate net tangible book value per share by dividing our net tangible assets (tangible assets less total liabilities) by the number of shares of our common stock issued and outstanding as of June 30, 2019.</w:t>
      </w:r>
    </w:p>
    <w:p>
      <w:pPr>
        <w:spacing w:after="0" w:line="3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net tangible book value at June 30, 2019 was $51.1 million, or $2.78 per share. After giving effect to the sale of our common stock during the term of the Equity Distribution Agreement with Piper Jaffray in the aggregate amount of $22.5 million at an assumed offering price of $12.38 per share, the last reported sale price of our common stock on Nasdaq on August 27, 2019, and after deducting commissions and estimated aggregate offering expenses payable by us, our as adjusted net tangible book value as of June 30, 2019 would have been approximately $72.9 million, or $3.61 per share of common stock. This represents an immediate increase in the net tangible book value of $0.83 per share to our existing stockholders and an immediate dilution in net tangible book value of $8.77 per share to new investors. The following table illustrates this per share dilution:</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Assumed public offering price per share</w:t>
            </w:r>
          </w:p>
        </w:tc>
        <w:tc>
          <w:tcPr>
            <w:tcW w:w="34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$12.38</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Net tangible book value per share as of June 30, 2019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$2.78</w:t>
            </w: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4"/>
        </w:trPr>
        <w:tc>
          <w:tcPr>
            <w:tcW w:w="7320" w:type="dxa"/>
            <w:vAlign w:val="bottom"/>
          </w:tcPr>
          <w:p>
            <w:pPr>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426"/>
        </w:trPr>
        <w:tc>
          <w:tcPr>
            <w:tcW w:w="7320" w:type="dxa"/>
            <w:vAlign w:val="bottom"/>
          </w:tcPr>
          <w:p>
            <w:pPr>
              <w:spacing w:after="0"/>
              <w:rPr>
                <w:sz w:val="20"/>
                <w:szCs w:val="20"/>
                <w:color w:val="auto"/>
              </w:rPr>
            </w:pPr>
            <w:r>
              <w:rPr>
                <w:rFonts w:ascii="Arial" w:cs="Arial" w:eastAsia="Arial" w:hAnsi="Arial"/>
                <w:sz w:val="18"/>
                <w:szCs w:val="18"/>
                <w:color w:val="auto"/>
                <w:w w:val="91"/>
              </w:rPr>
              <w:t>As adjusted net tangible book value per share as of June 30, 2019, after giving effect to this offering</w:t>
            </w:r>
          </w:p>
        </w:tc>
        <w:tc>
          <w:tcPr>
            <w:tcW w:w="340" w:type="dxa"/>
            <w:vAlign w:val="bottom"/>
          </w:tcPr>
          <w:p>
            <w:pPr>
              <w:spacing w:after="0"/>
              <w:rPr>
                <w:sz w:val="24"/>
                <w:szCs w:val="24"/>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486"/>
        </w:trPr>
        <w:tc>
          <w:tcPr>
            <w:tcW w:w="7320" w:type="dxa"/>
            <w:vAlign w:val="bottom"/>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340" w:type="dxa"/>
            <w:vAlign w:val="bottom"/>
          </w:tcPr>
          <w:p>
            <w:pPr>
              <w:spacing w:after="0"/>
              <w:rPr>
                <w:sz w:val="24"/>
                <w:szCs w:val="24"/>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r>
      <w:tr>
        <w:trPr>
          <w:trHeight w:val="20"/>
        </w:trPr>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table above assumes for illustrative purposes that an aggregate of 1,817,447 shares of our common stock are sold during the term of the Equity Distribution Agreement with Piper Jaffray at a price of $12.38 per share, the last reported sale price of our common stock on Nasdaq on August 27, 2019, for aggregate net proceeds of approximately $21.7 million, after deducting commissions and estimated aggregate offering expenses payable by us. The as adjusted information is illustrative only and will adjust based on the actual price to the public, the actual number of shares sold and other terms of the offering determined at the time shares of our common stock are sold pursuant to this prospectus supplement. The shares pursuant to the Equity Distribution Agreement with Piper Jaffray are being sold from time to time at various prices. An increase of $1.00 per share in the price at which the shares are sold from the assumed offering price of $13.38 per share shown in the table above, assuming all of our common stock in the aggregate amount of $22.5 million during the term of the Equity Distribution Agreement with Piper Jaffray is sold at that price, would increase our as adjusted net tangible book value per share after the offering to $3.63 per share and would increase the dilution in net tangible book value per share to new investors in this offering to $9.75 per share, after deducting commissions and estimated aggregate offering expenses payable by us. A decrease of $1.00 per share in the price at which the shares are sold from the assumed offering price of $11.38 per share shown in the table above, assuming all of our common stock in the aggregate amount of $22.5 million during the term of the Equity Distribution Agreement with Piper Jaffray is sold at that price, would decrease our as adjusted net tangible book value per share after the offering to $3.58 per share and would decrease the dilution in net tangible book value per share to new investors in this offering to $7.80 per share, after deducting commissions and estimated aggregate offering expenses payable by us. This information is supplied for illustrative purposes only and may differ based on the actual offering price and the actual number of shares offered.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above discussion and table are based on 18,392,926 shares of our common stock issued and outstanding as of June 30, 2019 and excludes the following:</w:t>
      </w:r>
    </w:p>
    <w:p>
      <w:pPr>
        <w:spacing w:after="0" w:line="140"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394,936 shares of our common stock issuable upon exercise of outstanding options, at a weighted-average exercise price of 0.79 per share;</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1,284,376 shares of our common stock issuable upon the settlement of restricted stock awards;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1,636,916 shares of our common stock that are reserved for future grant or issuance under our equity incentive plans.</w:t>
      </w:r>
    </w:p>
    <w:p>
      <w:pPr>
        <w:spacing w:after="0" w:line="117"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To the extent that options outstanding as of June 30, 2019 have been or are exercised, restricted stock units vest or other shares are issued, investors purchasing shares in this offering could experience further dilution. In addition, we may choose to raise additional capital due to market conditions or strategic considerations, even if we believe we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3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240" w:top="476" w:right="6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have entered into an Equity Distribution Agreement with Piper Jaffray as our sales agent under which we may offer and sell shares of our common stock having an aggregate gross offering price of up to $30.0 million from time to time. Piper Jaffray will use commercially reasonable efforts to sell on our behalf all of the shares of our common stock requested to be sold by us, consistent with its normal trading and sales practices, under the terms and subject to the conditions set forth in the Equity Distribution Agreement. We may instruct Piper Jaffray not to sell our common stock if the sales cannot be effected at or above the price designated by us in any instruction. We or Piper Jaffray may suspend the offering of our common stock upon proper notice and subject to other conditions, as further described in the Equity Distribution Agreement. A copy of the Equity Distribution Agreement has been filed as an exhibit to a Current Report on Form 8-K and is incorporated by reference into the registration statement of which this prospectus supplement is a part.</w:t>
      </w:r>
    </w:p>
    <w:p>
      <w:pPr>
        <w:spacing w:after="0" w:line="16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Piper Jaffray will provide written confirmation to us following the close of trading on Nasdaq each day in which our common stock is sold under the Equity Distribution Agreement. Each such confirmation will include the number of shares of common stock sold on such day and the net proceeds to us in connection with the sales of common stock.</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pay Piper Jaffray commissions for its services in acting as agent and/or principal in the sale of common stock. Piper Jaffray will be entitled to compensation in an amount up to 3.0% of the gross sales price of all common stock sold through it as agent under the Equity Distribution Agreement. However, in the event Piper Jaffray acts as principal in the sale of common stock under the Equity Distribution Agreement, such rate of compensation will not apply, but in no event will the total compensation of Piper Jaffray, when combined with the reimbursement of Piper Jaffray for the out-of-pocket fees and disbursements of its legal counsel as described below, exceed 8.0% of the gross proceeds received from the sale of the common stock. We estimate that the total expenses for the offering, excluding compensation payable to Piper Jaffray under the terms of the Equity Distribution Agreement, will be approximately $91,000. We have also agreed to reimburse Piper Jaffray for the out-of-pocket reasonable fees and disbursements of its legal counsel, in an amount not to exceed $50,000.</w:t>
      </w:r>
    </w:p>
    <w:p>
      <w:pPr>
        <w:spacing w:after="0" w:line="19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Settlement for sales of common stock will occur on the second business day following the date on which any sales are made, or on some other date that is agreed upon by us and Piper Jaffray in connection with a particular transaction, in return for payment of the net proceeds to us. There is no arrangement for funds to be received in an escrow, trust or similar arrangement.</w:t>
      </w:r>
    </w:p>
    <w:p>
      <w:pPr>
        <w:spacing w:after="0" w:line="18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will report at least quarterly the number of shares of common stock sold through Piper Jaffray, as sales agent, under the Equity Distribution Agreement, the net proceeds to us and the compensation paid by us to Piper Jaffray in connection with the sales of common stock.</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Piper Jaffray and its affiliates have provided, and may in the future provide, various investment banking, commercial banking, fiduciary and advisory services for us from time to time for which they have received, and may in the future receive, customary fees and expenses. Piper Jaffray and its affiliates may, from time to time, engage in other transactions with and perform services for us in the ordinary course of their business.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sale of the common stock on our behalf, Piper Jaffray may, and will with respect to sales effected in an “at-the-market” equity offering, be deemed to be an “underwriter” within the meaning of the Securities Act, and the compensation of Piper Jaffray may be deemed to be underwriting commissions or discounts. We have agreed to indemnify Piper Jaffray against specified liabilities, including liabilities under the Securities Act, or to contribute to payments that Piper Jaffray may be required to make because of those liabilities.</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offering of shares of our common stock pursuant to the Equity Distribution Agreement will terminate upon the earlier of (1) the sale of all common stock subject to the Equity Distribution Agreement or (2) termination of the Equity Distribution Agreement. The Equity Distribution Agreement may be terminated by Piper Jaffray or us at any time on the close of business on the date of receipt of written notice, and by Piper Jaffray at any time in certain circumstances, including any suspension or limitation on the trading of our common stock on Nasdaq, as further described in the Equity Distribution Agreement.</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validity of the securities being offered by this prospectus supplement will be passed upon for us by Mintz, Levin, Cohn, Ferris, Glovsky and Popeo, P.C., San Diego, California. Certain matters will be passed upon for Piper Jaffray by Latham &amp; Watkins LLP.</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consolidated financial statements incorporated in this prospectus supplement by reference from the Company’s Annual Report on Form 10-K for the year ended December 31, 2018, as filed with the SEC on March 22, 2019,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We are a reporting company and file annual, quarterly and current reports, proxy statements and other information with the SEC. We have filed with the SEC a registration statement on Form S-3 under the Securities Act with respect to the securities being offered under this prospectus supplement and the accompanying prospectus. This prospectus supplement and the accompanying prospectus do not contain all of the information set forth in the registration statement and the exhibits to the registration statement. For further information with respect to us and the securities being offered under this prospectus supplement and the accompanying prospectus, we refer you to the registration statement and the exhibits and schedules filed as a part of the registration statement. The SEC maintains an Internet site that contains reports, proxy and information statements, and other information regarding issuers that file electronically with the SEC, including Fulgent. The SEC's Internet site can be found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maintain a website at www.fulgentgenetics.com. Information contained in or accessible through our website does not constitute a part of this prospectus supplement or the accompanying prospectus.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another document filed separately with the SEC. The documents incorporated by reference into this prospectus supplement contain important information that you should read about 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 into this prospectus supplement:</w:t>
      </w:r>
    </w:p>
    <w:p>
      <w:pPr>
        <w:spacing w:after="0" w:line="117" w:lineRule="exact"/>
        <w:rPr>
          <w:sz w:val="20"/>
          <w:szCs w:val="20"/>
          <w:color w:val="auto"/>
        </w:rPr>
      </w:pPr>
    </w:p>
    <w:p>
      <w:pPr>
        <w:ind w:left="880" w:right="120" w:hanging="440"/>
        <w:spacing w:after="0" w:line="264" w:lineRule="auto"/>
        <w:tabs>
          <w:tab w:leader="none" w:pos="880" w:val="left"/>
        </w:tabs>
        <w:numPr>
          <w:ilvl w:val="0"/>
          <w:numId w:val="4"/>
        </w:numPr>
        <w:rPr>
          <w:rFonts w:ascii="Arial" w:cs="Arial" w:eastAsia="Arial" w:hAnsi="Arial"/>
          <w:sz w:val="18"/>
          <w:szCs w:val="18"/>
          <w:color w:val="0000EE"/>
        </w:rPr>
      </w:pPr>
      <w:r>
        <w:rPr>
          <w:rFonts w:ascii="Arial" w:cs="Arial" w:eastAsia="Arial" w:hAnsi="Arial"/>
          <w:sz w:val="18"/>
          <w:szCs w:val="18"/>
          <w:color w:val="auto"/>
        </w:rPr>
        <w:t xml:space="preserve">our Annual Report on </w:t>
      </w:r>
      <w:hyperlink r:id="rId30">
        <w:r>
          <w:rPr>
            <w:rFonts w:ascii="Arial" w:cs="Arial" w:eastAsia="Arial" w:hAnsi="Arial"/>
            <w:sz w:val="18"/>
            <w:szCs w:val="18"/>
            <w:u w:val="single" w:color="auto"/>
            <w:color w:val="0000EE"/>
          </w:rPr>
          <w:t>Form 10-K for the fiscal year ended December 31, 2018</w:t>
        </w:r>
      </w:hyperlink>
      <w:r>
        <w:rPr>
          <w:rFonts w:ascii="Arial" w:cs="Arial" w:eastAsia="Arial" w:hAnsi="Arial"/>
          <w:sz w:val="18"/>
          <w:szCs w:val="18"/>
          <w:color w:val="auto"/>
        </w:rPr>
        <w:t xml:space="preserve">, filed with the SEC on March 22, 2019, including the information </w:t>
      </w:r>
      <w:hyperlink r:id="rId31">
        <w:r>
          <w:rPr>
            <w:rFonts w:ascii="Arial" w:cs="Arial" w:eastAsia="Arial" w:hAnsi="Arial"/>
            <w:sz w:val="18"/>
            <w:szCs w:val="18"/>
            <w:color w:val="auto"/>
          </w:rPr>
          <w:t xml:space="preserve">incorporated by reference into our Annual Report on Form 10-K from our </w:t>
        </w:r>
        <w:r>
          <w:rPr>
            <w:rFonts w:ascii="Arial" w:cs="Arial" w:eastAsia="Arial" w:hAnsi="Arial"/>
            <w:sz w:val="18"/>
            <w:szCs w:val="18"/>
            <w:u w:val="single" w:color="auto"/>
            <w:color w:val="0000EE"/>
          </w:rPr>
          <w:t>definitive proxy statement for the 2019 Annual Meeting of</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Stockholders</w:t>
        </w:r>
        <w:r>
          <w:rPr>
            <w:rFonts w:ascii="Arial" w:cs="Arial" w:eastAsia="Arial" w:hAnsi="Arial"/>
            <w:sz w:val="18"/>
            <w:szCs w:val="18"/>
            <w:color w:val="000000"/>
          </w:rPr>
          <w:t>;</w:t>
        </w:r>
      </w:hyperlink>
    </w:p>
    <w:p>
      <w:pPr>
        <w:spacing w:after="0" w:line="73" w:lineRule="exact"/>
        <w:rPr>
          <w:rFonts w:ascii="Arial" w:cs="Arial" w:eastAsia="Arial" w:hAnsi="Arial"/>
          <w:sz w:val="18"/>
          <w:szCs w:val="18"/>
          <w:color w:val="0000EE"/>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2">
        <w:r>
          <w:rPr>
            <w:rFonts w:ascii="Arial" w:cs="Arial" w:eastAsia="Arial" w:hAnsi="Arial"/>
            <w:sz w:val="18"/>
            <w:szCs w:val="18"/>
            <w:u w:val="single" w:color="auto"/>
            <w:color w:val="0000EE"/>
          </w:rPr>
          <w:t>Form 10-Q for the period ended March 31, 2019</w:t>
        </w:r>
      </w:hyperlink>
      <w:r>
        <w:rPr>
          <w:rFonts w:ascii="Arial" w:cs="Arial" w:eastAsia="Arial" w:hAnsi="Arial"/>
          <w:sz w:val="18"/>
          <w:szCs w:val="18"/>
          <w:color w:val="auto"/>
        </w:rPr>
        <w:t>, filed with the SEC on May 10, 2019;</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3">
        <w:r>
          <w:rPr>
            <w:rFonts w:ascii="Arial" w:cs="Arial" w:eastAsia="Arial" w:hAnsi="Arial"/>
            <w:sz w:val="18"/>
            <w:szCs w:val="18"/>
            <w:u w:val="single" w:color="auto"/>
            <w:color w:val="0000EE"/>
          </w:rPr>
          <w:t>Form 10-Q for the period ended June 30, 2019</w:t>
        </w:r>
      </w:hyperlink>
      <w:r>
        <w:rPr>
          <w:rFonts w:ascii="Arial" w:cs="Arial" w:eastAsia="Arial" w:hAnsi="Arial"/>
          <w:sz w:val="18"/>
          <w:szCs w:val="18"/>
          <w:color w:val="auto"/>
        </w:rPr>
        <w:t>, filed with the SEC on August 12, 2019;</w:t>
      </w:r>
    </w:p>
    <w:p>
      <w:pPr>
        <w:spacing w:after="0" w:line="117" w:lineRule="exact"/>
        <w:rPr>
          <w:rFonts w:ascii="Arial" w:cs="Arial" w:eastAsia="Arial" w:hAnsi="Arial"/>
          <w:sz w:val="18"/>
          <w:szCs w:val="18"/>
          <w:color w:val="auto"/>
        </w:rPr>
      </w:pPr>
    </w:p>
    <w:p>
      <w:pPr>
        <w:ind w:left="880" w:right="6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Current Report on Form 8-K as filed with the SEC on </w:t>
      </w:r>
      <w:hyperlink r:id="rId34">
        <w:r>
          <w:rPr>
            <w:rFonts w:ascii="Arial" w:cs="Arial" w:eastAsia="Arial" w:hAnsi="Arial"/>
            <w:sz w:val="18"/>
            <w:szCs w:val="18"/>
            <w:u w:val="single" w:color="auto"/>
            <w:color w:val="0000EE"/>
          </w:rPr>
          <w:t>June 3,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our Current Report on Form 8-K reporting pursuant to Items 5.02 and 9.01 of Form 8-K filed with the SEC on </w:t>
      </w:r>
      <w:hyperlink r:id="rId35">
        <w:r>
          <w:rPr>
            <w:rFonts w:ascii="Arial" w:cs="Arial" w:eastAsia="Arial" w:hAnsi="Arial"/>
            <w:sz w:val="18"/>
            <w:szCs w:val="18"/>
            <w:u w:val="single" w:color="auto"/>
            <w:color w:val="0000EE"/>
          </w:rPr>
          <w:t>August 5, 2019</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880" w:right="20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w:t>
      </w:r>
      <w:hyperlink r:id="rId36">
        <w:r>
          <w:rPr>
            <w:rFonts w:ascii="Arial" w:cs="Arial" w:eastAsia="Arial" w:hAnsi="Arial"/>
            <w:sz w:val="18"/>
            <w:szCs w:val="18"/>
            <w:u w:val="single" w:color="auto"/>
            <w:color w:val="0000EE"/>
          </w:rPr>
          <w:t>registration statement on Form 8-A</w:t>
        </w:r>
      </w:hyperlink>
      <w:r>
        <w:rPr>
          <w:rFonts w:ascii="Arial" w:cs="Arial" w:eastAsia="Arial" w:hAnsi="Arial"/>
          <w:sz w:val="18"/>
          <w:szCs w:val="18"/>
          <w:color w:val="auto"/>
        </w:rPr>
        <w:t>, filed with the SEC on September 26, 2016, including any amendment or report filed for the purpose of updating such description; and</w:t>
      </w:r>
    </w:p>
    <w:p>
      <w:pPr>
        <w:spacing w:after="0" w:line="62" w:lineRule="exact"/>
        <w:rPr>
          <w:rFonts w:ascii="Arial" w:cs="Arial" w:eastAsia="Arial" w:hAnsi="Arial"/>
          <w:sz w:val="18"/>
          <w:szCs w:val="18"/>
          <w:color w:val="auto"/>
        </w:rPr>
      </w:pPr>
    </w:p>
    <w:p>
      <w:pPr>
        <w:ind w:left="880" w:right="80" w:hanging="440"/>
        <w:spacing w:after="0" w:line="312"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reports and other documents subsequently filed by us pursuant to Sections 13(a), 13(c), 14 and 15(d) of the Exchange Act after the date of this prospectus supplement and prior to the termination or completion of the offering of securities under this prospectus supplement shall be deemed to be incorporated by reference in this prospectus supplement and to be a part hereof from the date of filing such reports and other documents.</w:t>
      </w:r>
    </w:p>
    <w:p>
      <w:pPr>
        <w:spacing w:after="0" w:line="39" w:lineRule="exact"/>
        <w:rPr>
          <w:rFonts w:ascii="Arial" w:cs="Arial" w:eastAsia="Arial" w:hAnsi="Arial"/>
          <w:sz w:val="18"/>
          <w:szCs w:val="18"/>
          <w:color w:val="auto"/>
        </w:rPr>
      </w:pPr>
    </w:p>
    <w:p>
      <w:pPr>
        <w:ind w:right="100"/>
        <w:spacing w:after="0" w:line="291" w:lineRule="auto"/>
        <w:rPr>
          <w:sz w:val="20"/>
          <w:szCs w:val="20"/>
          <w:color w:val="auto"/>
        </w:rPr>
      </w:pPr>
      <w:r>
        <w:rPr>
          <w:rFonts w:ascii="Arial" w:cs="Arial" w:eastAsia="Arial" w:hAnsi="Arial"/>
          <w:sz w:val="16"/>
          <w:szCs w:val="16"/>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w:t>
      </w:r>
    </w:p>
    <w:p>
      <w:pPr>
        <w:ind w:right="40" w:firstLine="8"/>
        <w:spacing w:after="0" w:line="255"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after the date of the initial filing of this prospectus supplement, or (ii) after the date of this prospectus supplement but prior to the termination of the offering. These documents include periodic reports, such as Annual Reports on Form 10-K, Quarterly Reports on Form 10-Q and Current Reports on Form 8-K, as well as proxy statements.</w:t>
      </w:r>
    </w:p>
    <w:p>
      <w:pPr>
        <w:spacing w:after="0" w:line="82" w:lineRule="exact"/>
        <w:rPr>
          <w:rFonts w:ascii="Arial" w:cs="Arial" w:eastAsia="Arial" w:hAnsi="Arial"/>
          <w:sz w:val="18"/>
          <w:szCs w:val="18"/>
          <w:color w:val="auto"/>
        </w:rPr>
      </w:pPr>
    </w:p>
    <w:p>
      <w:pPr>
        <w:ind w:right="40"/>
        <w:spacing w:after="0" w:line="259" w:lineRule="auto"/>
        <w:rPr>
          <w:sz w:val="20"/>
          <w:szCs w:val="20"/>
          <w:color w:val="auto"/>
        </w:rPr>
      </w:pPr>
      <w:r>
        <w:rPr>
          <w:rFonts w:ascii="Arial" w:cs="Arial" w:eastAsia="Arial" w:hAnsi="Arial"/>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Requests should be directed to: Fulgent Genetics, Inc., Attn: Investor Relations, 4978 Santa Anita Avenue, Suite 205, Temple City, California 91780, telephone: (626) 350-0537.</w:t>
      </w:r>
    </w:p>
    <w:p>
      <w:pPr>
        <w:spacing w:after="0" w:line="79" w:lineRule="exact"/>
        <w:rPr>
          <w:rFonts w:ascii="Arial" w:cs="Arial" w:eastAsia="Arial" w:hAnsi="Arial"/>
          <w:sz w:val="18"/>
          <w:szCs w:val="18"/>
          <w:color w:val="auto"/>
        </w:rPr>
      </w:pPr>
    </w:p>
    <w:p>
      <w:pPr>
        <w:jc w:val="both"/>
        <w:spacing w:after="0" w:line="264"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39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11430</wp:posOffset>
            </wp:positionV>
            <wp:extent cx="1577975" cy="488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57797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$75,000,000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Rights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Units</w:t>
      </w:r>
    </w:p>
    <w:p>
      <w:pPr>
        <w:spacing w:after="0" w:line="20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From time to time, we may offer up to $75,000,000 of any combination of the securities described in this prospectus. We may also offer securities as may be issuable upon conversion, redemption, repurchase, exchange or exercise of any securities registered hereunder, including any applicable antidilution provisions.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a sale of any securities unless accompanied by a prospectus supplement.</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common stock is traded on the Nasdaq Global Market under the symbol “FLGT.” On August 9, 2019, the last reported sales price of our common stock was $11.31 per share. The applicable prospectus supplement will contain information, where applicable, as to any other listing on the Nasdaq Global Market or any securities market or other exchange of the securities, if any, covered by the prospectus supplement.</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6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aggregate market value of our outstanding common stock held by non-affiliates pursuant to General Instruction I.B.6 of Form S-3 was approximately $59.3 million based on 18,486,137 shares of common stock outstanding as of August 9, 2019, of which 5,242,649 shares were held by non-affiliates, and a last reported sale price on the Nasdaq Global Market of $11.31 per share on August 9, 2019. Pursuant to General Instruction I.B.6 of Form S-3, in no event will we sell securities pursuant to this registration statement with a value more than one-third of the aggregate market value of our common stock held by non-affiliates in any 12-month period, so long as the aggregate market value of our common stock held by non-affiliates is less than $75.0 million. We have not sold any securities pursuant to General Instruction I.B.6 of Form S-3 during the 12 calendar months prior to, and including, the date of this registration statement.</w:t>
      </w:r>
    </w:p>
    <w:p>
      <w:pPr>
        <w:spacing w:after="0" w:line="200" w:lineRule="exact"/>
        <w:rPr>
          <w:sz w:val="20"/>
          <w:szCs w:val="20"/>
          <w:color w:val="auto"/>
        </w:rPr>
      </w:pPr>
    </w:p>
    <w:p>
      <w:pPr>
        <w:spacing w:after="0" w:line="31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You should review carefully the risks and uncertainties described under the heading “Risk Factors” contained in the applicable prospectus supplement and any related free writing prospectus, and under similar headings in the other documents that are incorporated by reference into this prospectus.</w:t>
      </w:r>
    </w:p>
    <w:p>
      <w:pPr>
        <w:spacing w:after="0" w:line="393"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August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40" w:type="dxa"/>
            <w:vAlign w:val="bottom"/>
            <w:gridSpan w:val="4"/>
          </w:tcPr>
          <w:p>
            <w:pPr>
              <w:ind w:left="94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608"/>
        </w:trPr>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ABOUT THIS PROSPECTUS</w:t>
              </w:r>
            </w:hyperlink>
          </w:p>
        </w:tc>
        <w:tc>
          <w:tcPr>
            <w:tcW w:w="6720" w:type="dxa"/>
            <w:vAlign w:val="bottom"/>
            <w:gridSpan w:val="10"/>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10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PROSPECTUS SUMMARY</w:t>
              </w:r>
            </w:hyperlink>
          </w:p>
        </w:tc>
        <w:tc>
          <w:tcPr>
            <w:tcW w:w="6860" w:type="dxa"/>
            <w:vAlign w:val="bottom"/>
            <w:gridSpan w:val="1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RISK FACTORS</w:t>
              </w:r>
            </w:hyperlink>
          </w:p>
        </w:tc>
        <w:tc>
          <w:tcPr>
            <w:tcW w:w="770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52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RATIO OF EARNINGS TO FIXED CHARGES</w:t>
              </w:r>
            </w:hyperlink>
          </w:p>
        </w:tc>
        <w:tc>
          <w:tcPr>
            <w:tcW w:w="544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SPECIAL NOTE REGARDING FORWARD-LOOKING STATEMENTS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53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362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PLAN OF DISTRIBUTION</w:t>
              </w:r>
            </w:hyperlink>
          </w:p>
        </w:tc>
        <w:tc>
          <w:tcPr>
            <w:tcW w:w="690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DESCRIPTION OF CAPITAL STOCK</w:t>
              </w:r>
            </w:hyperlink>
          </w:p>
        </w:tc>
        <w:tc>
          <w:tcPr>
            <w:tcW w:w="608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0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DESCRIPTION OF DEBT SECURITIES</w:t>
              </w:r>
            </w:hyperlink>
          </w:p>
        </w:tc>
        <w:tc>
          <w:tcPr>
            <w:tcW w:w="592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WARRANTS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4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RIGHTS</w:t>
              </w:r>
            </w:hyperlink>
          </w:p>
        </w:tc>
        <w:tc>
          <w:tcPr>
            <w:tcW w:w="648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140" w:type="dxa"/>
            <w:vAlign w:val="bottom"/>
            <w:tcBorders>
              <w:top w:val="single" w:sz="8" w:color="0000EE"/>
            </w:tcBorders>
            <w:gridSpan w:val="8"/>
          </w:tcPr>
          <w:p>
            <w:pPr>
              <w:spacing w:after="0" w:line="196"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DESCRIPTION OF UNITS</w:t>
              </w:r>
            </w:hyperlink>
          </w:p>
        </w:tc>
        <w:tc>
          <w:tcPr>
            <w:tcW w:w="682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0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6940" w:type="dxa"/>
            <w:vAlign w:val="bottom"/>
            <w:gridSpan w:val="1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7500" w:type="dxa"/>
            <w:vAlign w:val="bottom"/>
            <w:gridSpan w:val="1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360" w:type="dxa"/>
            <w:vAlign w:val="bottom"/>
            <w:gridSpan w:val="10"/>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INCORPORATION OF CERTAIN INFORMATION BY REFERENCE</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360" w:type="dxa"/>
            <w:vAlign w:val="bottom"/>
            <w:gridSpan w:val="10"/>
            <w:shd w:val="clear" w:color="auto" w:fill="0000EE"/>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DISCLOSURE OF COMMISSION POSITION ON INDEMNIFICATION FOR</w:t>
              </w:r>
            </w:hyperlink>
          </w:p>
        </w:tc>
        <w:tc>
          <w:tcPr>
            <w:tcW w:w="316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196"/>
        </w:trPr>
        <w:tc>
          <w:tcPr>
            <w:tcW w:w="8960" w:type="dxa"/>
            <w:vAlign w:val="bottom"/>
            <w:gridSpan w:val="1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SECURITIES ACT LIABILITY</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This prospectus is a part of a registration statement on Form S-3 that we filed with the Securities and Exchange Commission, or SEC, utilizing a “shelf” registration process. Under this shelf registration process, we may sell any combination of the securities described in this prospectus in one or more offerings up to a total dollar amount of $75,000,000. This prospectus provides you with a general description of the securities we may offer.</w:t>
      </w:r>
    </w:p>
    <w:p>
      <w:pPr>
        <w:spacing w:after="0" w:line="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66" w:lineRule="exact"/>
        <w:rPr>
          <w:sz w:val="20"/>
          <w:szCs w:val="20"/>
          <w:color w:val="auto"/>
        </w:rPr>
      </w:pPr>
    </w:p>
    <w:p>
      <w:pPr>
        <w:ind w:right="114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You should rely only on the information that we have provided or incorporated by reference in this prospectus, any applicable prospectus supplement and any related free writing prospectus that we may authorize to be provided to you. We have not authorized any dealer, salesman or other person to give any information or to make any representation other than those contained or incorporated by reference in this prospectus, any applicable prospectus supplement or any related free writing prospectus that we may authorize to be provided to you. You must not rely upon any information or representation not contained or incorporated by reference in this prospectus, any applicable prospectus supplement or any related free writing prospectus.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8320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267575" cy="8320405"/>
                    </a:xfrm>
                    <a:prstGeom prst="rect">
                      <a:avLst/>
                    </a:prstGeom>
                    <a:noFill/>
                  </pic:spPr>
                </pic:pic>
              </a:graphicData>
            </a:graphic>
          </wp:anchor>
        </w:drawing>
        <w:t>PROSPECTUS SUMMARY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r>
        <w:rPr>
          <w:rFonts w:ascii="Arial" w:cs="Arial" w:eastAsia="Arial" w:hAnsi="Arial"/>
          <w:sz w:val="18"/>
          <w:szCs w:val="18"/>
          <w:color w:val="auto"/>
        </w:rPr>
        <w:t>.</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Unless the context indicates otherwise, as used in this prospectus, the terms “Fulgent Genetics,” “Fulgent,” “the Company,” “we,” “us” and “our” refer to Fulgent Genetics, Inc.,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Fulgent Genetics, Inc.</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Fulgent is a growing technology company offering comprehensive genetic testing and providing physicians with clinically actionable diagnostic information they can use to improve the quality of patient care. We have developed a proprietary technology platform that allows us to offer a broad and flexible test menu and continually expand and improve our proprietary genetic reference library, while maintaining accessible pricing, high accuracy and competitive turnaround times. Combining next generation sequencing, or NGS, with our technology platform, we perform full-gene sequencing with deletion/duplication analysis in single-gene tests; pre-established, multi-gene, disease-specific panels; and customized panels that can be tailored to meet specific customer needs. We believe our test menu offers more genes for testing than our competitors in today’s market, which enables us to provide expansive options for test customization and clinically actionable results. After launching our first commercial genetic tests in 2013 and as of August 2019, we have expanded our test menu to include approximately 18,000 single-gene tests and more than 800 panels that collectively test for approximately 7,700 genetic conditions, including various cancers, cardiovascular diseases, neurological disorders and pediatric conditions. A cornerstone of our business is our ability to provide expansive options and flexibility for all clients’ unique genetic testing needs.</w:t>
      </w:r>
    </w:p>
    <w:p>
      <w:pPr>
        <w:spacing w:after="0" w:line="18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Genetic testing offers the possibility of early identification of a disease or a genetic predisposition to a disease and enhanced disease treatment and prognosis. As a result, we believe widespread genetic testing could enable significant health improvements and healthcare cost reductions by providing patients and clinicians with more advanced knowledge and options for personal health management plans. Due to these and other potential benefits, genetic testing has experienced significant growth in recent years. If this growth trend continues, we believe genetic testing will become part of standard medical care. The knowledge of a person’s unique genetic makeup could then begin to play a more important role in the practice of medicine. We believe this growth has been tempered in prior years, however, because many tests are prohibitively expensive, are produced through inefficient processes and often do not result in clinically actionable data. Through our technology platform, we have developed an offering that we believe addresses these industry challenges and provides a sustainable competitive advantage, both in today’s genetic testing market and as we seek to implement new diagnostic tools in the future.</w:t>
      </w:r>
    </w:p>
    <w:p>
      <w:pPr>
        <w:spacing w:after="0" w:line="17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Our technology platform, which integrates sophisticated data comparison and suppression algorithms, adaptive learning software, advanced genetic diagnostics tools and integrated laboratory processes, allows us to offer a test menu with expansive genetic coverage. We believe the comprehensive data output and high detection rates of our tests, both made possible by this expansive genetic coverage, provide physicians with information they can readily incorporate into treatment decisions for their patients, which we refer to as clinical actionability. In addition, our technology platform facilitates our ability to perform customized genetic tests using our expansive library of genes, and we believe this flexibility increases the utility of the genetic data we produce. Further, our technology platform provides us with operating efficiencies that help lower our internal costs, which allows us to offer our tests at accessible price points. As a result, our efforts to build and continually enhance our technology platform allow us to deliver comprehensive, adaptable, clinically actionable and affordable genetic analysis while maintaining a low cost per billable test, enabling us to efficiently meet the needs of our growing base of customers. These features of our offering have resulted in rapid volume growth since our commercial launch, with 23,899 billable tests delivered as of June 2019, 22,298 billable tests delivered in 2018, 16,578 billable tests delivered in 2017, and an aggregate of over 83,100 billable tests delivered to approximately 1,000 customers from inception through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165100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00"/>
          </w:cols>
          <w:pgMar w:left="1160" w:top="1067" w:right="11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497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267575" cy="7497445"/>
                    </a:xfrm>
                    <a:prstGeom prst="rect">
                      <a:avLst/>
                    </a:prstGeom>
                    <a:noFill/>
                  </pic:spPr>
                </pic:pic>
              </a:graphicData>
            </a:graphic>
          </wp:anchor>
        </w:drawing>
        <w:t>Corporate Information</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Information concerning the Company is contained in the documents that we file with the Securities and Exchange Commission, or the SEC, as a reporting company under the Securities Exchange Act of 1934, as amended, which are accessible at www.sec.gov. Our website address is </w:t>
      </w:r>
      <w:r>
        <w:rPr>
          <w:rFonts w:ascii="Arial" w:cs="Arial" w:eastAsia="Arial" w:hAnsi="Arial"/>
          <w:sz w:val="17"/>
          <w:szCs w:val="17"/>
          <w:i w:val="1"/>
          <w:iCs w:val="1"/>
          <w:color w:val="auto"/>
        </w:rPr>
        <w:t>www.fulgentgenetics.com</w:t>
      </w:r>
      <w:r>
        <w:rPr>
          <w:rFonts w:ascii="Arial" w:cs="Arial" w:eastAsia="Arial" w:hAnsi="Arial"/>
          <w:sz w:val="17"/>
          <w:szCs w:val="17"/>
          <w:color w:val="auto"/>
        </w:rPr>
        <w:t>.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Our mailing address is 4978 Santa Anita Avenue, Temple City, California 91780. Our telephone number is (626) 350-0537.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may offer shares of our common stock, preferred stock, various series of debt securities and warrants to purchase any of such securities, or units to purchase any combination thereof, with a total value of up to $75,000,000 from time to time under this prospectus, together with any applicable prospectus supplement and any related free writing prospectus,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65" w:lineRule="exact"/>
        <w:rPr>
          <w:sz w:val="20"/>
          <w:szCs w:val="20"/>
          <w:color w:val="auto"/>
        </w:rPr>
      </w:pPr>
    </w:p>
    <w:p>
      <w:pPr>
        <w:ind w:left="720" w:hanging="35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720" w:hanging="35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720" w:hanging="35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720" w:hanging="35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225" w:lineRule="exact"/>
        <w:rPr>
          <w:rFonts w:ascii="Arial" w:cs="Arial" w:eastAsia="Arial" w:hAnsi="Arial"/>
          <w:sz w:val="18"/>
          <w:szCs w:val="18"/>
          <w:color w:val="auto"/>
        </w:rPr>
      </w:pPr>
    </w:p>
    <w:p>
      <w:pPr>
        <w:ind w:left="720" w:hanging="35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720" w:hanging="35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redemption, conversion, exchange or sinking fund terms, if any;</w:t>
      </w:r>
    </w:p>
    <w:p>
      <w:pPr>
        <w:spacing w:after="0" w:line="225" w:lineRule="exact"/>
        <w:rPr>
          <w:rFonts w:ascii="Arial" w:cs="Arial" w:eastAsia="Arial" w:hAnsi="Arial"/>
          <w:sz w:val="18"/>
          <w:szCs w:val="18"/>
          <w:color w:val="auto"/>
        </w:rPr>
      </w:pPr>
    </w:p>
    <w:p>
      <w:pPr>
        <w:ind w:left="720" w:right="380" w:hanging="359"/>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123" w:lineRule="exact"/>
        <w:rPr>
          <w:rFonts w:ascii="Arial" w:cs="Arial" w:eastAsia="Arial" w:hAnsi="Arial"/>
          <w:sz w:val="16"/>
          <w:szCs w:val="16"/>
          <w:color w:val="auto"/>
        </w:rPr>
      </w:pPr>
    </w:p>
    <w:p>
      <w:pPr>
        <w:ind w:left="720" w:hanging="35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ranking;</w:t>
      </w:r>
    </w:p>
    <w:p>
      <w:pPr>
        <w:spacing w:after="0" w:line="225" w:lineRule="exact"/>
        <w:rPr>
          <w:rFonts w:ascii="Arial" w:cs="Arial" w:eastAsia="Arial" w:hAnsi="Arial"/>
          <w:sz w:val="18"/>
          <w:szCs w:val="18"/>
          <w:color w:val="auto"/>
        </w:rPr>
      </w:pPr>
    </w:p>
    <w:p>
      <w:pPr>
        <w:ind w:left="720" w:hanging="35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225" w:lineRule="exact"/>
        <w:rPr>
          <w:rFonts w:ascii="Arial" w:cs="Arial" w:eastAsia="Arial" w:hAnsi="Arial"/>
          <w:sz w:val="18"/>
          <w:szCs w:val="18"/>
          <w:color w:val="auto"/>
        </w:rPr>
      </w:pPr>
    </w:p>
    <w:p>
      <w:pPr>
        <w:ind w:left="720" w:hanging="35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720" w:hanging="35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important United States federal income tax considerations.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165100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00"/>
          </w:cols>
          <w:pgMar w:left="1160" w:top="1066" w:right="1139" w:bottom="1440" w:gutter="0" w:footer="0" w:header="0"/>
        </w:sectPr>
      </w:pPr>
    </w:p>
    <w:bookmarkStart w:id="23" w:name="page24"/>
    <w:bookmarkEnd w:id="23"/>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380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267575" cy="3380740"/>
                    </a:xfrm>
                    <a:prstGeom prst="rect">
                      <a:avLst/>
                    </a:prstGeom>
                    <a:noFill/>
                  </pic:spPr>
                </pic:pic>
              </a:graphicData>
            </a:graphic>
          </wp:anchor>
        </w:drawing>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81" w:lineRule="exact"/>
        <w:rPr>
          <w:sz w:val="20"/>
          <w:szCs w:val="20"/>
          <w:color w:val="auto"/>
        </w:rPr>
      </w:pPr>
    </w:p>
    <w:p>
      <w:pPr>
        <w:ind w:left="720" w:hanging="35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names of those underwriters or agents;</w:t>
      </w:r>
    </w:p>
    <w:p>
      <w:pPr>
        <w:spacing w:after="0" w:line="225" w:lineRule="exact"/>
        <w:rPr>
          <w:rFonts w:ascii="Arial" w:cs="Arial" w:eastAsia="Arial" w:hAnsi="Arial"/>
          <w:sz w:val="18"/>
          <w:szCs w:val="18"/>
          <w:color w:val="auto"/>
        </w:rPr>
      </w:pPr>
    </w:p>
    <w:p>
      <w:pPr>
        <w:ind w:left="720" w:hanging="35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720" w:hanging="35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720" w:hanging="35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estimated net proceeds to us.</w:t>
      </w:r>
    </w:p>
    <w:p>
      <w:pPr>
        <w:spacing w:after="0" w:line="221" w:lineRule="exact"/>
        <w:rPr>
          <w:sz w:val="20"/>
          <w:szCs w:val="20"/>
          <w:color w:val="auto"/>
        </w:rPr>
      </w:pPr>
    </w:p>
    <w:p>
      <w:pPr>
        <w:ind w:left="78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165100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0"/>
          </w:cols>
          <w:pgMar w:left="1160" w:top="1071" w:right="111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the other documents that are incorporated by reference into this prospectus,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and the applicable prospectus supplement include and incorporate by reference “forward-looking statements.”</w:t>
      </w:r>
    </w:p>
    <w:p>
      <w:pPr>
        <w:spacing w:after="0" w:line="225" w:lineRule="exact"/>
        <w:rPr>
          <w:sz w:val="20"/>
          <w:szCs w:val="20"/>
          <w:color w:val="auto"/>
        </w:rPr>
      </w:pPr>
    </w:p>
    <w:p>
      <w:pPr>
        <w:ind w:left="880" w:right="100"/>
        <w:spacing w:after="0" w:line="302" w:lineRule="auto"/>
        <w:rPr>
          <w:sz w:val="20"/>
          <w:szCs w:val="20"/>
          <w:color w:val="auto"/>
        </w:rPr>
      </w:pPr>
      <w:r>
        <w:rPr>
          <w:rFonts w:ascii="Arial" w:cs="Arial" w:eastAsia="Arial" w:hAnsi="Arial"/>
          <w:sz w:val="16"/>
          <w:szCs w:val="16"/>
          <w:color w:val="auto"/>
        </w:rPr>
        <w:t>We intend these forward-looking statements to be covered by the safe harbor provisions for forward looking statements contained in the Private Securities Litigation Reform Act of 1995. Words such as “anticipate,” “estimate,” “expect,” “project,” “intend,” “may,” “plan,” “predict,” “believe,” “possible,” “should” and similar words or expressions are intended to identify forward looking statements although not all forward-looking statements contain these identifying words. These forward looking statements include statements about, among other things:</w:t>
      </w:r>
    </w:p>
    <w:p>
      <w:pPr>
        <w:spacing w:after="0" w:line="154" w:lineRule="exact"/>
        <w:rPr>
          <w:sz w:val="20"/>
          <w:szCs w:val="20"/>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projections and trends relating to us, our competitors and our industry;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strategic plans for our business;</w:t>
      </w:r>
    </w:p>
    <w:p>
      <w:pPr>
        <w:spacing w:after="0" w:line="225" w:lineRule="exact"/>
        <w:rPr>
          <w:rFonts w:ascii="Arial" w:cs="Arial" w:eastAsia="Arial" w:hAnsi="Arial"/>
          <w:sz w:val="18"/>
          <w:szCs w:val="18"/>
          <w:color w:val="auto"/>
        </w:rPr>
      </w:pPr>
    </w:p>
    <w:p>
      <w:pPr>
        <w:ind w:left="880" w:right="74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performance, including our ability to achieve equal or higher levels of revenue, stabilize the historical fluctuations in our performance and achieve or grow profitability;</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rate and degree of market acceptance and adoption of our tests and genetic testing generally and other anticipated trends in our industry;</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remain competitive, particularly if the genetic testing market continues to expand and competition becomes more acute;</w:t>
      </w:r>
    </w:p>
    <w:p>
      <w:pPr>
        <w:spacing w:after="0" w:line="236" w:lineRule="exact"/>
        <w:rPr>
          <w:rFonts w:ascii="Arial" w:cs="Arial" w:eastAsia="Arial" w:hAnsi="Arial"/>
          <w:sz w:val="17"/>
          <w:szCs w:val="17"/>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expand the number of genes covered by our tests and introduce other improvements to our tests;</w:t>
      </w:r>
    </w:p>
    <w:p>
      <w:pPr>
        <w:spacing w:after="0" w:line="225"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continued ability to offer affordable pricing for our tests, in spite of recent price degradation in our industry, and our ability to maintain the low internal costs of our business model and record acceptable margins on our sales;</w:t>
      </w:r>
    </w:p>
    <w:p>
      <w:pPr>
        <w:spacing w:after="0" w:line="170" w:lineRule="exact"/>
        <w:rPr>
          <w:rFonts w:ascii="Arial" w:cs="Arial" w:eastAsia="Arial" w:hAnsi="Arial"/>
          <w:sz w:val="18"/>
          <w:szCs w:val="18"/>
          <w:color w:val="auto"/>
        </w:rPr>
      </w:pPr>
    </w:p>
    <w:p>
      <w:pPr>
        <w:ind w:left="880" w:right="64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strengthen our existing base of hospital and medical institution customers by maintaining or increasing demand from these customers;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grow and diversify our customer base, including our plans to target new institutional and individual customer groups;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a limited number of suppliers and ability to adapt to possible disruptions in their operations;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use of our sole laboratory facility and ability to adapt in the event it is damaged or rendered inoperable;</w:t>
      </w:r>
    </w:p>
    <w:p>
      <w:pPr>
        <w:spacing w:after="0" w:line="225" w:lineRule="exact"/>
        <w:rPr>
          <w:rFonts w:ascii="Arial" w:cs="Arial" w:eastAsia="Arial" w:hAnsi="Arial"/>
          <w:sz w:val="18"/>
          <w:szCs w:val="18"/>
          <w:color w:val="auto"/>
        </w:rPr>
      </w:pPr>
    </w:p>
    <w:p>
      <w:pPr>
        <w:ind w:left="880" w:right="440" w:hanging="440"/>
        <w:spacing w:after="0" w:line="264"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success of our efforts to increase our global presence, including strengthening relationships with existing and new international customers and establishing other types of arrangements, including our joint venture in the People’s Republic of China, or PRC, or other international joint venture or distributor relationships we may pursue;</w:t>
      </w:r>
    </w:p>
    <w:p>
      <w:pPr>
        <w:spacing w:after="0" w:line="18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our business of our recent investments in building and restructuring our sales and marketing strategies and teams, and our plans for future sales and marketing efforts;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advancements in technology by us and our competitors;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use of technology and ability to prevent security breaches, loss of data and other disruptions;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27" w:name="page28"/>
    <w:bookmarkEnd w:id="27"/>
    <w:p>
      <w:pPr>
        <w:ind w:left="440" w:right="80" w:hanging="440"/>
        <w:spacing w:after="0" w:line="27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effectively manage any growth we may experience, including expanding our infrastructure, developing increased efficiencies in our operations and hiring additional skilled personnel in order to support any such growth;</w:t>
      </w:r>
    </w:p>
    <w:p>
      <w:pPr>
        <w:spacing w:after="0" w:line="170" w:lineRule="exact"/>
        <w:rPr>
          <w:rFonts w:ascii="Arial" w:cs="Arial" w:eastAsia="Arial" w:hAnsi="Arial"/>
          <w:sz w:val="18"/>
          <w:szCs w:val="18"/>
          <w:color w:val="auto"/>
        </w:rPr>
      </w:pPr>
    </w:p>
    <w:p>
      <w:pPr>
        <w:ind w:left="440" w:hanging="440"/>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developments with respect to U.S. and foreign regulations applicable to our business, and our ability to comply with these regulations;</w:t>
      </w:r>
    </w:p>
    <w:p>
      <w:pPr>
        <w:spacing w:after="0" w:line="236" w:lineRule="exact"/>
        <w:rPr>
          <w:rFonts w:ascii="Arial" w:cs="Arial" w:eastAsia="Arial" w:hAnsi="Arial"/>
          <w:sz w:val="17"/>
          <w:szCs w:val="17"/>
          <w:color w:val="auto"/>
        </w:rPr>
      </w:pPr>
    </w:p>
    <w:p>
      <w:pPr>
        <w:ind w:left="440" w:hanging="440"/>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prevent errors in interpreting the results of our tests so as to avoid product liability and professional liability claims;</w:t>
      </w:r>
    </w:p>
    <w:p>
      <w:pPr>
        <w:spacing w:after="0" w:line="225" w:lineRule="exact"/>
        <w:rPr>
          <w:rFonts w:ascii="Arial" w:cs="Arial" w:eastAsia="Arial" w:hAnsi="Arial"/>
          <w:sz w:val="18"/>
          <w:szCs w:val="18"/>
          <w:color w:val="auto"/>
        </w:rPr>
      </w:pPr>
    </w:p>
    <w:p>
      <w:pPr>
        <w:ind w:left="440" w:right="80" w:hanging="440"/>
        <w:spacing w:after="0" w:line="27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and maintain coverage and adequate reimbursement for our tests and to manage the complexity of billing and collecting such reimbursement;</w:t>
      </w:r>
    </w:p>
    <w:p>
      <w:pPr>
        <w:spacing w:after="0" w:line="170" w:lineRule="exact"/>
        <w:rPr>
          <w:rFonts w:ascii="Arial" w:cs="Arial" w:eastAsia="Arial" w:hAnsi="Arial"/>
          <w:sz w:val="18"/>
          <w:szCs w:val="18"/>
          <w:color w:val="auto"/>
        </w:rPr>
      </w:pPr>
    </w:p>
    <w:p>
      <w:pPr>
        <w:jc w:val="both"/>
        <w:ind w:left="440" w:right="480" w:hanging="440"/>
        <w:spacing w:after="0" w:line="26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state of the U.S. and foreign healthcare markets, including the role of governments in the healthcare industry generally and pressures or incentives to reduce healthcare costs while expanding individual benefits, as well as the impact of general uncertainty in the U.S. healthcare regulatory environment following the results of the 2016 U.S. presidential election;</w:t>
      </w:r>
    </w:p>
    <w:p>
      <w:pPr>
        <w:spacing w:after="0" w:line="181" w:lineRule="exact"/>
        <w:rPr>
          <w:rFonts w:ascii="Arial" w:cs="Arial" w:eastAsia="Arial" w:hAnsi="Arial"/>
          <w:sz w:val="18"/>
          <w:szCs w:val="18"/>
          <w:color w:val="auto"/>
        </w:rPr>
      </w:pPr>
    </w:p>
    <w:p>
      <w:pPr>
        <w:ind w:left="440" w:hanging="440"/>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retain and motivate key scientific and management personnel;</w:t>
      </w:r>
    </w:p>
    <w:p>
      <w:pPr>
        <w:spacing w:after="0" w:line="225" w:lineRule="exact"/>
        <w:rPr>
          <w:rFonts w:ascii="Arial" w:cs="Arial" w:eastAsia="Arial" w:hAnsi="Arial"/>
          <w:sz w:val="18"/>
          <w:szCs w:val="18"/>
          <w:color w:val="auto"/>
        </w:rPr>
      </w:pPr>
    </w:p>
    <w:p>
      <w:pPr>
        <w:ind w:left="440" w:right="120" w:hanging="440"/>
        <w:spacing w:after="0" w:line="27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protection of our trade secrets and other intellectual property rights and not infringe the rights of others;</w:t>
      </w:r>
    </w:p>
    <w:p>
      <w:pPr>
        <w:spacing w:after="0" w:line="170" w:lineRule="exact"/>
        <w:rPr>
          <w:rFonts w:ascii="Arial" w:cs="Arial" w:eastAsia="Arial" w:hAnsi="Arial"/>
          <w:sz w:val="18"/>
          <w:szCs w:val="18"/>
          <w:color w:val="auto"/>
        </w:rPr>
      </w:pPr>
    </w:p>
    <w:p>
      <w:pPr>
        <w:ind w:left="440" w:hanging="440"/>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our future expense levels and our ability to appropriately forecast and plan our expenses;</w:t>
      </w:r>
    </w:p>
    <w:p>
      <w:pPr>
        <w:spacing w:after="0" w:line="225" w:lineRule="exact"/>
        <w:rPr>
          <w:rFonts w:ascii="Arial" w:cs="Arial" w:eastAsia="Arial" w:hAnsi="Arial"/>
          <w:sz w:val="18"/>
          <w:szCs w:val="18"/>
          <w:color w:val="auto"/>
        </w:rPr>
      </w:pPr>
    </w:p>
    <w:p>
      <w:pPr>
        <w:ind w:left="440" w:hanging="440"/>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our future capital requirements and our ability to obtain additional capital if and when needed; and</w:t>
      </w:r>
    </w:p>
    <w:p>
      <w:pPr>
        <w:spacing w:after="0" w:line="225" w:lineRule="exact"/>
        <w:rPr>
          <w:rFonts w:ascii="Arial" w:cs="Arial" w:eastAsia="Arial" w:hAnsi="Arial"/>
          <w:sz w:val="18"/>
          <w:szCs w:val="18"/>
          <w:color w:val="auto"/>
        </w:rPr>
      </w:pPr>
    </w:p>
    <w:p>
      <w:pPr>
        <w:ind w:left="440" w:hanging="440"/>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above factors and other future events on the market price of our common stock.</w:t>
      </w:r>
    </w:p>
    <w:p>
      <w:pPr>
        <w:spacing w:after="0" w:line="225" w:lineRule="exact"/>
        <w:rPr>
          <w:rFonts w:ascii="Arial" w:cs="Arial" w:eastAsia="Arial" w:hAnsi="Arial"/>
          <w:sz w:val="18"/>
          <w:szCs w:val="18"/>
          <w:color w:val="auto"/>
        </w:rPr>
      </w:pPr>
    </w:p>
    <w:p>
      <w:pPr>
        <w:ind w:left="440"/>
        <w:spacing w:after="0" w:line="253" w:lineRule="auto"/>
        <w:rPr>
          <w:rFonts w:ascii="Arial" w:cs="Arial" w:eastAsia="Arial" w:hAnsi="Arial"/>
          <w:sz w:val="18"/>
          <w:szCs w:val="18"/>
          <w:color w:val="auto"/>
        </w:rPr>
      </w:pPr>
      <w:r>
        <w:rPr>
          <w:rFonts w:ascii="Arial" w:cs="Arial" w:eastAsia="Arial" w:hAnsi="Arial"/>
          <w:sz w:val="18"/>
          <w:szCs w:val="18"/>
          <w:color w:val="auto"/>
        </w:rPr>
        <w:t>All forward-looking statements reflect management’s present assumptions, expectations and beliefs regarding future events and are subject to known and unknown risks, uncertainties and other factors that could cause actual results to differ materially from those expressed in or implied by any forward-looking statements. These risks and uncertainties include those described under the heading “Risk Factors” contained in this prospectus, any related free writing prospectus, and in our most recent annual report on Form 10-K and quarterly reports on Form 10-Q, as well as any amendments thereto reflected in subsequent filings with the SEC. Given these risks, uncertainties and other important factors, you should not place undue reliance on these forward-looking statements. You should carefully read this prospectus, the accompanying base prospectus and any related free writing prospectus, together with the information incorporated herein and therein by reference as described under the heading “Where You Can Find More Information,” completely and with the understanding that our actual future results may be materially different from what we expect.</w:t>
      </w:r>
    </w:p>
    <w:p>
      <w:pPr>
        <w:spacing w:after="0" w:line="197" w:lineRule="exact"/>
        <w:rPr>
          <w:rFonts w:ascii="Arial" w:cs="Arial" w:eastAsia="Arial" w:hAnsi="Arial"/>
          <w:sz w:val="18"/>
          <w:szCs w:val="18"/>
          <w:color w:val="auto"/>
        </w:rPr>
      </w:pPr>
    </w:p>
    <w:p>
      <w:pPr>
        <w:ind w:left="440"/>
        <w:spacing w:after="0" w:line="276" w:lineRule="auto"/>
        <w:rPr>
          <w:rFonts w:ascii="Arial" w:cs="Arial" w:eastAsia="Arial" w:hAnsi="Arial"/>
          <w:sz w:val="18"/>
          <w:szCs w:val="18"/>
          <w:color w:val="auto"/>
        </w:rPr>
      </w:pPr>
      <w:r>
        <w:rPr>
          <w:rFonts w:ascii="Arial" w:cs="Arial" w:eastAsia="Arial" w:hAnsi="Arial"/>
          <w:sz w:val="17"/>
          <w:szCs w:val="17"/>
          <w:color w:val="auto"/>
        </w:rPr>
        <w:t>These forward-looking statements represent our estimates and assumptions only as of the date made. Any such forward looking statements are not guarantees of future performance and actual results, developments and business decisions may differ from those contemplated by such forward looking statements. We undertake no duty to update these forward-looking statements after the date of this prospectus, except as required by law, even though our situation may change in the future. You should carefully consider other information set forth in reports or other documents that we file with the SEC. We qualify all of our forward-looking statements by these cautionary statements.</w:t>
      </w:r>
    </w:p>
    <w:p>
      <w:pPr>
        <w:spacing w:after="0" w:line="17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165100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68"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we inform you otherwise in the prospectus supplement, we expect to use any net proceeds from this offering for general corporate purposes, including working capital and other general and administrative purposes. We may also use any net proceeds from this offering for acquisitions of complementary products, technologies or businesses, but we do not have any current plans, agreements or commitments for any specific acquisitions at this time. We have not reserved or allocated specific amounts for any of these purposes and we cannot specify with certainty how we will use any net proceeds, and the timing and amount of our actual expenditures will be based on many factors, including, among others, cash flows from operations and any growth of our business. Our management will have broad discretion in applying any net proceeds of this offering. Until the funds are used as described above, we intend to invest any net proceeds from this offering in interest bearing, investment grade securities.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securities covered by this prospectus may be sold from time to time, at market prices prevailing at the time of sale, at prices related to market prices, at a fixed price or prices subject to change or at negotiated prices, by a variety of methods including the following:</w:t>
      </w:r>
    </w:p>
    <w:p>
      <w:pPr>
        <w:spacing w:after="0" w:line="170" w:lineRule="exact"/>
        <w:rPr>
          <w:sz w:val="20"/>
          <w:szCs w:val="20"/>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broker-dealers, who may act as agents or principals;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best-efforts basis;</w:t>
      </w:r>
    </w:p>
    <w:p>
      <w:pPr>
        <w:spacing w:after="0" w:line="225" w:lineRule="exact"/>
        <w:rPr>
          <w:rFonts w:ascii="Arial" w:cs="Arial" w:eastAsia="Arial" w:hAnsi="Arial"/>
          <w:sz w:val="18"/>
          <w:szCs w:val="18"/>
          <w:color w:val="auto"/>
        </w:rPr>
      </w:pPr>
    </w:p>
    <w:p>
      <w:pPr>
        <w:ind w:left="880" w:right="34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of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“at the market offerings” to or through a market maker or into an existing trading market, or a securities exchange or otherwise; or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any combination of the above.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effecting sales, brokers or dealers engaged by the selling stockholders may arrange for other brokers or dealers to participate. Broker-dealer transactions may include:</w:t>
      </w:r>
    </w:p>
    <w:p>
      <w:pPr>
        <w:spacing w:after="0" w:line="170" w:lineRule="exact"/>
        <w:rPr>
          <w:sz w:val="20"/>
          <w:szCs w:val="20"/>
          <w:color w:val="auto"/>
        </w:rPr>
      </w:pPr>
    </w:p>
    <w:p>
      <w:pPr>
        <w:ind w:left="880" w:right="66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of the securities by a broker-dealer as principal and resales of the securities by the broker-dealer for its account pursuant to this prospectus;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brokerage transactions; or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transactions in which the broker-dealer solicits purchasers on a best efforts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Offers to purchase securities may be solicited directly by us and the sale thereof may be made by us directly to institutional investors or others. In this case, no underwriters or agents would be involved. We may use electronic media, including the Internet, to sell offered securities directly.</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or agents designated by us, may directly solicit, from time to time, offers to purchase the securities. Any such agent may be deemed to be an underwriter as that term is defined in the Securities Act. We will name any agents involved in the offer or sale of the securities and describe any commissions payable by us to these agents in the prospectus supplement. Unless otherwise indicated in the prospectus supplement, these agents will be acting on a best efforts basis for the period of their appointment. The agents may be entitled under agreements which may be entered into with us to indemnification by us against specific civil liabilities, including liabilities under the Securities Act. The agents may also be our customers or may engage in transactions with or perform services for us in the ordinary course of business.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utilize any underwriters in the sale of the securities in respect of which this prospectus is delivered, we will enter into an underwriting agreement with those underwriters at the time of sale to them. We will set forth the names of these underwriters and the terms of the transaction in the prospectus supplement, which will be used by the underwriters to make resales of the securities in respect of which this prospectus is delivered to the public. We may indemnify the underwriters under the relevant underwriting agreement against specific liabilities, including liabilities under the Securities Act. The underwriters or their affiliates may be customers of, may engage in transactions with and may perform services for us or our affiliates in the ordinary course of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If we utilize a dealer in the sale of the securities in respect of which this prospectus is delivered, we will sell those securities to the dealer, as principal. The dealer may then resell those securities to the public at varying prices to be determined by the dealer at the time of resale. We may indemnify the dealers against specific liabilities, including liabilities under the Securities Act. The dealers or their affiliates may also be our customers or may engage in transactions with, or perform services for us in the ordinary course of business.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may offer the common stock covered by this prospectus into an existing trading market on the terms described in the prospectus supplement relating thereto. Underwriters, dealers and agents who participate in any at-the-market offerings will be described in the prospectus supplement relating thereto.</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prospectus and accompanying prospectus supplement in electronic form may be made available on the web sites maintained by the underwriters. The underwriters may agree to allocate a number of securities for sale to their online brokerage account holders. Such allocations of securities for internet distributions will be made on the same basis as other allocations. In addition, securities may be sold by the underwriters to securities dealers who resell securities to online brokerage account holders.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offerings of securities under the registration statement of which this prospectus forms a part and in compliance with applicable law, underwriters, brokers or dealers may engage in transactions that stabilize or maintain the market price of the securities at levels above those that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of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of the date of this prospectus, our certificate of incorporation authorizes us to issue 50,000,000 shares of common stock, par value $0.0001 per share, and 1,000,000 shares of preferred stock, par value $0.0001 per share. As of August 9, 2019, 18,486,137 shares of common stock were outstanding and no shares of preferred stock were outstanding.</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summary description of our capital stock is based on the provisions of our Certificate of Incorporation, as amended, or the Certificate, as well as our Bylaws, and the applicable provisions of the Delaware General Corporation Law, or the DGCL. This information is qualified entirely by reference to the applicable provisions of our Certificate, Bylaws and the DGCL. For information on how to obtain copies of our Certificate and Bylaws, which are exhibits to the registration statement of which this prospectus is a part, see “Where You Can Find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holders of our common stock are entitled to one vote for each share held on all matters submitted to a vote of our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and Xi Long have entered into an investors’ rights agreement entitling Xi Long to certain rights with respect to registration rights under the Securities Act of the shares of our common stock. For purposes of the below description, we refer to these shares as “registrable securities.” The registration rights provisions of the investors’ rights agreement provide any holders of such rights with demand, piggyback and Form S-3 registration rights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Upon the written request of a holder or holders of a majority of the registrable securities then outstanding that we file a registration statement under the Securities Act covering registrable securities with an anticipated aggregate price to the public of at least $35 million, we will be obligated to give written notice to all holders of registrable securities of such request within 20 days of our receipt of such notice. We will then be obligated to use our best efforts to register the sale of all registrable securities that the holder or holders of registrable securities request in writing to be registered within 20 days after our mailing of a notice to all such holders. We are required to file no more than one registration statement that is declared or ordered effective by the SEC upon exercise of these rights. We may delay the filing of a registration statement for up to 120 days twice in a 12-month period if, in the good faith judgment of our board of directors, such registration would be detrimental to us and our stockholders, and we are not required to file a registration statement during the period beginning 60 days prior to our good faith estimate of the date of the filing of, and ending on a date 180 days following the effective date of, a registration initiated by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we register any of our securities in connection with a public offering, we would be required to use our best efforts to register all registrable securities that the holders of such registrable securities request in writing be registered within 20 days after our mailing of a notice to all holders of the proposed registration. However, this right does not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p>
      <w:pPr>
        <w:jc w:val="both"/>
        <w:ind w:right="180"/>
        <w:spacing w:after="0" w:line="259" w:lineRule="auto"/>
        <w:rPr>
          <w:sz w:val="20"/>
          <w:szCs w:val="20"/>
          <w:color w:val="auto"/>
        </w:rPr>
      </w:pPr>
      <w:r>
        <w:rPr>
          <w:rFonts w:ascii="Arial" w:cs="Arial" w:eastAsia="Arial" w:hAnsi="Arial"/>
          <w:sz w:val="18"/>
          <w:szCs w:val="18"/>
          <w:color w:val="auto"/>
        </w:rPr>
        <w:t>apply to a registration relating to any of our equity incentive plans or a corporate reorganization or other transaction under Rule 145 of the Securities Act, a registration on any registration statement form that does not include substantially the same information as would be required to be included in a registration statement covering the sale of the registrable securities or a registration in which the only shares of common stock being registered are shares issuable upon conversion of debt securities that are also being registered.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on Form S-3</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Upon the written request of a holder or holders of at least 50% of the registrable securities then outstanding that we file a registration statement on Form S-3 covering registrable securities with an anticipated aggregate price to the public of at least $5 million (net of any underwriters’ discounts or commissions), and provided we are then eligible to file a registration statement on Form S-3, we will be obligated to use our best efforts to register the sale of all registrable securities that such holder or holders request in writing to be registered within 15 days after our mailing of a notice to all holders of such registration on Form S-3. We are required to file no more than two registration statements on Form S-3 per 12-month period upon exercise of these rights. We may delay the filing of a registration statement for up to 120 days if, in the good faith judgment of our board of directors, such registration would be detrimental to us and our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of Registration; Indemnification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generally required to pay the registration expenses, other than underwriting discounts and selling commissions, of the shares registered pursuant to the demand, piggyback and Form S-3 registrations described above. Under the Investor’s Rights Agreement, we have agreed to indemnify a holder of registrable securities, any underwriter for such a holder and any person, if any, who controls such a holder (within the meaning of the Securities Act or the Exchange Act) against any losses, claims or damages resulting from violation of securities laws and regulations and from any untrue statement or omission of material fact in any registration statement or prospectus pursuant to which we sell shares of our common stock, unless such liability arose from reliance on written information furnished by the holder for use in connection the registration of shares, and each holder has agreed to indemnify us against all losses caused by its misstatements or omissions to the extent such losses result from our reliance on written information furnished by the holder for use in connection the registration of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Registration Rights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demand, piggyback and Form S-3 registration rights described above will expire three years after the completion of our initial public offering on Form S-1 or, with respect to any particular holder, at such earlier time that the holder can sell its shares under Rule 144 under the Securities Act, or Rule 144, during any three-month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of directors is authorized, subject to the limitations imposed by Delaware law, to issue up to 1,000,000 shares of preferred stock, par value $0.0001 per share, in one or more series, without stockholder approval. Our board of directors may fix the rights, preferences, privileges and restrictions of our authorized shares of preferred stock in one or more series and authorize their issuance without the approval of our stockholders. These rights, preferences, privileges and restrictions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our company or other corporate action. Upon completion of this offering, no shares of preferred stock will be outstanding, and we have no present plans to issue any shares of preferred stock.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Certain provisions of Delaware law, our Certificate and/or our Bylaws may have the effect of delaying, deferring or discouraging another person from acquiring control of our company,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225"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24" w:lineRule="exact"/>
        <w:rPr>
          <w:sz w:val="20"/>
          <w:szCs w:val="20"/>
          <w:color w:val="auto"/>
        </w:rPr>
      </w:pPr>
    </w:p>
    <w:p>
      <w:pPr>
        <w:ind w:left="880" w:right="70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jc w:val="both"/>
        <w:ind w:left="880" w:right="160" w:hanging="440"/>
        <w:spacing w:after="0" w:line="25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8" w:lineRule="exact"/>
        <w:rPr>
          <w:rFonts w:ascii="Arial" w:cs="Arial" w:eastAsia="Arial" w:hAnsi="Arial"/>
          <w:sz w:val="18"/>
          <w:szCs w:val="18"/>
          <w:color w:val="auto"/>
        </w:rPr>
      </w:pPr>
    </w:p>
    <w:p>
      <w:pPr>
        <w:ind w:left="880" w:right="460" w:hanging="440"/>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25" w:lineRule="exact"/>
        <w:rPr>
          <w:sz w:val="20"/>
          <w:szCs w:val="20"/>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left="880" w:right="52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880" w:right="6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880" w:right="30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Incorporation and Bylaws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Certificate and Bylaws include a number of provisions that may discourage or delay attempts to take over our company or effect change to our management. 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We believe the benefits of these provisions, including increased protection of our potential ability to negotiate with the proponent of an unfriendly or unsolicited proposal to acquire or restructure our company, outweigh the disadvantages of discouraging takeover proposals.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No Cumulative Voting Rights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our Certificate does not provide for cumulative voting rights, stockholders holding a majority of our outstanding voting power will be able to elect all of our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Number of Directors; Vacancies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Bylaws provide that directors may be removed by our stockholders upon the vote of a majority of our outstanding common stock, voting together as a single class, and subject to any rights of holders of any series of preferred stock that we may issue in the future, and that any such removal may be made with or without cause. Further, subject to any rights of holders of any series of preferred stock that we may issue in the future, the authorized number of directors may be changed only by the board of directors. Vacancies and newly created directorships on the board of directors may, except as otherwise required by law or determined by the board of directors, only be filled by a majority vote of the directors then serving on the board of directors, even though less than a quorum. These provisions will make it difficult for stockholders to remove directors and will prevent a stockholder from increasing the size of our board of directors and gaining control of our board of directors by filling the resulting vacancies with its own nominees.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Actions; Special Meetings of Stockholders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Certificate and Bylaws provide that all stockholder actions must be effected at a duly called meeting of stockholders, thereby eliminating the right of stockholders to act by written consent without a meeting. Our Bylaws also provide that special meetings of stockholders may only be called by the Chairman of our board of directors, our President or our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Bylaws provide advance notice procedures that must be followed by stockholders seeking to bring business before an annual meeting of our stockholders or to nominate candidates for election as directors at any meeting of our stockholders, which will require any such notice to be delivered to us at a specified time and in a specified form and contain certain specified information. These provisions may preclude our stockholders from bringing matters before our meetings of stockholders or from making nominations for directors at our meetings of stockholders if they do not comply with these requirements.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Undesignated Preferred Stock</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existence of authorized but unissued shares of preferred stock enables our board of directors to render more difficult or to discourage an attempt to obtain control of our company by means of a merger, tender offer, proxy contest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29"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Our Certificate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w:t>
      </w:r>
    </w:p>
    <w:p>
      <w:pPr>
        <w:spacing w:after="0" w:line="124" w:lineRule="exact"/>
        <w:rPr>
          <w:sz w:val="20"/>
          <w:szCs w:val="20"/>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5" w:name="page36"/>
    <w:bookmarkEnd w:id="35"/>
    <w:p>
      <w:pPr>
        <w:ind w:right="60"/>
        <w:spacing w:after="0" w:line="276" w:lineRule="auto"/>
        <w:rPr>
          <w:sz w:val="20"/>
          <w:szCs w:val="20"/>
          <w:color w:val="auto"/>
        </w:rPr>
      </w:pPr>
      <w:r>
        <w:rPr>
          <w:rFonts w:ascii="Arial" w:cs="Arial" w:eastAsia="Arial" w:hAnsi="Arial"/>
          <w:sz w:val="17"/>
          <w:szCs w:val="17"/>
          <w:color w:val="auto"/>
        </w:rPr>
        <w:t>Additionally, our Certificate and Bylaws require us to indemnify our directors and officers to the maximum extent permitted by the DGCL and allow us to indemnify other employees and agents as set forth in the DGCL. These documents further provide that we shall pay expenses (including attorneys’ fees) incurred by an director or officer in defending any civil, criminal, administrative or investigative action, suit or proceeding for which such director or officer may be entitled to indemnification in advance of the final disposition of such action, suit or proceeding, upon receipt of an undertaking by or on behalf of such director or officer to repay such amount if it shall ultimately be determined that he or she is not entitled to be indemnified by us.</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entered separate indemnification agreements with each of our directors which provide these individuals with indemnification in addition to the indemnification provided for in our certificate of incorporation and bylaws. These agreements, among other things, require us to indemnify our directors and officers for certain expenses, including attorneys’ fees, judgments, penalties, fines and settlement amounts actually and reasonably incurred by such director and officer in any action or proceeding arising out of his or her service to us or any of our subsidiaries or any other company or enterprise to which the individual provides services at our request. Subject to certain limitations, these indemnification agreements also require us to advance expenses incurred by our directors and officers for the defense of any action for which indemnification is required or permitted.</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limitation of liability and indemnification provisions in our Certificate, Bylaws and indemnification agreements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250 Royall Street, Canton, Massachusetts 02021 and its telephone number is 1(800) 662-7232.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“FLGT.”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7" w:name="page38"/>
    <w:bookmarkEnd w:id="37"/>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880" w:right="84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8" w:name="page39"/>
    <w:bookmarkEnd w:id="38"/>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ind w:left="880" w:hanging="440"/>
        <w:spacing w:after="0" w:line="259"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880" w:right="46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jc w:val="center"/>
        <w:ind w:left="5620" w:right="1280" w:hanging="5180"/>
        <w:spacing w:after="0" w:line="778" w:lineRule="auto"/>
        <w:tabs>
          <w:tab w:leader="none" w:pos="8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9" w:name="page40"/>
    <w:bookmarkEnd w:id="39"/>
    <w:p>
      <w:pPr>
        <w:ind w:left="880" w:right="340" w:hanging="440"/>
        <w:spacing w:after="0" w:line="308"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46" w:lineRule="exact"/>
        <w:rPr>
          <w:rFonts w:ascii="Arial" w:cs="Arial" w:eastAsia="Arial" w:hAnsi="Arial"/>
          <w:sz w:val="17"/>
          <w:szCs w:val="17"/>
          <w:color w:val="auto"/>
        </w:rPr>
      </w:pPr>
    </w:p>
    <w:p>
      <w:pPr>
        <w:ind w:left="880" w:right="220" w:hanging="440"/>
        <w:spacing w:after="0" w:line="259"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will periodically file statements with the applicable debenture trustee regarding our compliance with specified covenants in the applicable indenture.</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880" w:right="36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54" w:lineRule="exact"/>
        <w:rPr>
          <w:sz w:val="20"/>
          <w:szCs w:val="20"/>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0" w:name="page41"/>
    <w:bookmarkEnd w:id="40"/>
    <w:p>
      <w:pPr>
        <w:ind w:left="20"/>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Each indenture provides that we can elect to be discharged from our obligations with respect to one or more series of debt securities, except for obligations to:</w:t>
      </w:r>
    </w:p>
    <w:p>
      <w:pPr>
        <w:spacing w:after="0" w:line="248"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transfer or exchange of debt securities of the series;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880" w:right="120" w:hanging="440"/>
        <w:spacing w:after="0" w:line="264"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1" w:name="page42"/>
    <w:bookmarkEnd w:id="41"/>
    <w:p>
      <w:pPr>
        <w:ind w:left="20"/>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00" w:firstLine="42"/>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880" w:right="260" w:hanging="440"/>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880" w:right="440" w:hanging="440"/>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jc w:val="both"/>
        <w:ind w:left="880" w:right="340" w:hanging="440"/>
        <w:spacing w:after="0" w:line="342"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880" w:right="380" w:hanging="440"/>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880" w:right="740" w:hanging="440"/>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3" w:name="page44"/>
    <w:bookmarkEnd w:id="43"/>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60"/>
          </w:cols>
          <w:pgMar w:left="240" w:top="368" w:right="109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877"/>
        <w:spacing w:after="0" w:line="269" w:lineRule="auto"/>
        <w:rPr>
          <w:sz w:val="20"/>
          <w:szCs w:val="20"/>
          <w:color w:val="auto"/>
        </w:rPr>
      </w:pPr>
      <w:r>
        <w:rPr>
          <w:rFonts w:ascii="Arial" w:cs="Arial" w:eastAsia="Arial" w:hAnsi="Arial"/>
          <w:sz w:val="17"/>
          <w:szCs w:val="17"/>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180"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880" w:right="50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5" w:name="page46"/>
    <w:bookmarkEnd w:id="45"/>
    <w:p>
      <w:pPr>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or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880" w:right="60" w:hanging="440"/>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unit agent, if any, for any units we offer will be set forth in the applicable prospectus supplement.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7" w:name="page48"/>
    <w:bookmarkEnd w:id="47"/>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Unless otherwise indicated in the applicable prospectus supplement, certain legal matters in connection with the offering and the validity of the securities offered by this prospectus, and any supplement thereto, will be passed upon by Mintz, Levin, Cohn, Ferris, Glovsky and Popeo P.C.</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consolidated financial statements incorporated in this Prospectus by reference from the Company's Annual Report on Form 10-K for the year ended December 31, 2018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The SEC maintains a website that contains reports, proxy statements and other information regarding issuers that file electronically with the SEC, including Fulgent. The address of the SEC website is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w:t>
      </w:r>
    </w:p>
    <w:p>
      <w:pPr>
        <w:spacing w:after="0" w:line="12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u w:val="single" w:color="auto"/>
          <w:color w:val="auto"/>
        </w:rPr>
        <w:t>www.fulgentgenetics.com</w:t>
      </w:r>
      <w:r>
        <w:rPr>
          <w:rFonts w:ascii="Arial" w:cs="Arial" w:eastAsia="Arial" w:hAnsi="Arial"/>
          <w:sz w:val="16"/>
          <w:szCs w:val="16"/>
          <w:color w:val="auto"/>
        </w:rPr>
        <w:t>. Information contained in or accessible through our website does not constitute a part of this prospectus.</w:t>
      </w: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001-37894. The documents incorporated by reference into this prospectus contain important information that you should read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 into this document:</w:t>
      </w:r>
    </w:p>
    <w:p>
      <w:pPr>
        <w:spacing w:after="0" w:line="225" w:lineRule="exact"/>
        <w:rPr>
          <w:sz w:val="20"/>
          <w:szCs w:val="20"/>
          <w:color w:val="auto"/>
        </w:rPr>
      </w:pPr>
    </w:p>
    <w:p>
      <w:pPr>
        <w:ind w:left="880" w:right="10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71">
        <w:r>
          <w:rPr>
            <w:rFonts w:ascii="Arial" w:cs="Arial" w:eastAsia="Arial" w:hAnsi="Arial"/>
            <w:sz w:val="18"/>
            <w:szCs w:val="18"/>
            <w:u w:val="single" w:color="auto"/>
            <w:color w:val="0000EE"/>
          </w:rPr>
          <w:t>February 28, 2019</w:t>
        </w:r>
      </w:hyperlink>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EE"/>
          </w:rPr>
          <w:t>May 7, 2019</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June 3,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3">
        <w:r>
          <w:rPr>
            <w:rFonts w:ascii="Arial" w:cs="Arial" w:eastAsia="Arial" w:hAnsi="Arial"/>
            <w:sz w:val="18"/>
            <w:szCs w:val="18"/>
            <w:u w:val="single" w:color="auto"/>
            <w:color w:val="0000EE"/>
          </w:rPr>
          <w:t>August 5,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each case, except for the information furnished under Items 2.02 or 7.01 in any Current Report on Form 8-K);</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filed with the SEC on </w:t>
      </w:r>
      <w:hyperlink r:id="rId32">
        <w:r>
          <w:rPr>
            <w:rFonts w:ascii="Arial" w:cs="Arial" w:eastAsia="Arial" w:hAnsi="Arial"/>
            <w:sz w:val="18"/>
            <w:szCs w:val="18"/>
            <w:u w:val="single" w:color="auto"/>
            <w:color w:val="0000EE"/>
          </w:rPr>
          <w:t>May 10,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3">
        <w:r>
          <w:rPr>
            <w:rFonts w:ascii="Arial" w:cs="Arial" w:eastAsia="Arial" w:hAnsi="Arial"/>
            <w:sz w:val="18"/>
            <w:szCs w:val="18"/>
            <w:u w:val="single" w:color="auto"/>
            <w:color w:val="0000EE"/>
          </w:rPr>
          <w:t>August 12,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2018 and filed with the SEC on </w:t>
      </w:r>
      <w:hyperlink r:id="rId30">
        <w:r>
          <w:rPr>
            <w:rFonts w:ascii="Arial" w:cs="Arial" w:eastAsia="Arial" w:hAnsi="Arial"/>
            <w:sz w:val="18"/>
            <w:szCs w:val="18"/>
            <w:u w:val="single" w:color="auto"/>
            <w:color w:val="0000EE"/>
          </w:rPr>
          <w:t>March 22,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Form 8-A initially filed on </w:t>
      </w:r>
      <w:hyperlink r:id="rId36">
        <w:r>
          <w:rPr>
            <w:rFonts w:ascii="Arial" w:cs="Arial" w:eastAsia="Arial" w:hAnsi="Arial"/>
            <w:sz w:val="18"/>
            <w:szCs w:val="18"/>
            <w:u w:val="single" w:color="auto"/>
            <w:color w:val="0000EE"/>
          </w:rPr>
          <w:t>September 26, 2016</w:t>
        </w:r>
      </w:hyperlink>
      <w:r>
        <w:rPr>
          <w:rFonts w:ascii="Arial" w:cs="Arial" w:eastAsia="Arial" w:hAnsi="Arial"/>
          <w:sz w:val="18"/>
          <w:szCs w:val="18"/>
          <w:color w:val="auto"/>
        </w:rPr>
        <w:t>, including any amendment or report filed for the purpose of updating such description; and</w:t>
      </w:r>
    </w:p>
    <w:p>
      <w:pPr>
        <w:spacing w:after="0" w:line="387"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48" w:name="page49"/>
    <w:bookmarkEnd w:id="48"/>
    <w:p>
      <w:pPr>
        <w:ind w:left="880" w:right="80" w:hanging="440"/>
        <w:spacing w:after="0" w:line="286"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w:t>
      </w:r>
    </w:p>
    <w:p>
      <w:pPr>
        <w:ind w:right="60" w:firstLine="8"/>
        <w:spacing w:after="0" w:line="277" w:lineRule="auto"/>
        <w:tabs>
          <w:tab w:leader="none" w:pos="2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Requests should be directed to: Fulgent Genetics, Inc., Attn: Investor Relations, 4978 Santa Anita Avenue, Suite 205, Temple City, California 91780, telephone: (626) 350-0537.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 w:name="page50"/>
    <w:bookmarkEnd w:id="49"/>
    <w:p>
      <w:pPr>
        <w:jc w:val="center"/>
        <w:ind w:right="-79"/>
        <w:spacing w:after="0"/>
        <w:rPr>
          <w:sz w:val="20"/>
          <w:szCs w:val="20"/>
          <w:color w:val="auto"/>
        </w:rPr>
      </w:pPr>
      <w:r>
        <w:rPr>
          <w:rFonts w:ascii="Arial" w:cs="Arial" w:eastAsia="Arial" w:hAnsi="Arial"/>
          <w:sz w:val="18"/>
          <w:szCs w:val="18"/>
          <w:b w:val="1"/>
          <w:bCs w:val="1"/>
          <w:color w:val="auto"/>
        </w:rPr>
        <w:t>DISCLOSURE OF COMMISSION POSITION ON INDEMNIFICATION FOR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ACT LIABILITY</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2601595</wp:posOffset>
            </wp:positionH>
            <wp:positionV relativeFrom="page">
              <wp:posOffset>346075</wp:posOffset>
            </wp:positionV>
            <wp:extent cx="2306955" cy="7118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230695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$22,500,000</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Piper Jaffray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30, 2019</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lowerRoman"/>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jpe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jpeg"/><Relationship Id="rId30" Type="http://schemas.openxmlformats.org/officeDocument/2006/relationships/hyperlink" Target="http://www.sec.gov/Archives/edgar/data/1674930/000156459019008991/flgt-10k_20181231.htm" TargetMode="External"/><Relationship Id="rId31" Type="http://schemas.openxmlformats.org/officeDocument/2006/relationships/hyperlink" Target="http://www.sec.gov/Archives/edgar/data/1674930/000156459019011852/flgt-def14a_20190530.htm" TargetMode="External"/><Relationship Id="rId32" Type="http://schemas.openxmlformats.org/officeDocument/2006/relationships/hyperlink" Target="http://www.sec.gov/Archives/edgar/data/1674930/000156459019018477/flgt-10q_20190331.htm" TargetMode="External"/><Relationship Id="rId33" Type="http://schemas.openxmlformats.org/officeDocument/2006/relationships/hyperlink" Target="http://www.sec.gov/Archives/edgar/data/1674930/000156459019031337/flgt-10q_20190630.htm" TargetMode="External"/><Relationship Id="rId34" Type="http://schemas.openxmlformats.org/officeDocument/2006/relationships/hyperlink" Target="http://www.sec.gov/Archives/edgar/data/1674930/000156459019021452/flgt-8k_20190530.htm" TargetMode="External"/><Relationship Id="rId35" Type="http://schemas.openxmlformats.org/officeDocument/2006/relationships/hyperlink" Target="http://www.sec.gov/Archives/edgar/data/1674930/000156459019028552/flgt-8k_20190801.htm" TargetMode="External"/><Relationship Id="rId36" Type="http://schemas.openxmlformats.org/officeDocument/2006/relationships/hyperlink" Target="http://www.sec.gov/Archives/edgar/data/1674930/000119312516719818/d266719d8a12b.htm" TargetMode="External"/><Relationship Id="rId71" Type="http://schemas.openxmlformats.org/officeDocument/2006/relationships/hyperlink" Target="http://www.sec.gov/Archives/edgar/data/1674930/000156459019005458/flgt-8k_20190228.htm" TargetMode="External"/><Relationship Id="rId72" Type="http://schemas.openxmlformats.org/officeDocument/2006/relationships/hyperlink" Target="http://www.sec.gov/Archives/edgar/data/1674930/000156459019016511/flgt-8k_20190507.htm" TargetMode="External"/><Relationship Id="rId73" Type="http://schemas.openxmlformats.org/officeDocument/2006/relationships/hyperlink" Target="http://www.sec.gov/Archives/edgar/data/1674930/000156459019028771/flgt-8k_201908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2019-11-29T15:10:24Z</dcterms:created>
  <dcterms:modified xsi:type="dcterms:W3CDTF">2019-11-29T15:10:24Z</dcterms:modified>
</cp:coreProperties>
</file>