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Gao Hanlin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FULGENT GENETICS,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4399 SANTA ANITA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EL MONTE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91731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Fulgent Genetics, Inc.</w:t>
              </w:r>
            </w:hyperlink>
            <w:r>
              <w:rPr/>
              <w:t xml:space="preserve"> [ </w:t>
            </w:r>
            <w:r>
              <w:rPr>
                <w:rFonts w:ascii="Times;serif" w:hAnsi="Times;serif"/>
                <w:color w:val="0000FF"/>
                <w:sz w:val="24"/>
                <w:shd w:fill="FFFFFF" w:val="clear"/>
              </w:rPr>
              <w:t>FLGT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Scientific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49"/>
        <w:gridCol w:w="916"/>
        <w:gridCol w:w="785"/>
        <w:gridCol w:w="608"/>
        <w:gridCol w:w="348"/>
        <w:gridCol w:w="794"/>
        <w:gridCol w:w="445"/>
        <w:gridCol w:w="984"/>
        <w:gridCol w:w="1154"/>
        <w:gridCol w:w="993"/>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4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4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4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939</w:t>
            </w:r>
            <w:r>
              <w:rPr>
                <w:rFonts w:ascii="Times;serif" w:hAnsi="Times;serif"/>
                <w:color w:val="008000"/>
                <w:position w:val="7"/>
                <w:sz w:val="16"/>
                <w:sz w:val="20"/>
                <w:shd w:fill="FFFFFF" w:val="clear"/>
              </w:rPr>
              <w:t>(1)</w:t>
            </w:r>
          </w:p>
        </w:tc>
        <w:tc>
          <w:tcPr>
            <w:tcW w:w="4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19.9053</w:t>
            </w:r>
            <w:r>
              <w:rPr>
                <w:rFonts w:ascii="Times;serif" w:hAnsi="Times;serif"/>
                <w:color w:val="008000"/>
                <w:position w:val="7"/>
                <w:sz w:val="16"/>
                <w:sz w:val="20"/>
                <w:shd w:fill="FFFFFF" w:val="clear"/>
              </w:rPr>
              <w:t>(2)</w:t>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987,790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were sold by the reporting person to satisfy the tax withholding obligations that arose upon the vesting of certain restricted stock units granted to the reporting person on February 26, 2024, which grant was originally reported on Form 4 filed with the U.S. Securities and Exchange Commission on February 28,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were sold in multiple transactions at prices ranging from $19.83 to $20.00, inclusive. The reported price reflects the weighted-average sale price. The reporting person hereby undertakes to provide upon request to the Securities and Exchange Commission staff, the Issuer or a security holder of the Issuer full information regarding the number of shares and prices at which the transactions were effected.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Kim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4532" TargetMode="External"/><Relationship Id="rId5" Type="http://schemas.openxmlformats.org/officeDocument/2006/relationships/hyperlink" Target="http://www.sec.gov/cgi-bin/browse-edgar?action=getcompany&amp;CIK=00016749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686</Words>
  <Characters>3727</Characters>
  <CharactersWithSpaces>4344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