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23, 2020</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Fulgent Genetics,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441" w:right="339" w:bottom="1440" w:gutter="0" w:footer="0" w:header="0"/>
        </w:sectPr>
      </w:pPr>
    </w:p>
    <w:p>
      <w:pPr>
        <w:spacing w:after="0" w:line="209"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740"/>
        <w:spacing w:after="0"/>
        <w:rPr>
          <w:sz w:val="20"/>
          <w:szCs w:val="20"/>
          <w:color w:val="auto"/>
        </w:rPr>
      </w:pPr>
      <w:r>
        <w:rPr>
          <w:rFonts w:ascii="Arial" w:cs="Arial" w:eastAsia="Arial" w:hAnsi="Arial"/>
          <w:sz w:val="18"/>
          <w:szCs w:val="18"/>
          <w:color w:val="auto"/>
        </w:rPr>
        <w:t>001-37894</w:t>
      </w:r>
    </w:p>
    <w:p>
      <w:pPr>
        <w:spacing w:after="0" w:line="23"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81-2621304</w:t>
      </w:r>
    </w:p>
    <w:p>
      <w:pPr>
        <w:spacing w:after="0" w:line="23"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441" w:right="339" w:bottom="1440" w:gutter="0" w:footer="0" w:header="0"/>
          <w:type w:val="continuous"/>
        </w:sectPr>
      </w:pPr>
    </w:p>
    <w:p>
      <w:pPr>
        <w:spacing w:after="0" w:line="22" w:lineRule="exact"/>
        <w:rPr>
          <w:sz w:val="24"/>
          <w:szCs w:val="24"/>
          <w:color w:val="auto"/>
        </w:rPr>
      </w:pPr>
    </w:p>
    <w:p>
      <w:pPr>
        <w:jc w:val="center"/>
        <w:ind w:right="1700"/>
        <w:spacing w:after="0"/>
        <w:rPr>
          <w:sz w:val="20"/>
          <w:szCs w:val="20"/>
          <w:color w:val="auto"/>
        </w:rPr>
      </w:pPr>
      <w:r>
        <w:rPr>
          <w:rFonts w:ascii="Arial" w:cs="Arial" w:eastAsia="Arial" w:hAnsi="Arial"/>
          <w:sz w:val="18"/>
          <w:szCs w:val="18"/>
          <w:color w:val="auto"/>
        </w:rPr>
        <w:t>4978 Santa Anita Avenue</w:t>
      </w:r>
    </w:p>
    <w:p>
      <w:pPr>
        <w:spacing w:after="0" w:line="23" w:lineRule="exact"/>
        <w:rPr>
          <w:sz w:val="24"/>
          <w:szCs w:val="24"/>
          <w:color w:val="auto"/>
        </w:rPr>
      </w:pPr>
    </w:p>
    <w:p>
      <w:pPr>
        <w:jc w:val="center"/>
        <w:ind w:right="1700"/>
        <w:spacing w:after="0"/>
        <w:rPr>
          <w:sz w:val="20"/>
          <w:szCs w:val="20"/>
          <w:color w:val="auto"/>
        </w:rPr>
      </w:pPr>
      <w:r>
        <w:rPr>
          <w:rFonts w:ascii="Arial" w:cs="Arial" w:eastAsia="Arial" w:hAnsi="Arial"/>
          <w:sz w:val="18"/>
          <w:szCs w:val="18"/>
          <w:color w:val="auto"/>
        </w:rPr>
        <w:t>Temple City, California</w:t>
      </w:r>
    </w:p>
    <w:p>
      <w:pPr>
        <w:spacing w:after="0" w:line="9"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jc w:val="center"/>
        <w:ind w:right="2420"/>
        <w:spacing w:after="0"/>
        <w:rPr>
          <w:sz w:val="20"/>
          <w:szCs w:val="20"/>
          <w:color w:val="auto"/>
        </w:rPr>
      </w:pPr>
      <w:r>
        <w:rPr>
          <w:rFonts w:ascii="Arial" w:cs="Arial" w:eastAsia="Arial" w:hAnsi="Arial"/>
          <w:sz w:val="18"/>
          <w:szCs w:val="18"/>
          <w:color w:val="auto"/>
        </w:rPr>
        <w:t>91780</w:t>
      </w:r>
    </w:p>
    <w:p>
      <w:pPr>
        <w:spacing w:after="0" w:line="23" w:lineRule="exact"/>
        <w:rPr>
          <w:sz w:val="24"/>
          <w:szCs w:val="24"/>
          <w:color w:val="auto"/>
        </w:rPr>
      </w:pPr>
    </w:p>
    <w:p>
      <w:pPr>
        <w:jc w:val="center"/>
        <w:ind w:right="24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20" w:space="720"/>
            <w:col w:w="3200"/>
          </w:cols>
          <w:pgMar w:left="320" w:top="441" w:right="339" w:bottom="1440" w:gutter="0" w:footer="0" w:header="0"/>
          <w:type w:val="continuous"/>
        </w:sectPr>
      </w:pP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(626) 350-0537</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740" w:hanging="368"/>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740" w:hanging="368"/>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40" w:hanging="368"/>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740" w:hanging="368"/>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240.13a-4(c))</w:t>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380" w:type="dxa"/>
        <w:tblCellMar>
          <w:top w:w="0" w:type="dxa"/>
          <w:left w:w="0" w:type="dxa"/>
          <w:bottom w:w="0" w:type="dxa"/>
          <w:right w:w="0" w:type="dxa"/>
        </w:tblCellMar>
      </w:tblPr>
      <w:tr>
        <w:trPr>
          <w:trHeight w:val="241"/>
        </w:trPr>
        <w:tc>
          <w:tcPr>
            <w:tcW w:w="3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Title of each class:</w:t>
            </w:r>
          </w:p>
        </w:tc>
        <w:tc>
          <w:tcPr>
            <w:tcW w:w="24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Trading Symbol(s)</w:t>
            </w:r>
          </w:p>
        </w:tc>
        <w:tc>
          <w:tcPr>
            <w:tcW w:w="404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15"/>
        </w:trPr>
        <w:tc>
          <w:tcPr>
            <w:tcW w:w="3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80" w:type="dxa"/>
            <w:vAlign w:val="bottom"/>
          </w:tcPr>
          <w:p>
            <w:pPr>
              <w:spacing w:after="0"/>
              <w:rPr>
                <w:sz w:val="18"/>
                <w:szCs w:val="18"/>
                <w:color w:val="auto"/>
              </w:rPr>
            </w:pP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FLGT</w:t>
            </w:r>
          </w:p>
        </w:tc>
        <w:tc>
          <w:tcPr>
            <w:tcW w:w="80" w:type="dxa"/>
            <w:vAlign w:val="bottom"/>
          </w:tcPr>
          <w:p>
            <w:pPr>
              <w:spacing w:after="0"/>
              <w:rPr>
                <w:sz w:val="18"/>
                <w:szCs w:val="18"/>
                <w:color w:val="auto"/>
              </w:rPr>
            </w:pPr>
          </w:p>
        </w:tc>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r>
        <w:trPr>
          <w:trHeight w:val="230"/>
        </w:trPr>
        <w:tc>
          <w:tcPr>
            <w:tcW w:w="3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Arial" w:cs="Arial" w:eastAsia="Arial" w:hAnsi="Arial"/>
                <w:sz w:val="18"/>
                <w:szCs w:val="18"/>
                <w:color w:val="auto"/>
                <w:w w:val="92"/>
              </w:rPr>
              <w:t>(Nasdaq Global Market)</w:t>
            </w:r>
          </w:p>
        </w:tc>
      </w:tr>
    </w:tbl>
    <w:p>
      <w:pPr>
        <w:spacing w:after="0" w:line="175" w:lineRule="exact"/>
        <w:rPr>
          <w:sz w:val="24"/>
          <w:szCs w:val="24"/>
          <w:color w:val="auto"/>
        </w:rPr>
      </w:pPr>
    </w:p>
    <w:p>
      <w:pPr>
        <w:ind w:right="420" w:firstLine="9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561975</wp:posOffset>
            </wp:positionV>
            <wp:extent cx="714946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23, 2020, Fulgent Genetics, Inc. (“Fulgent”) entered into an Agreement for Purchase and Sale of Property (the “Purchase Agreement”) for the purchase of real property located at 4309-4401 Santa Anita Avenue, El Monte, California (the “Property”) from 4401 Santa Anita Corporation, a California corporation (the “Seller”), in exchange for the payment of an aggregate cash purchase price of $15.4 million. The Property consists of approximately 61,612 total square feet of building situated on 2.6 acres of land.</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terms of the Purchase Agreement, Fulgent will have 60 days following execution of the Purchase Agreement to conduct due diligence on the Property (the “Due Diligence Period”). During the Due Diligence Period, Fulgent may deliver a notice of termination (a “Termination Notice”) to the Seller should Fulgent determine through its due diligence that the Property is not suitable for purchase by Fulgent. Pursuant to the terms of the Purchase Agreement, Fulgent will provide a $350,000 deposit refundable to Fulgent prior to the expiration of the Due Diligence Period (the “Initial Deposit”) and will provide a non-refundable $150,000 deposit prior to the expiration of the Due Diligence Period. The Purchase Agreement contains representations, warranties and indemnification provisions customary for transactions of this kind. As set forth in and subject to the conditions of the Purchase Agreement, the closing of the sale will occur 30 days after the expiration of the Due Diligence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627380</wp:posOffset>
            </wp:positionV>
            <wp:extent cx="71494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Fulgent Genetics, Inc.</w:t>
      </w:r>
    </w:p>
    <w:p>
      <w:pPr>
        <w:spacing w:after="0" w:line="279" w:lineRule="exact"/>
        <w:rPr>
          <w:sz w:val="20"/>
          <w:szCs w:val="20"/>
          <w:color w:val="auto"/>
        </w:rPr>
      </w:pPr>
    </w:p>
    <w:p>
      <w:pPr>
        <w:ind w:left="60"/>
        <w:spacing w:after="0"/>
        <w:tabs>
          <w:tab w:leader="none" w:pos="5140" w:val="left"/>
          <w:tab w:leader="none" w:pos="5640" w:val="left"/>
        </w:tabs>
        <w:rPr>
          <w:sz w:val="20"/>
          <w:szCs w:val="20"/>
          <w:color w:val="auto"/>
        </w:rPr>
      </w:pPr>
      <w:r>
        <w:rPr>
          <w:rFonts w:ascii="Arial" w:cs="Arial" w:eastAsia="Arial" w:hAnsi="Arial"/>
          <w:sz w:val="18"/>
          <w:szCs w:val="18"/>
          <w:color w:val="auto"/>
        </w:rPr>
        <w:t>Date: July 27,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2417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Paul Kim</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200"/>
      </w:cols>
      <w:pgMar w:left="320" w:top="51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2020-07-27T15:37:49Z</dcterms:created>
  <dcterms:modified xsi:type="dcterms:W3CDTF">2020-07-27T15:37:49Z</dcterms:modified>
</cp:coreProperties>
</file>