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4" w:lineRule="exact"/>
        <w:rPr>
          <w:sz w:val="24"/>
          <w:szCs w:val="24"/>
          <w:color w:val="auto"/>
        </w:rPr>
      </w:pPr>
    </w:p>
    <w:p>
      <w:pPr>
        <w:ind w:right="300" w:firstLine="8"/>
        <w:spacing w:after="0" w:line="243" w:lineRule="auto"/>
        <w:tabs>
          <w:tab w:leader="none" w:pos="40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right="300" w:firstLine="8"/>
        <w:spacing w:after="0" w:line="245" w:lineRule="auto"/>
        <w:tabs>
          <w:tab w:leader="none" w:pos="40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0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3448685</wp:posOffset>
            </wp:positionH>
            <wp:positionV relativeFrom="paragraph">
              <wp:posOffset>-5080</wp:posOffset>
            </wp:positionV>
            <wp:extent cx="800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FULGENT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81-2621304</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4399 Santa Anita Avenue</w:t>
            </w: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0"/>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gridSpan w:val="5"/>
          </w:tcPr>
          <w:p>
            <w:pPr>
              <w:jc w:val="center"/>
              <w:ind w:left="33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362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880" w:type="dxa"/>
            <w:vAlign w:val="bottom"/>
          </w:tcPr>
          <w:p>
            <w:pPr>
              <w:spacing w:after="0"/>
              <w:rPr>
                <w:sz w:val="14"/>
                <w:szCs w:val="14"/>
                <w:color w:val="auto"/>
              </w:rPr>
            </w:pPr>
          </w:p>
        </w:tc>
        <w:tc>
          <w:tcPr>
            <w:tcW w:w="3160" w:type="dxa"/>
            <w:vAlign w:val="bottom"/>
            <w:tcBorders>
              <w:right w:val="single" w:sz="8" w:color="auto"/>
            </w:tcBorders>
            <w:gridSpan w:val="2"/>
          </w:tcPr>
          <w:p>
            <w:pPr>
              <w:jc w:val="center"/>
              <w:ind w:right="880"/>
              <w:spacing w:after="0" w:line="167" w:lineRule="exact"/>
              <w:rPr>
                <w:sz w:val="20"/>
                <w:szCs w:val="20"/>
                <w:color w:val="auto"/>
              </w:rPr>
            </w:pPr>
            <w:r>
              <w:rPr>
                <w:rFonts w:ascii="Times New Roman" w:cs="Times New Roman" w:eastAsia="Times New Roman" w:hAnsi="Times New Roman"/>
                <w:sz w:val="16"/>
                <w:szCs w:val="16"/>
                <w:color w:val="auto"/>
                <w:w w:val="99"/>
              </w:rPr>
              <w:t>FLGT</w:t>
            </w:r>
          </w:p>
        </w:tc>
        <w:tc>
          <w:tcPr>
            <w:tcW w:w="100" w:type="dxa"/>
            <w:vAlign w:val="bottom"/>
          </w:tcPr>
          <w:p>
            <w:pPr>
              <w:spacing w:after="0"/>
              <w:rPr>
                <w:sz w:val="14"/>
                <w:szCs w:val="14"/>
                <w:color w:val="auto"/>
              </w:rPr>
            </w:pPr>
          </w:p>
        </w:tc>
        <w:tc>
          <w:tcPr>
            <w:tcW w:w="3480" w:type="dxa"/>
            <w:vAlign w:val="bottom"/>
            <w:tcBorders>
              <w:right w:val="single" w:sz="8" w:color="auto"/>
            </w:tcBorders>
          </w:tcPr>
          <w:p>
            <w:pPr>
              <w:jc w:val="center"/>
              <w:ind w:right="100"/>
              <w:spacing w:after="0" w:line="167"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13"/>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4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27, 2026, there were 28,400,623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47"/>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70"/>
        </w:trPr>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5720" w:type="dxa"/>
            <w:vAlign w:val="bottom"/>
            <w:gridSpan w:val="8"/>
          </w:tcPr>
          <w:p>
            <w:pPr>
              <w:spacing w:after="0"/>
              <w:rPr>
                <w:sz w:val="23"/>
                <w:szCs w:val="23"/>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29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940" w:type="dxa"/>
            <w:vAlign w:val="bottom"/>
            <w:gridSpan w:val="9"/>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4</w:t>
            </w:r>
          </w:p>
        </w:tc>
      </w:tr>
      <w:tr>
        <w:trPr>
          <w:trHeight w:val="291"/>
        </w:trPr>
        <w:tc>
          <w:tcPr>
            <w:tcW w:w="44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31</w:t>
            </w:r>
          </w:p>
        </w:tc>
      </w:tr>
      <w:tr>
        <w:trPr>
          <w:trHeight w:val="291"/>
        </w:trPr>
        <w:tc>
          <w:tcPr>
            <w:tcW w:w="49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38</w:t>
            </w:r>
          </w:p>
        </w:tc>
      </w:tr>
      <w:tr>
        <w:trPr>
          <w:trHeight w:val="290"/>
        </w:trPr>
        <w:tc>
          <w:tcPr>
            <w:tcW w:w="2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0" w:type="dxa"/>
            <w:vAlign w:val="bottom"/>
            <w:tcBorders>
              <w:bottom w:val="single" w:sz="8" w:color="0000EE"/>
            </w:tcBorders>
          </w:tcPr>
          <w:p>
            <w:pPr>
              <w:spacing w:after="0"/>
              <w:rPr>
                <w:sz w:val="24"/>
                <w:szCs w:val="24"/>
                <w:color w:val="auto"/>
              </w:rPr>
            </w:pPr>
          </w:p>
        </w:tc>
        <w:tc>
          <w:tcPr>
            <w:tcW w:w="6560" w:type="dxa"/>
            <w:vAlign w:val="bottom"/>
            <w:gridSpan w:val="11"/>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38</w:t>
            </w:r>
          </w:p>
        </w:tc>
      </w:tr>
      <w:tr>
        <w:trPr>
          <w:trHeight w:val="291"/>
        </w:trPr>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5960" w:type="dxa"/>
            <w:vAlign w:val="bottom"/>
            <w:gridSpan w:val="10"/>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0"/>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020" w:type="dxa"/>
            <w:vAlign w:val="bottom"/>
            <w:gridSpan w:val="1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1"/>
        </w:trPr>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320" w:type="dxa"/>
            <w:vAlign w:val="bottom"/>
            <w:gridSpan w:val="15"/>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1"/>
        </w:trPr>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3020" w:type="dxa"/>
            <w:vAlign w:val="bottom"/>
            <w:tcBorders>
              <w:top w:val="single" w:sz="8" w:color="0000FF"/>
            </w:tcBorders>
            <w:gridSpan w:val="11"/>
          </w:tcPr>
          <w:p>
            <w:pPr>
              <w:spacing w:after="0"/>
              <w:rPr>
                <w:sz w:val="24"/>
                <w:szCs w:val="24"/>
                <w:color w:val="auto"/>
              </w:rPr>
            </w:pPr>
          </w:p>
        </w:tc>
        <w:tc>
          <w:tcPr>
            <w:tcW w:w="4020" w:type="dxa"/>
            <w:vAlign w:val="bottom"/>
            <w:gridSpan w:val="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40</w:t>
            </w:r>
          </w:p>
        </w:tc>
      </w:tr>
      <w:tr>
        <w:trPr>
          <w:trHeight w:val="290"/>
        </w:trPr>
        <w:tc>
          <w:tcPr>
            <w:tcW w:w="10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160" w:type="dxa"/>
            <w:vAlign w:val="bottom"/>
            <w:tcBorders>
              <w:top w:val="single" w:sz="8" w:color="0000FF"/>
            </w:tcBorders>
          </w:tcPr>
          <w:p>
            <w:pPr>
              <w:spacing w:after="0"/>
              <w:rPr>
                <w:sz w:val="24"/>
                <w:szCs w:val="24"/>
                <w:color w:val="auto"/>
              </w:rPr>
            </w:pPr>
          </w:p>
        </w:tc>
        <w:tc>
          <w:tcPr>
            <w:tcW w:w="7760" w:type="dxa"/>
            <w:vAlign w:val="bottom"/>
            <w:gridSpan w:val="16"/>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41</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74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285,884</w:t>
            </w:r>
          </w:p>
        </w:tc>
        <w:tc>
          <w:tcPr>
            <w:tcW w:w="100" w:type="dxa"/>
            <w:vAlign w:val="bottom"/>
          </w:tcPr>
          <w:p>
            <w:pPr>
              <w:spacing w:after="0"/>
              <w:rPr>
                <w:sz w:val="18"/>
                <w:szCs w:val="18"/>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$21,420 as of March 31, 2026,</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$21,411 as of December 31, 2025</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84,762</w:t>
            </w:r>
          </w:p>
        </w:tc>
        <w:tc>
          <w:tcPr>
            <w:tcW w:w="100" w:type="dxa"/>
            <w:vAlign w:val="bottom"/>
            <w:shd w:val="clear" w:color="auto" w:fill="CFF0FC"/>
          </w:tcPr>
          <w:p>
            <w:pPr>
              <w:spacing w:after="0"/>
              <w:rPr>
                <w:sz w:val="20"/>
                <w:szCs w:val="20"/>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107,099</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550,490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328,287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369,269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100" w:type="dxa"/>
            <w:vAlign w:val="bottom"/>
          </w:tcPr>
          <w:p>
            <w:pPr>
              <w:spacing w:after="0"/>
              <w:rPr>
                <w:sz w:val="18"/>
                <w:szCs w:val="18"/>
                <w:color w:val="auto"/>
              </w:rPr>
            </w:pPr>
          </w:p>
        </w:tc>
      </w:tr>
      <w:tr>
        <w:trPr>
          <w:trHeight w:val="25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1,156,369</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1,213,525</w:t>
            </w:r>
          </w:p>
        </w:tc>
        <w:tc>
          <w:tcPr>
            <w:tcW w:w="100" w:type="dxa"/>
            <w:vAlign w:val="bottom"/>
            <w:shd w:val="clear" w:color="auto" w:fill="CFF0FC"/>
          </w:tcPr>
          <w:p>
            <w:pPr>
              <w:spacing w:after="0"/>
              <w:rPr>
                <w:sz w:val="21"/>
                <w:szCs w:val="21"/>
                <w:color w:val="auto"/>
              </w:rPr>
            </w:pPr>
          </w:p>
        </w:tc>
      </w:tr>
      <w:tr>
        <w:trPr>
          <w:trHeight w:val="196"/>
        </w:trPr>
        <w:tc>
          <w:tcPr>
            <w:tcW w:w="7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28,145</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current</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84,967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18"/>
                <w:szCs w:val="18"/>
                <w:color w:val="auto"/>
              </w:rPr>
            </w:pP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112,215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50,000 shares authorized, 34,870 shares issued and</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28,851 shares outstanding as of March 31, 2026, and 34,501 shares issued and 31,081 shares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574,520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529,954</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1,049,809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1,111,989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(5,274)</w:t>
            </w: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1,044,154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1,106,715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1,156,369</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1,213,525</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-4782820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-3668395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-3651250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-1979295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4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FF0FC"/>
          </w:tcPr>
          <w:p>
            <w:pPr>
              <w:jc w:val="right"/>
              <w:ind w:right="97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49,648</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45,117</w:t>
            </w:r>
          </w:p>
        </w:tc>
        <w:tc>
          <w:tcPr>
            <w:tcW w:w="100" w:type="dxa"/>
            <w:vAlign w:val="bottom"/>
          </w:tcPr>
          <w:p>
            <w:pPr>
              <w:spacing w:after="0"/>
              <w:rPr>
                <w:sz w:val="18"/>
                <w:szCs w:val="18"/>
                <w:color w:val="auto"/>
              </w:rPr>
            </w:pPr>
          </w:p>
        </w:tc>
      </w:tr>
      <w:tr>
        <w:trPr>
          <w:trHeight w:val="210"/>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27,684</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8"/>
                <w:szCs w:val="18"/>
                <w:color w:val="auto"/>
              </w:rPr>
            </w:pPr>
          </w:p>
        </w:tc>
      </w:tr>
      <w:tr>
        <w:trPr>
          <w:trHeight w:val="209"/>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56,112</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(34,622)</w:t>
            </w:r>
          </w:p>
        </w:tc>
        <w:tc>
          <w:tcPr>
            <w:tcW w:w="8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(19,795)</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r>
      <w:tr>
        <w:trPr>
          <w:trHeight w:val="209"/>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(25,978)</w:t>
            </w:r>
          </w:p>
        </w:tc>
        <w:tc>
          <w:tcPr>
            <w:tcW w:w="8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(11,723)</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(704)</w:t>
            </w: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8"/>
                <w:szCs w:val="18"/>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1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(25,274)</w:t>
            </w:r>
          </w:p>
        </w:tc>
        <w:tc>
          <w:tcPr>
            <w:tcW w:w="8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(11,899)</w:t>
            </w:r>
          </w:p>
        </w:tc>
      </w:tr>
      <w:tr>
        <w:trPr>
          <w:trHeight w:val="21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1140" w:type="dxa"/>
            <w:vAlign w:val="bottom"/>
          </w:tcPr>
          <w:p>
            <w:pPr>
              <w:jc w:val="right"/>
              <w:ind w:right="97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(24,826)</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(11,530)</w:t>
            </w:r>
          </w:p>
        </w:tc>
      </w:tr>
      <w:tr>
        <w:trPr>
          <w:trHeight w:val="20"/>
        </w:trPr>
        <w:tc>
          <w:tcPr>
            <w:tcW w:w="6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attributable to Fulgent</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FF0FC"/>
          </w:tcPr>
          <w:p>
            <w:pPr>
              <w:jc w:val="right"/>
              <w:ind w:right="97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(0.80)</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jc w:val="right"/>
              <w:ind w:right="97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(0.80)</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-3376930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-2536825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-1696720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-1414145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-1130935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from consolidated operations</w:t>
            </w:r>
          </w:p>
        </w:tc>
        <w:tc>
          <w:tcPr>
            <w:tcW w:w="206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(25,274)</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(11,899)</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income</w:t>
            </w:r>
          </w:p>
        </w:tc>
        <w:tc>
          <w:tcPr>
            <w:tcW w:w="1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gain on available-for-sale debt securities, net of tax</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comprehensive loss from consolidated operations</w:t>
            </w:r>
          </w:p>
        </w:tc>
        <w:tc>
          <w:tcPr>
            <w:tcW w:w="1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(28,183)</w:t>
            </w: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(7,166)</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income attributable to noncontrolling interest</w:t>
            </w:r>
          </w:p>
        </w:tc>
        <w:tc>
          <w:tcPr>
            <w:tcW w:w="1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6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noncontrolling interest</w:t>
            </w:r>
          </w:p>
        </w:tc>
        <w:tc>
          <w:tcPr>
            <w:tcW w:w="102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top w:val="single" w:sz="8" w:color="CFF0FC"/>
            </w:tcBorders>
          </w:tcPr>
          <w:p>
            <w:pPr>
              <w:spacing w:after="0"/>
              <w:rPr>
                <w:sz w:val="18"/>
                <w:szCs w:val="18"/>
                <w:color w:val="auto"/>
              </w:rPr>
            </w:pPr>
          </w:p>
        </w:tc>
      </w:tr>
      <w:tr>
        <w:trPr>
          <w:trHeight w:val="22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Fulgent</w:t>
            </w:r>
          </w:p>
        </w:tc>
        <w:tc>
          <w:tcPr>
            <w:tcW w:w="10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(27,802)</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(6,827)</w:t>
            </w: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-316230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80"/>
          </w:cols>
          <w:pgMar w:left="320" w:top="98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Equity-based compensation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 of common stock options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stock awards</w:t>
      </w:r>
    </w:p>
    <w:p>
      <w:pPr>
        <w:spacing w:after="0" w:line="1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Common stock withholding for employee tax obligations</w:t>
      </w:r>
    </w:p>
    <w:p>
      <w:pPr>
        <w:spacing w:after="0"/>
        <w:rPr>
          <w:sz w:val="20"/>
          <w:szCs w:val="20"/>
          <w:color w:val="auto"/>
        </w:rPr>
      </w:pPr>
      <w:r>
        <w:rPr>
          <w:rFonts w:ascii="Times New Roman" w:cs="Times New Roman" w:eastAsia="Times New Roman" w:hAnsi="Times New Roman"/>
          <w:sz w:val="16"/>
          <w:szCs w:val="16"/>
          <w:color w:val="auto"/>
        </w:rPr>
        <w:t>Repurchase of common stock</w:t>
      </w:r>
    </w:p>
    <w:p>
      <w:pPr>
        <w:spacing w:after="0" w:line="19" w:lineRule="exact"/>
        <w:rPr>
          <w:sz w:val="20"/>
          <w:szCs w:val="20"/>
          <w:color w:val="auto"/>
        </w:rPr>
      </w:pPr>
    </w:p>
    <w:p>
      <w:pPr>
        <w:ind w:right="360"/>
        <w:spacing w:after="0" w:line="305" w:lineRule="auto"/>
        <w:rPr>
          <w:sz w:val="20"/>
          <w:szCs w:val="20"/>
          <w:color w:val="auto"/>
        </w:rPr>
      </w:pPr>
      <w:r>
        <w:rPr>
          <w:rFonts w:ascii="Times New Roman" w:cs="Times New Roman" w:eastAsia="Times New Roman" w:hAnsi="Times New Roman"/>
          <w:sz w:val="16"/>
          <w:szCs w:val="16"/>
          <w:color w:val="auto"/>
        </w:rPr>
        <w:t>Other comprehensive (loss) income, net Net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6220"/>
        <w:spacing w:after="0"/>
        <w:rPr>
          <w:sz w:val="20"/>
          <w:szCs w:val="20"/>
          <w:color w:val="auto"/>
        </w:rPr>
      </w:pPr>
      <w:r>
        <w:rPr>
          <w:rFonts w:ascii="Times New Roman" w:cs="Times New Roman" w:eastAsia="Times New Roman" w:hAnsi="Times New Roman"/>
          <w:sz w:val="14"/>
          <w:szCs w:val="14"/>
          <w:b w:val="1"/>
          <w:bCs w:val="1"/>
          <w:color w:val="auto"/>
        </w:rPr>
        <w:t>Fulgent Stockholders’</w:t>
      </w:r>
    </w:p>
    <w:p>
      <w:pPr>
        <w:jc w:val="center"/>
        <w:ind w:right="6180"/>
        <w:spacing w:after="0"/>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17"/>
        </w:trPr>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820" w:type="dxa"/>
            <w:vAlign w:val="bottom"/>
            <w:gridSpan w:val="2"/>
            <w:vMerge w:val="continue"/>
          </w:tcPr>
          <w:p>
            <w:pPr>
              <w:spacing w:after="0"/>
              <w:rPr>
                <w:sz w:val="12"/>
                <w:szCs w:val="12"/>
                <w:color w:val="auto"/>
              </w:rPr>
            </w:pPr>
          </w:p>
        </w:tc>
        <w:tc>
          <w:tcPr>
            <w:tcW w:w="10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10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s’ Equity</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1,111,98</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31,081</w:t>
            </w:r>
          </w:p>
        </w:tc>
        <w:tc>
          <w:tcPr>
            <w:tcW w:w="24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574,520</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7,512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$ 529,954</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(5,274)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1,106,715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9,890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4"/>
                <w:szCs w:val="14"/>
                <w:color w:val="auto"/>
              </w:rPr>
            </w:pPr>
          </w:p>
        </w:tc>
        <w:tc>
          <w:tcPr>
            <w:tcW w:w="6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9,890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9,890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(195)</w:t>
            </w:r>
          </w:p>
        </w:tc>
        <w:tc>
          <w:tcPr>
            <w:tcW w:w="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0" w:type="dxa"/>
            <w:vAlign w:val="bottom"/>
          </w:tcPr>
          <w:p>
            <w:pPr>
              <w:spacing w:after="0"/>
              <w:rPr>
                <w:sz w:val="1"/>
                <w:szCs w:val="1"/>
                <w:color w:val="auto"/>
              </w:rPr>
            </w:pPr>
          </w:p>
        </w:tc>
      </w:tr>
      <w:tr>
        <w:trPr>
          <w:trHeight w:val="203"/>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(2,599)</w:t>
            </w: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(40,078)</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(40,078)</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(40,078)</w:t>
            </w:r>
          </w:p>
        </w:tc>
        <w:tc>
          <w:tcPr>
            <w:tcW w:w="0" w:type="dxa"/>
            <w:vAlign w:val="bottom"/>
          </w:tcPr>
          <w:p>
            <w:pPr>
              <w:spacing w:after="0"/>
              <w:rPr>
                <w:sz w:val="1"/>
                <w:szCs w:val="1"/>
                <w:color w:val="auto"/>
              </w:rPr>
            </w:pPr>
          </w:p>
        </w:tc>
      </w:tr>
      <w:tr>
        <w:trPr>
          <w:trHeight w:val="203"/>
        </w:trPr>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(2,976)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0" w:type="dxa"/>
            <w:vAlign w:val="bottom"/>
          </w:tcPr>
          <w:p>
            <w:pPr>
              <w:spacing w:after="0"/>
              <w:rPr>
                <w:sz w:val="1"/>
                <w:szCs w:val="1"/>
                <w:color w:val="auto"/>
              </w:rPr>
            </w:pPr>
          </w:p>
        </w:tc>
      </w:tr>
      <w:tr>
        <w:trPr>
          <w:trHeight w:val="213"/>
        </w:trPr>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(24,826)</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(448)</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(25,274)</w:t>
            </w:r>
          </w:p>
        </w:tc>
        <w:tc>
          <w:tcPr>
            <w:tcW w:w="0" w:type="dxa"/>
            <w:vAlign w:val="bottom"/>
          </w:tcPr>
          <w:p>
            <w:pPr>
              <w:spacing w:after="0"/>
              <w:rPr>
                <w:sz w:val="1"/>
                <w:szCs w:val="1"/>
                <w:color w:val="auto"/>
              </w:rPr>
            </w:pPr>
          </w:p>
        </w:tc>
      </w:tr>
      <w:tr>
        <w:trPr>
          <w:trHeight w:val="183"/>
        </w:trPr>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1,049,80</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28,851</w:t>
            </w:r>
          </w:p>
        </w:tc>
        <w:tc>
          <w:tcPr>
            <w:tcW w:w="24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540,141</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4,536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$ 505,128</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(5,655)</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-1190625</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-933450</wp:posOffset>
            </wp:positionV>
            <wp:extent cx="7132320"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-548005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-1602105</wp:posOffset>
            </wp:positionV>
            <wp:extent cx="71323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-281940</wp:posOffset>
            </wp:positionV>
            <wp:extent cx="7132320"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960" w:space="300"/>
            <w:col w:w="7920"/>
          </w:cols>
          <w:pgMar w:left="320" w:top="981" w:right="399" w:bottom="1440" w:gutter="0" w:footer="0" w:header="0"/>
          <w:type w:val="continuous"/>
        </w:sectPr>
      </w:pPr>
    </w:p>
    <w:p>
      <w:pPr>
        <w:jc w:val="both"/>
        <w:ind w:right="20" w:firstLine="8"/>
        <w:spacing w:after="0" w:line="241"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agreed to issue up to 292,682 shares of the Company’s common stock in the acquisition of ANP Technologies, Inc., or ANP, upon achieving certain cash receipts. $5.7 million represented the fair value of the shares on the ANP acquisition date (as defined below). As of March 31, 2026, and December 31, 2025, no common stock has been issued as the milestones have not been met. See details in Note 15.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3020"/>
        <w:spacing w:after="0"/>
        <w:rPr>
          <w:sz w:val="20"/>
          <w:szCs w:val="20"/>
          <w:color w:val="auto"/>
        </w:rPr>
      </w:pPr>
      <w:r>
        <w:rPr>
          <w:rFonts w:ascii="Times New Roman" w:cs="Times New Roman" w:eastAsia="Times New Roman" w:hAnsi="Times New Roman"/>
          <w:sz w:val="14"/>
          <w:szCs w:val="14"/>
          <w:b w:val="1"/>
          <w:bCs w:val="1"/>
          <w:color w:val="auto"/>
        </w:rPr>
        <w:t>Fulgent Stockholders’</w:t>
      </w:r>
    </w:p>
    <w:p>
      <w:pPr>
        <w:jc w:val="center"/>
        <w:ind w:right="2980"/>
        <w:spacing w:after="0"/>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17"/>
        </w:trPr>
        <w:tc>
          <w:tcPr>
            <w:tcW w:w="32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820" w:type="dxa"/>
            <w:vAlign w:val="bottom"/>
            <w:gridSpan w:val="2"/>
            <w:vMerge w:val="continue"/>
          </w:tcPr>
          <w:p>
            <w:pPr>
              <w:spacing w:after="0"/>
              <w:rPr>
                <w:sz w:val="12"/>
                <w:szCs w:val="12"/>
                <w:color w:val="auto"/>
              </w:rPr>
            </w:pPr>
          </w:p>
        </w:tc>
        <w:tc>
          <w:tcPr>
            <w:tcW w:w="10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10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s’ Equity</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1,133,22</w:t>
            </w: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30,841</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543,126</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(368)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$ 590,467</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(4,069)</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1,129,159</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(111)</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0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(469)</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(7,886)</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(7,886)</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(7,886)</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(11,530)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(11,530)</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(369)</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(11,899)</w:t>
            </w:r>
          </w:p>
        </w:tc>
        <w:tc>
          <w:tcPr>
            <w:tcW w:w="0" w:type="dxa"/>
            <w:vAlign w:val="bottom"/>
          </w:tcPr>
          <w:p>
            <w:pPr>
              <w:spacing w:after="0"/>
              <w:rPr>
                <w:sz w:val="1"/>
                <w:szCs w:val="1"/>
                <w:color w:val="auto"/>
              </w:rPr>
            </w:pPr>
          </w:p>
        </w:tc>
      </w:tr>
      <w:tr>
        <w:trPr>
          <w:trHeight w:val="180"/>
        </w:trPr>
        <w:tc>
          <w:tcPr>
            <w:tcW w:w="3260" w:type="dxa"/>
            <w:vAlign w:val="bottom"/>
            <w:tcBorders>
              <w:top w:val="single" w:sz="8" w:color="CFF0FC"/>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1,127,17</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30,621</w:t>
            </w:r>
          </w:p>
        </w:tc>
        <w:tc>
          <w:tcPr>
            <w:tcW w:w="24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543,903</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$ 578,937</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(4,408)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1,122,770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-1216660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-1199515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-1216660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-1199515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-1216660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-1199515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-1216660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-1199515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-1216660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-1199515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-1216660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-1199515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-1216660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-1199515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-290830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-290830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-290830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-290830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-290830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-290830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-290830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24"/>
              <w:spacing w:after="0" w:line="171" w:lineRule="exact"/>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60" w:type="dxa"/>
            <w:vAlign w:val="bottom"/>
          </w:tcPr>
          <w:p>
            <w:pPr>
              <w:spacing w:after="0"/>
              <w:rPr>
                <w:sz w:val="13"/>
                <w:szCs w:val="13"/>
                <w:color w:val="auto"/>
              </w:rPr>
            </w:pPr>
          </w:p>
        </w:tc>
        <w:tc>
          <w:tcPr>
            <w:tcW w:w="100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5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 from consolidated operations</w:t>
            </w:r>
          </w:p>
        </w:tc>
        <w:tc>
          <w:tcPr>
            <w:tcW w:w="1000" w:type="dxa"/>
            <w:vAlign w:val="bottom"/>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(25,274)</w:t>
            </w:r>
          </w:p>
        </w:tc>
        <w:tc>
          <w:tcPr>
            <w:tcW w:w="1020" w:type="dxa"/>
            <w:vAlign w:val="bottom"/>
          </w:tcPr>
          <w:p>
            <w:pPr>
              <w:jc w:val="right"/>
              <w:ind w:right="8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(11,899)</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provided by (used in)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9,890</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10,550</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6,000</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5,919</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 for credit losses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1,189</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2,075</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Noncash lease expense</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350</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Gain on disposal of fixed asset</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02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Amortization of premium of marketable securities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(890)</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(1,658)</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Deferred taxes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(1,120)</w:t>
            </w:r>
          </w:p>
        </w:tc>
        <w:tc>
          <w:tcPr>
            <w:tcW w:w="102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(133)</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Unrecognized tax benefits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199</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137</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Trade accounts receivable</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16,431</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(4,524)</w:t>
            </w: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Income tax</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(1,394)</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1,761</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Other current and long-term assets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2,791</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804</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(408)</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(658)</w:t>
            </w: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Contract liabilities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(627)</w:t>
            </w:r>
          </w:p>
        </w:tc>
        <w:tc>
          <w:tcPr>
            <w:tcW w:w="10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582</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Customer deposits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2,470</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83</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Accrued liabilities and other liabilities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(2,123)</w:t>
            </w:r>
          </w:p>
        </w:tc>
        <w:tc>
          <w:tcPr>
            <w:tcW w:w="102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(7,485)</w:t>
            </w: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(381)</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(354)</w:t>
            </w:r>
          </w:p>
        </w:tc>
      </w:tr>
      <w:tr>
        <w:trPr>
          <w:trHeight w:val="20"/>
        </w:trPr>
        <w:tc>
          <w:tcPr>
            <w:tcW w:w="7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77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7,097</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(4,431)</w:t>
            </w:r>
          </w:p>
        </w:tc>
      </w:tr>
      <w:tr>
        <w:trPr>
          <w:trHeight w:val="155"/>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investing activities:</w:t>
            </w: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Maturities of marketable securities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81,711</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32,445</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sale of fixed assets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 of marketable securities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(10,011)</w:t>
            </w:r>
          </w:p>
        </w:tc>
        <w:tc>
          <w:tcPr>
            <w:tcW w:w="1020" w:type="dxa"/>
            <w:vAlign w:val="bottom"/>
          </w:tcPr>
          <w:p>
            <w:pPr>
              <w:spacing w:after="0"/>
              <w:rPr>
                <w:sz w:val="14"/>
                <w:szCs w:val="14"/>
                <w:color w:val="auto"/>
              </w:rPr>
            </w:pPr>
          </w:p>
        </w:tc>
        <w:tc>
          <w:tcPr>
            <w:tcW w:w="6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fixed assets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(5,202)</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(4,718)</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Acquisition of businesses, net of cash</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(55,567)</w:t>
            </w:r>
          </w:p>
        </w:tc>
        <w:tc>
          <w:tcPr>
            <w:tcW w:w="1020" w:type="dxa"/>
            <w:vAlign w:val="bottom"/>
          </w:tcPr>
          <w:p>
            <w:pPr>
              <w:spacing w:after="0"/>
              <w:rPr>
                <w:sz w:val="14"/>
                <w:szCs w:val="14"/>
                <w:color w:val="auto"/>
              </w:rPr>
            </w:pPr>
          </w:p>
        </w:tc>
        <w:tc>
          <w:tcPr>
            <w:tcW w:w="6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55"/>
        </w:trPr>
        <w:tc>
          <w:tcPr>
            <w:tcW w:w="7760" w:type="dxa"/>
            <w:vAlign w:val="bottom"/>
            <w:tcBorders>
              <w:bottom w:val="single" w:sz="8" w:color="CFF0FC"/>
            </w:tcBorders>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provided by investing activities</w:t>
            </w: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10,939</w:t>
            </w:r>
          </w:p>
        </w:tc>
        <w:tc>
          <w:tcPr>
            <w:tcW w:w="26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27,729</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financing activities: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(40,078)</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(8,679)</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Common stock withholding for employee tax obligations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(4,200)</w:t>
            </w:r>
          </w:p>
        </w:tc>
        <w:tc>
          <w:tcPr>
            <w:tcW w:w="102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(1,887)</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Repayment of notes payable</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(476)</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(470)</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Principal paid for finance lease</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102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(136)</w:t>
            </w:r>
          </w:p>
        </w:tc>
      </w:tr>
      <w:tr>
        <w:trPr>
          <w:trHeight w:val="162"/>
        </w:trPr>
        <w:tc>
          <w:tcPr>
            <w:tcW w:w="7760" w:type="dxa"/>
            <w:vAlign w:val="bottom"/>
            <w:tcBorders>
              <w:bottom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1000" w:type="dxa"/>
            <w:vAlign w:val="bottom"/>
          </w:tcPr>
          <w:p>
            <w:pPr>
              <w:spacing w:after="0"/>
              <w:rPr>
                <w:sz w:val="13"/>
                <w:szCs w:val="13"/>
                <w:color w:val="auto"/>
              </w:rPr>
            </w:pPr>
          </w:p>
        </w:tc>
        <w:tc>
          <w:tcPr>
            <w:tcW w:w="80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(44,833)</w:t>
            </w:r>
          </w:p>
        </w:tc>
        <w:tc>
          <w:tcPr>
            <w:tcW w:w="1020" w:type="dxa"/>
            <w:vAlign w:val="bottom"/>
          </w:tcPr>
          <w:p>
            <w:pPr>
              <w:spacing w:after="0"/>
              <w:rPr>
                <w:sz w:val="13"/>
                <w:szCs w:val="13"/>
                <w:color w:val="auto"/>
              </w:rPr>
            </w:pPr>
          </w:p>
        </w:tc>
        <w:tc>
          <w:tcPr>
            <w:tcW w:w="66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(11,172)</w:t>
            </w:r>
          </w:p>
        </w:tc>
      </w:tr>
      <w:tr>
        <w:trPr>
          <w:trHeight w:val="155"/>
        </w:trPr>
        <w:tc>
          <w:tcPr>
            <w:tcW w:w="776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w:t>
            </w:r>
          </w:p>
        </w:tc>
        <w:tc>
          <w:tcPr>
            <w:tcW w:w="26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(decrease) increase in cash, cash equivalents, and restricted cash</w:t>
            </w:r>
          </w:p>
        </w:tc>
        <w:tc>
          <w:tcPr>
            <w:tcW w:w="1000" w:type="dxa"/>
            <w:vAlign w:val="bottom"/>
          </w:tcPr>
          <w:p>
            <w:pPr>
              <w:spacing w:after="0"/>
              <w:rPr>
                <w:sz w:val="13"/>
                <w:szCs w:val="13"/>
                <w:color w:val="auto"/>
              </w:rPr>
            </w:pPr>
          </w:p>
        </w:tc>
        <w:tc>
          <w:tcPr>
            <w:tcW w:w="80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(26,794)</w:t>
            </w:r>
          </w:p>
        </w:tc>
        <w:tc>
          <w:tcPr>
            <w:tcW w:w="102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12,137</w:t>
            </w:r>
          </w:p>
        </w:tc>
        <w:tc>
          <w:tcPr>
            <w:tcW w:w="100" w:type="dxa"/>
            <w:vAlign w:val="bottom"/>
          </w:tcPr>
          <w:p>
            <w:pPr>
              <w:spacing w:after="0"/>
              <w:rPr>
                <w:sz w:val="13"/>
                <w:szCs w:val="13"/>
                <w:color w:val="auto"/>
              </w:rPr>
            </w:pPr>
          </w:p>
        </w:tc>
      </w:tr>
      <w:tr>
        <w:trPr>
          <w:trHeight w:val="162"/>
        </w:trPr>
        <w:tc>
          <w:tcPr>
            <w:tcW w:w="776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beginning of period</w:t>
            </w: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50,328</w:t>
            </w:r>
          </w:p>
        </w:tc>
        <w:tc>
          <w:tcPr>
            <w:tcW w:w="2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55,279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1000" w:type="dxa"/>
            <w:vAlign w:val="bottom"/>
            <w:tcBorders>
              <w:bottom w:val="single" w:sz="8" w:color="auto"/>
            </w:tcBorders>
          </w:tcPr>
          <w:p>
            <w:pPr>
              <w:jc w:val="right"/>
              <w:ind w:right="8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23,534</w:t>
            </w:r>
          </w:p>
        </w:tc>
        <w:tc>
          <w:tcPr>
            <w:tcW w:w="260" w:type="dxa"/>
            <w:vAlign w:val="bottom"/>
          </w:tcPr>
          <w:p>
            <w:pPr>
              <w:spacing w:after="0"/>
              <w:rPr>
                <w:sz w:val="13"/>
                <w:szCs w:val="13"/>
                <w:color w:val="auto"/>
              </w:rPr>
            </w:pPr>
          </w:p>
        </w:tc>
        <w:tc>
          <w:tcPr>
            <w:tcW w:w="1020" w:type="dxa"/>
            <w:vAlign w:val="bottom"/>
            <w:tcBorders>
              <w:bottom w:val="single" w:sz="8" w:color="auto"/>
            </w:tcBorders>
          </w:tcPr>
          <w:p>
            <w:pPr>
              <w:jc w:val="right"/>
              <w:ind w:right="8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67,416</w:t>
            </w:r>
          </w:p>
        </w:tc>
        <w:tc>
          <w:tcPr>
            <w:tcW w:w="100" w:type="dxa"/>
            <w:vAlign w:val="bottom"/>
          </w:tcPr>
          <w:p>
            <w:pPr>
              <w:spacing w:after="0"/>
              <w:rPr>
                <w:sz w:val="13"/>
                <w:szCs w:val="13"/>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6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Income taxes paid, net of refunds received</w:t>
            </w:r>
          </w:p>
        </w:tc>
        <w:tc>
          <w:tcPr>
            <w:tcW w:w="1000" w:type="dxa"/>
            <w:vAlign w:val="bottom"/>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(551)</w:t>
            </w:r>
          </w:p>
        </w:tc>
        <w:tc>
          <w:tcPr>
            <w:tcW w:w="1020" w:type="dxa"/>
            <w:vAlign w:val="bottom"/>
          </w:tcPr>
          <w:p>
            <w:pPr>
              <w:jc w:val="right"/>
              <w:ind w:right="8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(1,633)</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1000" w:type="dxa"/>
            <w:vAlign w:val="bottom"/>
            <w:shd w:val="clear" w:color="auto" w:fill="CFF0FC"/>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disclosures of non-cash investing and financing activities: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fixed assets in accounts payable</w:t>
            </w:r>
          </w:p>
        </w:tc>
        <w:tc>
          <w:tcPr>
            <w:tcW w:w="1000" w:type="dxa"/>
            <w:vAlign w:val="bottom"/>
            <w:shd w:val="clear" w:color="auto" w:fill="CFF0FC"/>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2,606</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2,322</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Acquisition of business in accrued liabilities</w:t>
            </w:r>
          </w:p>
        </w:tc>
        <w:tc>
          <w:tcPr>
            <w:tcW w:w="1000" w:type="dxa"/>
            <w:vAlign w:val="bottom"/>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260" w:type="dxa"/>
            <w:vAlign w:val="bottom"/>
          </w:tcPr>
          <w:p>
            <w:pPr>
              <w:spacing w:after="0"/>
              <w:rPr>
                <w:sz w:val="14"/>
                <w:szCs w:val="14"/>
                <w:color w:val="auto"/>
              </w:rPr>
            </w:pPr>
          </w:p>
        </w:tc>
        <w:tc>
          <w:tcPr>
            <w:tcW w:w="1020" w:type="dxa"/>
            <w:vAlign w:val="bottom"/>
          </w:tcPr>
          <w:p>
            <w:pPr>
              <w:jc w:val="right"/>
              <w:ind w:right="8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assets obtained in exchange for lease liabilities</w:t>
            </w:r>
          </w:p>
        </w:tc>
        <w:tc>
          <w:tcPr>
            <w:tcW w:w="1000" w:type="dxa"/>
            <w:vAlign w:val="bottom"/>
            <w:shd w:val="clear" w:color="auto" w:fill="CFF0FC"/>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-2767965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-1919605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-1293495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-1071245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-856615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or U.S. GAAP, and presented in U.S. dollars, or USD, the reporting currency of the Company.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requires otherwise), is a technology-based company with a well-established laboratory services business and a therapeutic development business. Its laboratory services business includes technical laboratory and testing services and professional interpretation of laboratory results by licensed physicians. Its therapeutic development business is focused on developing product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on the same basis as the Company’s audited consolidated financial statements as of and for the fiscal year ended December 31, 2025, which are included in the Company’s annual report on Form 10-K filed with the Securities and Exchange Commission, or SEC, on February 27, 2026, or the 2025 Annual Report, and, in the opinion of management, include all adjustments, which are normal and recurring in nature, necessary for a fair presentation of the Company’s financial position and results of operations.</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a full fiscal year or any other period. The accompanying Condensed Consolidated Balance Sheet as of December 31, 2025,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2025 Annual Report, including the notes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Company’s Consolidated Financial Statements included in the 2025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goodwill and indefinite-lived intangible assets at time of acquisition and on a recurring basis, and (vi) valuation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 Shown in the Condensed Consolidated Statements of Cash Flows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in the condensed consolidated balance sheets that sum to the total of the same such amounts shown in the condensed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2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67,281</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20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23,534</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67,416</w:t>
            </w:r>
          </w:p>
        </w:tc>
        <w:tc>
          <w:tcPr>
            <w:tcW w:w="100" w:type="dxa"/>
            <w:vAlign w:val="bottom"/>
            <w:shd w:val="clear" w:color="auto" w:fill="CFF0FC"/>
          </w:tcPr>
          <w:p>
            <w:pPr>
              <w:spacing w:after="0"/>
              <w:rPr>
                <w:sz w:val="19"/>
                <w:szCs w:val="19"/>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loss rate and factors quarterly to incorporate the most recent historical data and adjusts the quantitative portion of the reserve through its qualitative reserve overlay. The Company looks at qualitative factors such as current internal and external conditions as of the balance sheet date in determining expected credit losses.</w:t>
      </w:r>
    </w:p>
    <w:p>
      <w:pPr>
        <w:spacing w:after="0" w:line="19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 roll-forward of the activity in the Company’s allowance for credit losses for the three months ended March 31, 2026, dollars in thousands,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46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w:t>
            </w:r>
          </w:p>
        </w:tc>
        <w:tc>
          <w:tcPr>
            <w:tcW w:w="1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w:t>
            </w:r>
          </w:p>
        </w:tc>
        <w:tc>
          <w:tcPr>
            <w:tcW w:w="146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(1,573)</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Recoveries of amounts previously charged off</w:t>
            </w:r>
          </w:p>
        </w:tc>
        <w:tc>
          <w:tcPr>
            <w:tcW w:w="14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as of March 31, 2026</w:t>
            </w: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with definite lives on a straight-line basis generally over periods ranging from 3 to 18 years. See Note 17,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details of intangible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are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In-process research &amp; development, or IPR&amp;D, costs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carrying amount exceeds its fair value.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 quantitative assessment is deemed necessary, the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If the estimated fair value of a reporting unit exceeds its carrying value, the goodwill is not impaired, and no further review is required.</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weighted-average cost of capital. The income-based approach incorporates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assumptions and judgments regarding economic conditions in the markets in which a company operates and conditions in the capital markets, many of which are outside of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control. The market-based fair value methodology includes (i) the guideline public company valuation method, which analyzes the valuation multiples of comparable public companies, and (ii) the merger and acquisition method, which compares the market values of similar businesses, to estimate the value of the reporting units. Under the market-based approach, judgment is required in evaluating market multiples and recent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marketable securities, trade accounts receivable, restricted cash, a preferred stock investment, accounts payable, and accrued liabilities. The carrying amounts of certain of these financial instruments, including cash and cash equivalents, accounts receivable, accounts payable, and accrued liabilities approximate fair value due to their short maturities. The fair value of marketable securities and the preferred stock investment is disclosed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accompanying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As of March 31, 2026,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certain periods, a small number of customers or a single laboratory customer have accounted for a significant portion of the Company’s revenue. For the laboratory services segment, when customers who, to our knowledge, are under common control or otherwise affiliated with each other are aggregated, one of our laboratory customers contributed $10.4 million, or 15%, of total revenue in the three months ended March 31, 2026, and $17.6 million, or 24%, of the Company’s revenue in the three months ended March 31, 2025. The same laboratory customer was not a significant concentration for accounts receivable, net, as of March 31, 2026, but comprised 13% of total accounts receivable, net, as of December 31, 2025. Revenue from this same laboratory customer declined when compared to the prior year period, however it continued to represent a significant portion of the Company's revenue for the three months ended March 31, 2026. For this laboratory customer, and for our customers generally, tests are typically purchased on a test-by-test basis and not pursuant to any long-term purchasing arrangements. In the therapeutic development segment, revenue is an immaterial portion of the Company</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total revenue as it does not yet have any commercialized or approved product candidates.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for an acceptable replacement or temporary substitute. The Company’s development efforts could also be delayed or interrupted if it is unable to procure items needed for its therapeutic development activities. The Company believes there is currently a limited number of manufacturers that are capable of supplying and servicing some of the equipment and other materials necessary for its laboratory operations, including sequencers and various associated reagents.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 and Geographic Information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Reportable segments are identified as components of an enterprise for which separate discrete financial information is available for evaluation by the Chief Operating Decision-Maker, or CODM, in making decisions regarding resource allocation and assessing performance. The Company’s CODM is its Chief Executive Officer. The Company has two reportable segments, a laboratory services business and a therapeutic development business. For further financial information about these segments, including information for each of the periods presented regarding revenue, operating income (loss), and other important information, see Note 7, </w:t>
      </w:r>
      <w:r>
        <w:rPr>
          <w:rFonts w:ascii="Times New Roman" w:cs="Times New Roman" w:eastAsia="Times New Roman" w:hAnsi="Times New Roman"/>
          <w:sz w:val="18"/>
          <w:szCs w:val="18"/>
          <w:i w:val="1"/>
          <w:iCs w:val="1"/>
          <w:color w:val="auto"/>
        </w:rPr>
        <w:t>Reportable Segment and Geographic Information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non-USD functional currency subsidiaries into USD using exchange rates in effect at the end of each period. Expenses for these subsidiaries are translated using rates that approximate those in effect during the period. These unrealized gains and losses are recognized in accumulated other comprehensive income in the equity section of the accompanying Condensed Consolidated Balance Sheets, and do not impact net income.</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that use the USD as their functional currency remeasure monetary assets and liabilities at exchange rates in effect at the end of each period. The carrying value of these monetary assets and liabilities will change with exchange rate fluctuations resulting in a foreign currency transaction gain or loss which is recognized in other income, net in the Condensed Consolidated Statements of Operations. Reagents and supplies, property, and other nonmonetary assets and liabilities are remeasured when the transaction is initially recognized using the historical rate that was in effect when the asset was acquired or liability was incurred. The carrying amounts do not change as a result of exchange rate fluctuations and no foreign currency transaction gain or loss is recognized. Gains and losses from foreign currency exchange were not significant for the three months ended March 31, 2026, and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(loss)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Comprehensive (loss) income is comprised of net (loss) income and other comprehensive (loss) income. Other comprehensive (loss) income consists of net unrealized gain or loss on available-for-sale debt securities, net of tax, and foreign currency translation adjustments from the Company’s subsidiaries not using the USD as their functional currency. The tax expense of foreign currency translation income (loss) was zero for each of the three months ended March 31, 2026, and 2025.</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Reclassifications from other comprehensive (loss) income to net loss, were zero in each of the three months ended March 31, 2026, and 2025. The tax effects related to net unrealized gain or loss on available-for-sale debt securities was zero in each of the three months ended March 31, 2026, and 2025, due to the valuation allowance in the current period that precludes the Company from recognizing the deferred tax benefit.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Institutional, including hospitals, medical institutions, other laboratories, governmental bodies, and large corporations, (ii) Insurance,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months ended March 31, 2026, and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8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8"/>
                <w:szCs w:val="18"/>
                <w:color w:val="auto"/>
              </w:rPr>
            </w:pPr>
          </w:p>
        </w:tc>
      </w:tr>
      <w:tr>
        <w:trPr>
          <w:trHeight w:val="223"/>
        </w:trPr>
        <w:tc>
          <w:tcPr>
            <w:tcW w:w="6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payor</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1140" w:type="dxa"/>
            <w:vAlign w:val="bottom"/>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w:t>
            </w:r>
          </w:p>
        </w:tc>
        <w:tc>
          <w:tcPr>
            <w:tcW w:w="11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41,324</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27,379</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Patients</w:t>
            </w:r>
          </w:p>
        </w:tc>
        <w:tc>
          <w:tcPr>
            <w:tcW w:w="1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r>
      <w:tr>
        <w:trPr>
          <w:trHeight w:val="250"/>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40" w:type="dxa"/>
            <w:vAlign w:val="bottom"/>
            <w:tcBorders>
              <w:bottom w:val="single" w:sz="8" w:color="auto"/>
            </w:tcBorders>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3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using the expected value method. Any changes in variable consideration estimates that affect transactions are accounted for on a cumulative catch-up basis. Variable consideration adjustments in the three months ended March 31, 2026, and 2025 were not significant.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from contracts with customers</w:t>
      </w:r>
    </w:p>
    <w:p>
      <w:pPr>
        <w:spacing w:after="0" w:line="11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Receivables from contracts with customers are included within trade accounts receivable on the Condensed Consolidated Balance Sheets. Receivables from Insurance and Institutional customers represented 52% and 48%, respectively, as of March 31, 2026, and each represented 50% as of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Contract liabilities are recorded when the Company receives payment prior to completing its obligation to transfer goods or services to a customer. Contract liabilities are included in the Condensed Consolidated Balance Sheets. Revenues of $0.7 million and $0.1 million were recognized for the three months ended March 31, 2026, and 2025, respectively, related to contract liabilities at the beginning of the respective periods. As of March 31, 2026, and December 31, 2025, the Company has no contract assets from contracts with customers associated with contract execution and certain costs to fulfill a contract.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Certain amounts reported in the prior period have been reclassified to conform with the current period presentation. In the Condensed Consolidated Statement of Cash Flows, the Company has presented income taxes paid, net of refunds received, due to the prior adoption of ASU 2023-09, Income Taxes (Topic 740): </w:t>
      </w:r>
      <w:r>
        <w:rPr>
          <w:rFonts w:ascii="Times New Roman" w:cs="Times New Roman" w:eastAsia="Times New Roman" w:hAnsi="Times New Roman"/>
          <w:sz w:val="18"/>
          <w:szCs w:val="18"/>
          <w:i w:val="1"/>
          <w:iCs w:val="1"/>
          <w:color w:val="auto"/>
        </w:rPr>
        <w:t>Improvement to Income Tax Disclosures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1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update provides all entities with a practical expedient related to the estimation of expected credit losses for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current contract assets that arise from transactions accounted for under ASC 606. Amendments in this update are effective for annual periods beginning after December 15, 2025, and interim reporting periods within those annual reporting periods. Early adoption is permitted. The Company adopted this ASU in the first quarter of 2026, and the impact is not material for the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Issued</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update requires disclosure in the notes to financial statements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Amendments in this update are effective for annual periods beginning after December 15, 2026, and interim reporting periods beginning after December 15, 2027. Early adoption is permitted. The Company is currently evaluating the impacts of this amendment on its consolidated financial statements and related disclosure.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update simplifies the capitalization guidance by removing all references to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so that the guidance is neutral to different software development methods. Amendments in this update are effective for annual periods beginning after December 15, 2027, and interim reporting periods within those annual reporting periods. Early adoption is permitted. The Company is currently evaluating the impacts of this amendment on its financial statements and related disclosures.</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update clarifies the applicability of interim reporting guidance, provides a comprehensive list of required interim disclosures, and establishes a disclosure principle that requires disclosure of material events that occurred after the end of the last annual reporting period. Amendments in this update are effective for interim reporting periods within annual periods beginning after December 15, 2027. Early adoption is permitted. The Company is currently evaluating the impact of this amendment on its financial statements and related disclosures.</w:t>
      </w:r>
    </w:p>
    <w:p>
      <w:pPr>
        <w:spacing w:after="0" w:line="183"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This update makes targeted amendments to various topics within the Accounting Standards Codification intended to clarify, correct errors, or make minor improvements to existing guidance. Amendments in this update are effective for annual reporting periods beginning after December 15, 2026, and interim reporting periods within those annual reporting periods. Early adoption is permitted. The Company is currently evaluating the impact of this amendment on its financial statements and related disclosures.</w:t>
      </w:r>
    </w:p>
    <w:p>
      <w:pPr>
        <w:spacing w:after="0" w:line="18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294"/>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179,236</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40,835</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31,957</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(1,493)</w:t>
            </w: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252,903</w:t>
            </w:r>
          </w:p>
        </w:tc>
        <w:tc>
          <w:tcPr>
            <w:tcW w:w="100" w:type="dxa"/>
            <w:vAlign w:val="bottom"/>
          </w:tcPr>
          <w:p>
            <w:pPr>
              <w:spacing w:after="0"/>
              <w:rPr>
                <w:sz w:val="18"/>
                <w:szCs w:val="18"/>
                <w:color w:val="auto"/>
              </w:rPr>
            </w:pPr>
          </w:p>
        </w:tc>
      </w:tr>
      <w:tr>
        <w:trPr>
          <w:trHeight w:val="210"/>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257,129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70,240</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328,287</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581,190</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595,418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596,191</w:t>
            </w:r>
          </w:p>
        </w:tc>
        <w:tc>
          <w:tcPr>
            <w:tcW w:w="100" w:type="dxa"/>
            <w:vAlign w:val="bottom"/>
            <w:shd w:val="clear" w:color="auto" w:fill="CFF0FC"/>
          </w:tcPr>
          <w:p>
            <w:pPr>
              <w:spacing w:after="0"/>
              <w:rPr>
                <w:sz w:val="21"/>
                <w:szCs w:val="21"/>
                <w:color w:val="auto"/>
              </w:rPr>
            </w:pPr>
          </w:p>
        </w:tc>
      </w:tr>
      <w:tr>
        <w:trPr>
          <w:trHeight w:val="629"/>
        </w:trPr>
        <w:tc>
          <w:tcPr>
            <w:tcW w:w="444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-3462655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-3462655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-3462655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-2073910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-2073910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-2073910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-1224915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-1224915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-1224915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-934085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-916940</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-934085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-916940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-934085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-916940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293"/>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-2545080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-2545080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-2545080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-1156970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-1156970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-1156970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-316230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-316230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$1.2 million and $0.1 million as of March 31, 2026, and December 31, 2025, respectively. There were no sales of available-for-sale securities or realized gain or loss for the three months ended March 31, 2026. The cost of any marketable securities sold is based on the specific-identification method. The Company did not recognize any credit losses for its marketable available-for-sale debt securities during the three months ended March 31, 2026, and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00" w:right="420" w:hanging="1025"/>
        <w:spacing w:after="0" w:line="282" w:lineRule="auto"/>
        <w:tabs>
          <w:tab w:leader="none" w:pos="15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67"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w:t>
      </w:r>
    </w:p>
    <w:p>
      <w:pPr>
        <w:spacing w:after="0" w:line="360"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unobservable for the asset or liability.</w:t>
      </w:r>
    </w:p>
    <w:p>
      <w:pPr>
        <w:spacing w:after="0" w:line="30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436,365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436,365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597,684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581,190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448,233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448,233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157,557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688,552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655,153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-1842135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-1824990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-1842135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-1824990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-1842135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-1824990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Company’s Level 1 assets include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held preferred stock of two privately-held companies, which were included in other long-term assets in the accompanying Condensed Consolidated Balance Sheets, that were measured using unobservable (Level 3) inputs. For the value of the investment in private equity securities, the Company elected to measure such investments at cost minus impairment, as the preferred stock of the privately-held companies did not have a readily determinable fair value. An impairment of $9.9 million was recognized in 2025 related to Helio Genomics, Inc. There was no impairment loss recorded as of March 31, 2026, for the other preferred stock investment.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2026, and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6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32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6"/>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lab equipment</w:t>
            </w:r>
          </w:p>
        </w:tc>
        <w:tc>
          <w:tcPr>
            <w:tcW w:w="446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w w:val="99"/>
              </w:rPr>
              <w:t>5 months to 13 Years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63,086</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60,691</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44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9"/>
              </w:rPr>
              <w:t>6 months to 39 Years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w:t>
            </w:r>
          </w:p>
        </w:tc>
        <w:tc>
          <w:tcPr>
            <w:tcW w:w="446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rPr>
              <w:t>25 to 39 Years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44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1 to 5 Years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w:t>
            </w:r>
          </w:p>
        </w:tc>
        <w:tc>
          <w:tcPr>
            <w:tcW w:w="446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46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10 Years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6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6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11 Years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46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5 to 15 Years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Automobile</w:t>
            </w:r>
          </w:p>
        </w:tc>
        <w:tc>
          <w:tcPr>
            <w:tcW w:w="44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3 to 7 Years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equipment</w:t>
            </w:r>
          </w:p>
        </w:tc>
        <w:tc>
          <w:tcPr>
            <w:tcW w:w="446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170,494</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(61,309)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(57,945)</w:t>
            </w:r>
          </w:p>
        </w:tc>
      </w:tr>
      <w:tr>
        <w:trPr>
          <w:trHeight w:val="210"/>
        </w:trPr>
        <w:tc>
          <w:tcPr>
            <w:tcW w:w="3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44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116,344</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112,549</w:t>
            </w:r>
          </w:p>
        </w:tc>
        <w:tc>
          <w:tcPr>
            <w:tcW w:w="100" w:type="dxa"/>
            <w:vAlign w:val="bottom"/>
            <w:tcBorders>
              <w:top w:val="single" w:sz="8" w:color="CFF0FC"/>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on fixed assets totaled $3.9 million and $3.8 million for the three months ended March 31, 2026, and 2025,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Reagents and supplies</w:t>
            </w:r>
          </w:p>
        </w:tc>
        <w:tc>
          <w:tcPr>
            <w:tcW w:w="2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2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2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24,298</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liabilities</w:t>
            </w:r>
          </w:p>
        </w:tc>
        <w:tc>
          <w:tcPr>
            <w:tcW w:w="2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Vacation accrual</w:t>
            </w:r>
          </w:p>
        </w:tc>
        <w:tc>
          <w:tcPr>
            <w:tcW w:w="2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34,901</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680" w:type="dxa"/>
            <w:vAlign w:val="bottom"/>
            <w:tcBorders>
              <w:top w:val="single" w:sz="8" w:color="CFF0FC"/>
            </w:tcBorders>
          </w:tcPr>
          <w:p>
            <w:pPr>
              <w:spacing w:after="0"/>
              <w:rPr>
                <w:sz w:val="24"/>
                <w:szCs w:val="24"/>
                <w:color w:val="auto"/>
              </w:rPr>
            </w:pPr>
          </w:p>
        </w:tc>
        <w:tc>
          <w:tcPr>
            <w:tcW w:w="2720" w:type="dxa"/>
            <w:vAlign w:val="bottom"/>
            <w:tcBorders>
              <w:top w:val="single" w:sz="8" w:color="CFF0FC"/>
            </w:tcBorders>
          </w:tcPr>
          <w:p>
            <w:pPr>
              <w:jc w:val="right"/>
              <w:ind w:right="159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-2622550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-933450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Accrued legal liabilities as of March 31, 2026 and December 31, 2025, included an accrual of $14.5 million related to a professional liability matter, refer to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for additional details. Other accrued liabilities also included short-term finance lease liabilities, health insurance liabilities, accrued property taxes, income tax payables, and third-party billing services.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6"/>
          </w:tcPr>
          <w:p>
            <w:pPr>
              <w:ind w:lef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3,781</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long term</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w:t>
            </w: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7,624</w:t>
            </w:r>
          </w:p>
        </w:tc>
      </w:tr>
      <w:tr>
        <w:trPr>
          <w:trHeight w:val="20"/>
        </w:trPr>
        <w:tc>
          <w:tcPr>
            <w:tcW w:w="7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Segments and Geographic Information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has two distinct reportable segments. The laboratory services operating segment offers technical laboratory and testing services and professional interpretation of laboratory results by licensed physicians who specialize in pathology and oncology. The therapeutic development operating segment is a pharmaceutical research and development entity.</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Chief Executive Officer serves as its CODM. The CODM oversees the Company’s operations and evaluates financial data for its two operating segments separately to make resource allocation decisions. The financial information regularly provided to the CODM includes various performance metrics by reportable segment, such as gross profit, operating income or loss, income or loss before income taxes, net income or loss from consolidated operations, and net income or loss attributable to Fulgent, all presented in accordance with U.S. GAAP. Although multiple financial metrics are provided, the CODM primarily relies on adjusted (non-GAAP) operating income or loss to evaluate segment performance and allocate resources. These adjusted metrics exclude the impact of equity-based compensation expenses, amortization of intangible assets, acquisition-related costs, and acquisition-related severance, if applicable as determined by management. Acquisition-related costs and acquisition-related severance are related to the acquisition of Bako (as defined below), which was closed on March 17, 2026, see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for additional details. The balance sheet is presented on a consolidated basis, as the CODM does not use asset or liability information, including fixed assets, to assess segment performance. As a result, segment asset and liability details are not disclosed.</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newly acquired entity, Bako, is considered part of the laboratory services segment as this acquisition was strategically undertaken to further strengthen the Company’s laboratory services business by adding new products and services and further expand its national client base, national sales team, and team of expert pathologists. Consequently, Bako’s operations are integrated into the laboratory services segment, with shared resources and collaborative efforts, and the CODM evaluates Bako’s operations as part of the laboratory services segment’s consolidated financial information. Therefore, Bako’s financial results are grouped within the laboratory services segment’s reporting.</w:t>
      </w:r>
    </w:p>
    <w:p>
      <w:pPr>
        <w:spacing w:after="0" w:line="183"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 The Company did not allocate income tax by segment. Information regarding the Company’s operations and assets for its reportable segments as well as geographic information are as follows, all dollars are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2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06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52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71,051</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2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2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2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2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20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252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(4,456)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(19,673)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-1079500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5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73,463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5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20,624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10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(4,251)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8"/>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Reconciliation of “adjusted operating loss” to “loss before income taxes”</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(19,673)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(7,255)</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(add):</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severance</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(8,018)</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5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(25,978)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(11,723)</w:t>
            </w:r>
          </w:p>
        </w:tc>
        <w:tc>
          <w:tcPr>
            <w:tcW w:w="0" w:type="dxa"/>
            <w:vAlign w:val="bottom"/>
          </w:tcPr>
          <w:p>
            <w:pPr>
              <w:spacing w:after="0"/>
              <w:rPr>
                <w:sz w:val="1"/>
                <w:szCs w:val="1"/>
                <w:color w:val="auto"/>
              </w:rPr>
            </w:pPr>
          </w:p>
        </w:tc>
      </w:tr>
      <w:tr>
        <w:trPr>
          <w:trHeight w:val="413"/>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Significant items by segment excluded from the adjusted operating loss:</w:t>
            </w:r>
          </w:p>
        </w:tc>
        <w:tc>
          <w:tcPr>
            <w:tcW w:w="50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80" w:type="dxa"/>
            <w:vAlign w:val="bottom"/>
            <w:gridSpan w:val="8"/>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Equity-based compensation</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5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80" w:type="dxa"/>
            <w:vAlign w:val="bottom"/>
            <w:gridSpan w:val="8"/>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Precision diagnostics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40,238</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Anatomic pathology</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BioPharma services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BioPharma services</w:t>
            </w:r>
          </w:p>
        </w:tc>
        <w:tc>
          <w:tcPr>
            <w:tcW w:w="5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therapeutic development</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 by segment:</w:t>
            </w:r>
          </w:p>
        </w:tc>
        <w:tc>
          <w:tcPr>
            <w:tcW w:w="50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80" w:type="dxa"/>
            <w:vAlign w:val="bottom"/>
            <w:gridSpan w:val="8"/>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-6085840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-6085840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-6085840</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-3985260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-3968115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-2999740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-1310640</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-1019175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-1002030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expense by segment: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4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20" w:type="dxa"/>
            <w:vAlign w:val="bottom"/>
          </w:tcPr>
          <w:p>
            <w:pPr>
              <w:spacing w:after="0"/>
              <w:rPr>
                <w:sz w:val="18"/>
                <w:szCs w:val="18"/>
                <w:color w:val="auto"/>
              </w:rPr>
            </w:pP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by segment:</w:t>
            </w:r>
          </w:p>
        </w:tc>
        <w:tc>
          <w:tcPr>
            <w:tcW w:w="220" w:type="dxa"/>
            <w:vAlign w:val="bottom"/>
          </w:tcPr>
          <w:p>
            <w:pPr>
              <w:spacing w:after="0"/>
              <w:rPr>
                <w:sz w:val="24"/>
                <w:szCs w:val="24"/>
                <w:color w:val="auto"/>
              </w:rPr>
            </w:pPr>
          </w:p>
        </w:tc>
        <w:tc>
          <w:tcPr>
            <w:tcW w:w="16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8"/>
        </w:trPr>
        <w:tc>
          <w:tcPr>
            <w:tcW w:w="7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1,047,231</w:t>
            </w:r>
          </w:p>
        </w:tc>
        <w:tc>
          <w:tcPr>
            <w:tcW w:w="120" w:type="dxa"/>
            <w:vAlign w:val="bottom"/>
            <w:shd w:val="clear" w:color="auto" w:fill="CFF0FC"/>
          </w:tcPr>
          <w:p>
            <w:pPr>
              <w:spacing w:after="0"/>
              <w:rPr>
                <w:sz w:val="18"/>
                <w:szCs w:val="18"/>
                <w:color w:val="auto"/>
              </w:rPr>
            </w:pPr>
          </w:p>
        </w:tc>
        <w:tc>
          <w:tcPr>
            <w:tcW w:w="42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1,156,369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-848360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-830580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distribution of revenue: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foreign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65,106</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67,826</w:t>
            </w:r>
          </w:p>
        </w:tc>
      </w:tr>
      <w:tr>
        <w:trPr>
          <w:trHeight w:val="395"/>
        </w:trPr>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4"/>
        </w:trPr>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09"/>
        </w:trPr>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r>
      <w:tr>
        <w:trPr>
          <w:trHeight w:val="209"/>
        </w:trPr>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561"/>
        </w:trPr>
        <w:tc>
          <w:tcPr>
            <w:tcW w:w="220" w:type="dxa"/>
            <w:vAlign w:val="bottom"/>
          </w:tcPr>
          <w:p>
            <w:pPr>
              <w:spacing w:after="0"/>
              <w:rPr>
                <w:sz w:val="24"/>
                <w:szCs w:val="24"/>
                <w:color w:val="auto"/>
              </w:rPr>
            </w:pP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bl>
    <w:p>
      <w:pPr>
        <w:spacing w:after="0" w:line="1" w:lineRule="exact"/>
        <w:rPr>
          <w:sz w:val="20"/>
          <w:szCs w:val="20"/>
          <w:color w:val="auto"/>
        </w:rPr>
      </w:pPr>
    </w:p>
    <w:p>
      <w:pPr>
        <w:sectPr>
          <w:pgSz w:w="11900" w:h="16838" w:orient="portrait"/>
          <w:cols w:equalWidth="0" w:num="2">
            <w:col w:w="6560" w:space="720"/>
            <w:col w:w="3960"/>
          </w:cols>
          <w:pgMar w:left="320" w:top="1033"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tcBorders>
              <w:top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110,188</w:t>
            </w:r>
          </w:p>
        </w:tc>
        <w:tc>
          <w:tcPr>
            <w:tcW w:w="120" w:type="dxa"/>
            <w:vAlign w:val="bottom"/>
            <w:shd w:val="clear" w:color="auto" w:fill="CFF0FC"/>
          </w:tcPr>
          <w:p>
            <w:pPr>
              <w:spacing w:after="0"/>
              <w:rPr>
                <w:sz w:val="18"/>
                <w:szCs w:val="18"/>
                <w:color w:val="auto"/>
              </w:rPr>
            </w:pPr>
          </w:p>
        </w:tc>
        <w:tc>
          <w:tcPr>
            <w:tcW w:w="860" w:type="dxa"/>
            <w:vAlign w:val="bottom"/>
            <w:tcBorders>
              <w:top w:val="single" w:sz="8" w:color="auto"/>
            </w:tcBorders>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countries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8"/>
                <w:szCs w:val="18"/>
                <w:color w:val="auto"/>
              </w:rPr>
            </w:pPr>
          </w:p>
        </w:tc>
      </w:tr>
      <w:tr>
        <w:trPr>
          <w:trHeight w:val="210"/>
        </w:trPr>
        <w:tc>
          <w:tcPr>
            <w:tcW w:w="7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foreign</w:t>
            </w:r>
          </w:p>
        </w:tc>
        <w:tc>
          <w:tcPr>
            <w:tcW w:w="5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116,344</w:t>
            </w:r>
          </w:p>
        </w:tc>
        <w:tc>
          <w:tcPr>
            <w:tcW w:w="9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112,549</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Notes payable as of March 31, 2026, consisted of $2.0 million of notes payable related to an installment sale contract the Company entered into in February 2022 for a building. The notes payable related to the installment sale are due in February 2030, and the interest rate is 1.08%. The current portion and noncurrent portion are $0.5 million and $1.5 million, respectively, and the noncurrent portion is included in other long-term liabilities in the accompanying Condensed Consolidated Balance Sheets. The interest expense for the three months ended March 31, 2026, and 2025, was not significant.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21" w:name="page22"/>
    <w:bookmarkEnd w:id="21"/>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improper billing for laboratory testing, and remuneration received or provided in violation of the Anti-Kickback Statute and the Stark Law. Among other things, this CID requests information and records relating to certain of the Company’s customers named in this CID. Certain of the Company’s executive officers and employees have also received CIDs relating to these matters.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Similar to other laboratories in the industry, the Company responded to an audit inquiry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The Company has provided HRSA’s auditors with requested information in connection with its audit in an effort to resolve any issues related to its audit, including any reimbursed amounts that may need to be returned to HRSA. As of the date of this quarterly report, the Company has not received any final audit results from HRSA for this audit. The Company has not received any further requests for information in connection with this audit from HRSA. The Company has also received a CID issued by the DOJ pursuant to the False Claims Act related to the DOJ’s investigation as to whether the Company submitted or caused to be submitted false claims to the Uninsured Program.</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As is typical for companies seeking reimbursement from government payors, from time to time the Company is named as a defendant in claims pursuant to the qui tam provisions of the False Claims Act and comparable state laws. Often, these proceedings remain under seal such that the Company does not have access to the specific information included in them. Seals often remain in place for extended periods of time while the U.S. government, or applicable regulatory authority, decides whether to intervene on behalf of the qui tam plaintiff. As a result, the Company may not be aware of all qui tam claims that have been filed against the Company. In or around February 2026, the U.S. District Court for the Central District of California unsealed a qui tam complaint (and certain related proceedings) filed against Fulgent Genetics, Inc. and Fulgent Therapeutics LLC by a qui tam plaintiff (known as a relator) on behalf of the United States. This complaint alleged that the Company filed false claims for reimbursement for COVID-19 tests in violation of the False Claims Act. The complaint was subsequently dismissed without prejudice as to the relator and the U.S. government following the U.S. government’s filing of a motion to dismiss, meaning the relator and the U.S. government retained the right to refile and may refile under seal.</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fully cooperating with the DOJ in connection with the CIDs that it, or its employees, have received. The Company cannot currently predict when these CIDs and HRSA audit matters will be resolved, the reasonable or likely outcome of these matters, or their potential impact, which may materially and adversely affect the Company’s business, prospects, and financial condition. Discussions and investigations remain ongoing. As such, the Company cannot reasonably estimate the loss or range of loss, if any, that may result from any material government investigations, audits, claims,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CIDs or audit matters.</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like other laboratories in its industry, is subject to claims and allegations relating to professional liability. The Company accrued $14.5 million in connection with the settlement of a professional liability matter, which was included in accrued legal liabilities and general and administrative expense in the 2025 Annual Report. The Company maintains professional liability insurance that has provided partial coverage for this matter, subject to customary retentions, exclusions, and limits.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Company is a lessee to various non-cancelable operating leases with varying terms through March 2034, primarily for laboratory and office space and equipment. The Company has options to renew some of these leases after their expiration.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or ROU asset, short-term lease liabilities, and long-term lease liabilities as of March 31, 2026, and December 31, 2025,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152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660" w:type="dxa"/>
            <w:vAlign w:val="bottom"/>
            <w:gridSpan w:val="3"/>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1520" w:type="dxa"/>
            <w:vAlign w:val="bottom"/>
          </w:tcPr>
          <w:p>
            <w:pPr>
              <w:jc w:val="right"/>
              <w:ind w:right="13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660" w:type="dxa"/>
            <w:vAlign w:val="bottom"/>
            <w:gridSpan w:val="3"/>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52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660" w:type="dxa"/>
            <w:vAlign w:val="bottom"/>
            <w:gridSpan w:val="3"/>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1520" w:type="dxa"/>
            <w:vAlign w:val="bottom"/>
          </w:tcPr>
          <w:p>
            <w:pPr>
              <w:jc w:val="right"/>
              <w:ind w:right="13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60" w:type="dxa"/>
            <w:vAlign w:val="bottom"/>
            <w:gridSpan w:val="3"/>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152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60" w:type="dxa"/>
            <w:vAlign w:val="bottom"/>
            <w:gridSpan w:val="3"/>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1520" w:type="dxa"/>
            <w:vAlign w:val="bottom"/>
          </w:tcPr>
          <w:p>
            <w:pPr>
              <w:jc w:val="right"/>
              <w:ind w:right="1359"/>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6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was operating and finance lease expense:</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40" w:type="dxa"/>
            <w:vAlign w:val="bottom"/>
          </w:tcPr>
          <w:p>
            <w:pPr>
              <w:spacing w:after="0"/>
              <w:rPr>
                <w:sz w:val="24"/>
                <w:szCs w:val="24"/>
                <w:color w:val="auto"/>
              </w:rPr>
            </w:pPr>
          </w:p>
        </w:tc>
        <w:tc>
          <w:tcPr>
            <w:tcW w:w="3660" w:type="dxa"/>
            <w:vAlign w:val="bottom"/>
            <w:tcBorders>
              <w:bottom w:val="single" w:sz="8" w:color="auto"/>
            </w:tcBorders>
            <w:gridSpan w:val="6"/>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15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13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52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60" w:type="dxa"/>
            <w:vAlign w:val="bottom"/>
            <w:gridSpan w:val="3"/>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5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5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15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520" w:type="dxa"/>
            <w:vAlign w:val="bottom"/>
          </w:tcPr>
          <w:p>
            <w:pPr>
              <w:jc w:val="right"/>
              <w:ind w:right="13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660" w:type="dxa"/>
            <w:vAlign w:val="bottom"/>
            <w:gridSpan w:val="3"/>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leases was the following:</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operating leases</w:t>
            </w: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5"/>
              </w:rPr>
              <w:t>5.37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operating leases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finance lease</w:t>
            </w: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5"/>
              </w:rPr>
              <w:t>0.75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finance lease</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-1279525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-1279525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gridSpan w:val="2"/>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5"/>
                <w:szCs w:val="15"/>
                <w:color w:val="auto"/>
              </w:rPr>
            </w:pPr>
          </w:p>
        </w:tc>
      </w:tr>
      <w:tr>
        <w:trPr>
          <w:trHeight w:val="210"/>
        </w:trPr>
        <w:tc>
          <w:tcPr>
            <w:tcW w:w="3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2026 (remaining 9 months)</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3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30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FF0FC"/>
          </w:tcPr>
          <w:p>
            <w:pPr>
              <w:spacing w:after="0"/>
              <w:rPr>
                <w:sz w:val="21"/>
                <w:szCs w:val="21"/>
                <w:color w:val="auto"/>
              </w:rPr>
            </w:pPr>
          </w:p>
        </w:tc>
      </w:tr>
      <w:tr>
        <w:trPr>
          <w:trHeight w:val="628"/>
        </w:trPr>
        <w:tc>
          <w:tcPr>
            <w:tcW w:w="3760" w:type="dxa"/>
            <w:vAlign w:val="bottom"/>
            <w:tcBorders>
              <w:top w:val="single" w:sz="8" w:color="CFF0FC"/>
            </w:tcBorders>
          </w:tcPr>
          <w:p>
            <w:pPr>
              <w:spacing w:after="0"/>
              <w:rPr>
                <w:sz w:val="24"/>
                <w:szCs w:val="24"/>
                <w:color w:val="auto"/>
              </w:rPr>
            </w:pPr>
          </w:p>
        </w:tc>
        <w:tc>
          <w:tcPr>
            <w:tcW w:w="3080" w:type="dxa"/>
            <w:vAlign w:val="bottom"/>
            <w:tcBorders>
              <w:top w:val="single" w:sz="8" w:color="CFF0FC"/>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-933450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-916305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 Condensed Consolidated Statements of Operations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3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6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shd w:val="clear" w:color="auto" w:fill="CFF0FC"/>
          </w:tcPr>
          <w:p>
            <w:pPr>
              <w:jc w:val="right"/>
              <w:ind w:right="11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3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4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Pr>
          <w:p>
            <w:pPr>
              <w:spacing w:after="0"/>
              <w:rPr>
                <w:sz w:val="18"/>
                <w:szCs w:val="18"/>
                <w:color w:val="auto"/>
              </w:rPr>
            </w:pPr>
          </w:p>
        </w:tc>
      </w:tr>
      <w:tr>
        <w:trPr>
          <w:trHeight w:val="22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FF0FC"/>
          </w:tcPr>
          <w:p>
            <w:pPr>
              <w:jc w:val="right"/>
              <w:ind w:right="11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3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shd w:val="clear" w:color="auto" w:fill="CFF0FC"/>
          </w:tcPr>
          <w:p>
            <w:pPr>
              <w:spacing w:after="0"/>
              <w:rPr>
                <w:sz w:val="19"/>
                <w:szCs w:val="19"/>
                <w:color w:val="auto"/>
              </w:rPr>
            </w:pP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consolidated expense for (benefit from) income taxes of $(0.7) million and $0.2 million for the three months ended March 31, 2026, and 2025, respectively. The Company’s effective tax rate was 3% for the three months ended March 31, 2026, compared to (2)% for the three months ended March 31, 2025. The change in the effective tax rate compared to prior periods was primarily driven by a one-time tax benefit resulting from an acquisition completed during the quarter, which allowed the Company to recognize a portion of the tax benefit from its net operating losses that had previously been reserved.</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2020 to 2021 and 2023 tax years. While the timing of the conclusion of the examination is uncertain, the Company believes that adequate amounts have been reserved for adjustments that may result. During 2026, the statutes of limitations will lapse on the Company’s 2022 federal tax year and certain 2021 and 2022 state tax years. The Company does not believe the federal or state statute lapses or any other event will significantly impact the balance of unrecognized tax benefits in the next 12 months.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not yet received the $106.1 million related to the carryback of Investment Tax Credits to the 2021 and 2022 tax years. In connection with the delayed refunds, the Company has accrued $2.2 million of estimated overpayment interest receivable from the Internal Revenue Service through the first quarter of 2026, which is recorded in interest income. The Company continues to monitor the status of its refund claim.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12.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loss per share computations for the three months ended March 31, 2026, and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8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8"/>
                <w:szCs w:val="18"/>
                <w:color w:val="auto"/>
              </w:rPr>
            </w:pPr>
          </w:p>
        </w:tc>
      </w:tr>
      <w:tr>
        <w:trPr>
          <w:trHeight w:val="223"/>
        </w:trPr>
        <w:tc>
          <w:tcPr>
            <w:tcW w:w="6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11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(24,826)</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(11,530)</w:t>
            </w:r>
          </w:p>
        </w:tc>
      </w:tr>
      <w:tr>
        <w:trPr>
          <w:trHeight w:val="197"/>
        </w:trPr>
        <w:tc>
          <w:tcPr>
            <w:tcW w:w="684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1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3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6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30,881</w:t>
            </w:r>
          </w:p>
        </w:tc>
        <w:tc>
          <w:tcPr>
            <w:tcW w:w="3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30,832</w:t>
            </w:r>
          </w:p>
        </w:tc>
        <w:tc>
          <w:tcPr>
            <w:tcW w:w="100" w:type="dxa"/>
            <w:vAlign w:val="bottom"/>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(0.80)</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r>
        <w:trPr>
          <w:trHeight w:val="234"/>
        </w:trPr>
        <w:tc>
          <w:tcPr>
            <w:tcW w:w="6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jc w:val="right"/>
              <w:ind w:right="979"/>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(0.80)</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-1048385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-1031240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-1048385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-1031240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-748030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-730885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-748030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loss per share because their effect would have been anti-dilutive:</w:t>
      </w:r>
    </w:p>
    <w:p>
      <w:pPr>
        <w:spacing w:after="0" w:line="28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7620</wp:posOffset>
            </wp:positionV>
            <wp:extent cx="27432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23"/>
        </w:trPr>
        <w:tc>
          <w:tcPr>
            <w:tcW w:w="6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Pr>
          <w:p>
            <w:pPr>
              <w:spacing w:after="0"/>
              <w:rPr>
                <w:sz w:val="18"/>
                <w:szCs w:val="18"/>
                <w:color w:val="auto"/>
              </w:rPr>
            </w:pP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anti-dilutive shares described above were calculated using the treasury stock method. In the three months ended March 31, 2026, and 2025, the Company had outstanding stock options and restricted stock units that were excluded from the weighted-average share calculation for continuing operations due to the Company’s net loss positions.</w:t>
      </w:r>
    </w:p>
    <w:p>
      <w:pPr>
        <w:spacing w:after="0" w:line="176"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2026, the Company also had contingently issuable shares for contingent consideration to the acquisition of ANP that were excluded from the weighted-average share calculation for continuing operations due to the Company’s net loss positions. The milestones have not been satisfied as of March 31, 2026, thus, nothing was included in dilutive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Retirement Plans</w:t>
      </w:r>
    </w:p>
    <w:p>
      <w:pPr>
        <w:spacing w:after="0" w:line="121"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4% of an employee’s compensation that the employee contributes to their 401(k) Plan account. Total Company matching contributions to the 401(k) Plan were $1.3 million and $1.2 million for the three months ended March 31, 2026, and 2025,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Prior to April 25, 2025, Ming Hsieh, the Chief Executive Officer and Chairperson of the board of directors, was on the board of directors and an approximately 20% owner of ANP, with which the Company entered into certain drug-related licensing and development service agreements.</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President and Chief Scientific Officer of Fulgent Pharma, Ray Yin, is the Founder, President, and Chief Technology Officer of ANP. The Company incurred $0.4 million related to the licensing and development services and the purchase of equipment in the three months ended March 31, 2025. The Company also entered into an employee service agreement with ANP in April 2023, an insignificant amount was recognized in revenue in the three months ended March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15.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Bako Business Combination</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March 17, 2026, or the Bako acquisition date, Inform Diagnostics, Inc., a wholly owned subsidiary of the Company, completed an acquisition of substantially all of the assets and certain specified liabilities of Bako Diagnostics, a premier pathology laboratory, and 100% of the issued and outstanding equity of StrataDx, a premier dermatopathology laboratory. Under the terms of the asset purchase agreement, as well as the purchase and sale agreement, both dated December 20, 2025, the total purchase price was approximately $55.7 million, net of cash received. These acquisitions, or collectively, the Bako Acquisition, enable the Company to further strengthen its laboratory services business by adding new products and services and further expand its national client base, national sales team, and team of expert pathologists.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results of the Bako Acquisition are included in the condensed consolidated financial statements from the date of acquisition.</w:t>
      </w:r>
    </w:p>
    <w:p>
      <w:pPr>
        <w:spacing w:after="0" w:line="22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accounted for the acquisitions as a business combination under Accounting Standards Codification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or “ASC 805.” Accordingly, the total consideration transferred has been allocated to the tangible assets and identified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and liabilities assumed based on their estimated fair values as of the Bako acquisition date. The excess of the consideration transferred over the fair value of net identifiable assets acquired has been recognized as goodwill. The purchase price allocation is preliminary and remains subject to change, primarily with respect to deferred taxes. As additional information becomes available — including the filing and finalization of federal and state tax returns for periods prior to the Bako acquisition date, and the resolution of other post-closing matters — the Company may further update the preliminary purchase price allocation during the remainder of the measurement period (up to one year from the Bako acquisition date). If measurement period adjustments are identified, the Company will adjust the provisional amounts, with a corresponding adjustment to goodwill, as if the accounting had been completed at the Bako acquisition date. The Company will revise comparative information for prior periods presented in its financial statements to reflect measurement period adjustments.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consideration and the amounts of the assets acquired and liabilities assumed recognized at the Bako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84"/>
        </w:trPr>
        <w:tc>
          <w:tcPr>
            <w:tcW w:w="9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r>
      <w:tr>
        <w:trPr>
          <w:trHeight w:val="26"/>
        </w:trPr>
        <w:tc>
          <w:tcPr>
            <w:tcW w:w="9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Considerations</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Cash paid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56,111</w:t>
            </w:r>
          </w:p>
        </w:tc>
        <w:tc>
          <w:tcPr>
            <w:tcW w:w="10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Considerations not paid yet (in accrued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56,252</w:t>
            </w:r>
          </w:p>
        </w:tc>
        <w:tc>
          <w:tcPr>
            <w:tcW w:w="100" w:type="dxa"/>
            <w:vAlign w:val="bottom"/>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ROU assets - operating</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(1,952)</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(2,839)</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w:t>
            </w:r>
          </w:p>
        </w:tc>
      </w:tr>
      <w:tr>
        <w:trPr>
          <w:trHeight w:val="210"/>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net</w:t>
            </w:r>
          </w:p>
        </w:tc>
        <w:tc>
          <w:tcPr>
            <w:tcW w:w="3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100" w:type="dxa"/>
            <w:vAlign w:val="bottom"/>
          </w:tcPr>
          <w:p>
            <w:pPr>
              <w:spacing w:after="0"/>
              <w:rPr>
                <w:sz w:val="18"/>
                <w:szCs w:val="18"/>
                <w:color w:val="auto"/>
              </w:rPr>
            </w:pPr>
          </w:p>
        </w:tc>
      </w:tr>
      <w:tr>
        <w:trPr>
          <w:trHeight w:val="250"/>
        </w:trPr>
        <w:tc>
          <w:tcPr>
            <w:tcW w:w="9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goodwill of $31.4 million arising from the acquisition is attributed to the expected synergies, assembled workforce, and other benefits that will potentially be generated from the business combination along with deferred tax. The goodwill recognized is not deductible for tax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identified intangible assets acquired consisted of $22.0 million customer relationships with an estimated amortization life of ten years and $0.7 million trade name with an estimated amortization life of three years.</w:t>
      </w:r>
    </w:p>
    <w:p>
      <w:pPr>
        <w:spacing w:after="0" w:line="16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fair value of the customer relationship was estimated using the Multiperiod Excess Earnings Method, or MPEEM, of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relationships are then discounted to their present value at a risk-adjusted rate of return. The fair value of the trade name was estimated using the relief from royalty, or RFR, method. The RFR method estimates the portion of the Company’s earnings attributable to an intangible asset based on the royalty rate the Company would have paid for the use of the asset if it did not own it. The customer relationships and trade name are amortized on a straight-line basis over their estimated useful lives.</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revenue and net loss of the acquiree since the Bako acquisition date are $2.6 million and $1.0 million, respectively, which are included in the accompanying Condensed Consolidated Statements of Operations.</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acquisition-related costs associated with the acquisition of Bako consisted primarily of legal, regulatory and financial advisory fees of approximately $2.6 million for the three months ended March 31, 2026 and $1.5 million incurred in the fourth quarter of 2025. These acquisition-related costs were expensed as incurred as general and administrative expenses.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121" w:lineRule="exact"/>
        <w:rPr>
          <w:sz w:val="20"/>
          <w:szCs w:val="20"/>
          <w:color w:val="auto"/>
        </w:rPr>
      </w:pPr>
    </w:p>
    <w:p>
      <w:pPr>
        <w:jc w:val="both"/>
        <w:ind w:right="140" w:firstLine="49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Fulgent and Bako as if the acquisition had been completed on January 1, 2025. The unaudited pro forma financial information is not necessarily indicative of future operating results or the financial position that would have occurred had the acquisition been consummated on that date.</w:t>
      </w:r>
    </w:p>
    <w:p>
      <w:pPr>
        <w:spacing w:after="0" w:line="176" w:lineRule="exact"/>
        <w:rPr>
          <w:sz w:val="20"/>
          <w:szCs w:val="20"/>
          <w:color w:val="auto"/>
        </w:rPr>
      </w:pPr>
    </w:p>
    <w:p>
      <w:pPr>
        <w:jc w:val="both"/>
        <w:ind w:right="220" w:firstLine="49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does not reflect any cost savings, operating synergies, or revenue enhancements that the combined company may achieve as a result of the acquisition, the costs to integrate the operations of Fulgent and Bako, or the costs necessary to achieve those cost savings, operating synergies, and revenue enhancements.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unaudited pro forma net loss attributable to Fulgent has been adjusted for the following non-recurring and acquisition-related items:</w:t>
      </w:r>
    </w:p>
    <w:p>
      <w:pPr>
        <w:spacing w:after="0" w:line="196" w:lineRule="exact"/>
        <w:rPr>
          <w:sz w:val="20"/>
          <w:szCs w:val="20"/>
          <w:color w:val="auto"/>
        </w:rPr>
      </w:pPr>
    </w:p>
    <w:p>
      <w:pPr>
        <w:ind w:right="8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 </w:t>
      </w:r>
      <w:r>
        <w:rPr>
          <w:rFonts w:ascii="Times New Roman" w:cs="Times New Roman" w:eastAsia="Times New Roman" w:hAnsi="Times New Roman"/>
          <w:sz w:val="18"/>
          <w:szCs w:val="18"/>
          <w:color w:val="auto"/>
        </w:rPr>
        <w:t>Acquisition-related costs incurred by both Fulgent and Bako, totaling $2.8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have been excluded from pro forma net loss as these costs are directly attributable to the acquisition and are non-recurring in nature. Such costs include investment banker fees, legal fees, due diligence expenses, and third-party valuation fees.</w:t>
      </w:r>
    </w:p>
    <w:p>
      <w:pPr>
        <w:spacing w:after="0" w:line="133" w:lineRule="exact"/>
        <w:rPr>
          <w:sz w:val="20"/>
          <w:szCs w:val="20"/>
          <w:color w:val="auto"/>
        </w:rPr>
      </w:pPr>
    </w:p>
    <w:p>
      <w:pPr>
        <w:ind w:right="6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Transaction bonus and acquisition-related severance costs – </w:t>
      </w:r>
      <w:r>
        <w:rPr>
          <w:rFonts w:ascii="Times New Roman" w:cs="Times New Roman" w:eastAsia="Times New Roman" w:hAnsi="Times New Roman"/>
          <w:sz w:val="18"/>
          <w:szCs w:val="18"/>
          <w:color w:val="auto"/>
        </w:rPr>
        <w:t>A transaction bonus of $3.6 million paid by Bako and a separation payment of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paid to a former officer of Bako by the combined entity have been excluded from pro forma net loss for the three months ended March 31, 2026, as those obligations arose directly from the change-in-control provisions of Bako’s pre-existing employment agreements and is non-recurring.</w:t>
      </w:r>
    </w:p>
    <w:p>
      <w:pPr>
        <w:spacing w:after="0" w:line="173" w:lineRule="exact"/>
        <w:rPr>
          <w:sz w:val="20"/>
          <w:szCs w:val="20"/>
          <w:color w:val="auto"/>
        </w:rPr>
      </w:pPr>
    </w:p>
    <w:p>
      <w:pPr>
        <w:ind w:right="300" w:firstLine="49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Financing costs – </w:t>
      </w:r>
      <w:r>
        <w:rPr>
          <w:rFonts w:ascii="Times New Roman" w:cs="Times New Roman" w:eastAsia="Times New Roman" w:hAnsi="Times New Roman"/>
          <w:sz w:val="18"/>
          <w:szCs w:val="18"/>
          <w:color w:val="auto"/>
        </w:rPr>
        <w:t>Financing costs incurred by Bako associated with indebtedness that was repaid in connection with the acquisition totaling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$1.5 million for the three months ended March 31, 2026, and 2025, respectively,</w:t>
      </w:r>
    </w:p>
    <w:p>
      <w:pPr>
        <w:spacing w:after="0"/>
        <w:rPr>
          <w:sz w:val="20"/>
          <w:szCs w:val="20"/>
          <w:color w:val="auto"/>
        </w:rPr>
      </w:pPr>
      <w:r>
        <w:rPr>
          <w:rFonts w:ascii="Times New Roman" w:cs="Times New Roman" w:eastAsia="Times New Roman" w:hAnsi="Times New Roman"/>
          <w:sz w:val="18"/>
          <w:szCs w:val="18"/>
          <w:color w:val="auto"/>
        </w:rPr>
        <w:t>have been excluded from pro forma net loss. These costs are non-recurring as the underlying debt was extinguished on the Bako acquisition date.</w:t>
      </w:r>
    </w:p>
    <w:p>
      <w:pPr>
        <w:spacing w:after="0" w:line="205" w:lineRule="exact"/>
        <w:rPr>
          <w:sz w:val="20"/>
          <w:szCs w:val="20"/>
          <w:color w:val="auto"/>
        </w:rPr>
      </w:pPr>
    </w:p>
    <w:p>
      <w:pPr>
        <w:ind w:right="2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adjustments – </w:t>
      </w:r>
      <w:r>
        <w:rPr>
          <w:rFonts w:ascii="Times New Roman" w:cs="Times New Roman" w:eastAsia="Times New Roman" w:hAnsi="Times New Roman"/>
          <w:sz w:val="18"/>
          <w:szCs w:val="18"/>
          <w:color w:val="auto"/>
        </w:rPr>
        <w:t>Adjustments of $0.2 million and $2.0 million for the three months ended March 31, 2026, and 2025, respectively,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adjusted amortization of acquired intangible assets and depreciation on property and equipment recognized at fair value in connection with the purchase price allocation, as required under ASC 805.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4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4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84,624</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90,612</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3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(24,510)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(13,686)</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loss per common share attributable to Fulgent</w:t>
            </w:r>
          </w:p>
        </w:tc>
        <w:tc>
          <w:tcPr>
            <w:tcW w:w="3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(0.79)</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common share attributable to Fulgent</w:t>
            </w:r>
          </w:p>
        </w:tc>
        <w:tc>
          <w:tcPr>
            <w:tcW w:w="3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r>
      <w:tr>
        <w:trPr>
          <w:trHeight w:val="630"/>
        </w:trPr>
        <w:tc>
          <w:tcPr>
            <w:tcW w:w="4720" w:type="dxa"/>
            <w:vAlign w:val="bottom"/>
          </w:tcPr>
          <w:p>
            <w:pPr>
              <w:spacing w:after="0"/>
              <w:rPr>
                <w:sz w:val="24"/>
                <w:szCs w:val="24"/>
                <w:color w:val="auto"/>
              </w:rPr>
            </w:pPr>
          </w:p>
        </w:tc>
        <w:tc>
          <w:tcPr>
            <w:tcW w:w="294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ANP Technologies, Inc.</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On July 9, 2025, or the ANP acquisition date, the Company completed an acquisition of 100% of the outstanding equity of ANP, an innovation-driven company, which has developed multiple proprietary product platforms. The acquisition was structured as a combination of cash and stock, net of cash received. This acquisition enables the Company to secure ownership of the patents previously licensed from ANP, which are currently utilized in ongoing clinical studies. By securing full ownership of these intellectual property rights, the Company aims to enhance its control over the development and commercialization of related therapeutic candidates, thereby aligning with its strategic objectives to advance clinical programs.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results of ANP are included in the consolidated financial statements from the date of acquisition.</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finalized the federal and state income tax returns for ANP for periods prior to the ANP acquisition date. As a result of this finalization, the Company identified a measurement period adjustment resulting in a decrease to deferred tax liabilities of $2.7 million, with a corresponding decrease to goodwill of $2.7 million. This adjustment is reflected retrospectively as of the ANP acquisition date in accordance with ASC 805. The adjustment had no impact on the Company’s consolidated statements of operations for the three months ended March 31, 2026.</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updated and finalized purchase price allocation: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80" w:type="dxa"/>
            <w:vAlign w:val="bottom"/>
          </w:tcPr>
          <w:p>
            <w:pPr>
              <w:spacing w:after="0"/>
              <w:rPr>
                <w:sz w:val="13"/>
                <w:szCs w:val="13"/>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held back</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pre-existing accounts payable</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ROU assets - operating</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(3,563)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0"/>
        </w:trPr>
        <w:tc>
          <w:tcPr>
            <w:tcW w:w="7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net</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-2407920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-2407920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-454025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-454025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acquisition includes a contingent consideration arrangement that requires the Company to issue up to 292,682 shares of the Company’s common stock to the sellers of ANP upon ANP’s achievement of certain minimum levels of cash receipts over the next two years. The contingent consideration is classified as equity, and the fair value of $5.7 million was calculated based on the stock price of the Company’s common stock on the ANP acquisition date. The fair value of the contingent consideration does not need to be remeasured, as the subsequent settlement will be accounted for as equity.</w:t>
      </w:r>
    </w:p>
    <w:p>
      <w:pPr>
        <w:spacing w:after="0" w:line="183"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merger agreement, as amended, called for the Company to hold back $1.9 million to serve as collateral for indemnification of the equity holders. $1.0 million of the holdback will be released to the sellers of ANP after the initial survival date (three years after closing), and the remaining amount is to be released four years after the closing date.</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goodwill of $0.3 million arising from the acquisition is attributed to the expected synergies, assembled workforce, and other benefits that will potentially be generated from the business combination along with deferred tax. The goodwill recognized is not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deductible for tax purposes.</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identified intangible assets acquired consisted of $3.9 million IPR&amp;D, which is an indefinite-lived asset and as such is not amortized, and $2.3 million customer relationships with an estimated amortization life of 18 years.</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the IPR&amp;D was estimated using the cost to recreate method of the cost approach. The cost to recreate method estimates the expense to the Company if the intangible assets were to be recreated. The fair value of the customer relationships was estimated using the MPEEM under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contract are then discounted to their present value at a risk-adjusted rate of return.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are amortized on a straight-line basis over the estimated useful lives.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 Repurchase Program</w:t>
      </w:r>
    </w:p>
    <w:p>
      <w:pPr>
        <w:spacing w:after="0" w:line="121" w:lineRule="exact"/>
        <w:rPr>
          <w:sz w:val="20"/>
          <w:szCs w:val="20"/>
          <w:color w:val="auto"/>
        </w:rPr>
      </w:pPr>
    </w:p>
    <w:p>
      <w:pPr>
        <w:ind w:right="200" w:firstLine="494"/>
        <w:spacing w:after="0" w:line="266" w:lineRule="auto"/>
        <w:rPr>
          <w:sz w:val="20"/>
          <w:szCs w:val="20"/>
          <w:color w:val="auto"/>
        </w:rPr>
      </w:pPr>
      <w:r>
        <w:rPr>
          <w:rFonts w:ascii="Times New Roman" w:cs="Times New Roman" w:eastAsia="Times New Roman" w:hAnsi="Times New Roman"/>
          <w:sz w:val="18"/>
          <w:szCs w:val="18"/>
          <w:color w:val="auto"/>
        </w:rPr>
        <w:t>In March 2022, the Company’s board of directors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76" w:lineRule="exact"/>
        <w:rPr>
          <w:sz w:val="20"/>
          <w:szCs w:val="20"/>
          <w:color w:val="auto"/>
        </w:rPr>
      </w:pPr>
    </w:p>
    <w:p>
      <w:pPr>
        <w:ind w:right="200" w:firstLine="49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2.6 million shares of its common stock at an aggregate cost of $40.1 million under the stock repurchase program. During the three months ended March 31, 2025, the Company repurchased 0.5 million shares of its common stock at an aggregate cost of $7.9 million under the stock repurchase program. As of March 31, 2026, a total of approximately $99.6 million remained available for future repurchases of its common stock under the stock repurchase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Intangible Assets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operating segments represented the two reporting units. The Company tests for goodwill impairment at the reporting unit level on December 31st of each year and more frequently if events or circumstances indicate a potential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goodwill in the three months ended March 31, 2026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Therapeutic Development</w:t>
            </w:r>
          </w:p>
        </w:tc>
        <w:tc>
          <w:tcPr>
            <w:tcW w:w="0" w:type="dxa"/>
            <w:vAlign w:val="bottom"/>
          </w:tcPr>
          <w:p>
            <w:pPr>
              <w:spacing w:after="0"/>
              <w:rPr>
                <w:sz w:val="1"/>
                <w:szCs w:val="1"/>
                <w:color w:val="auto"/>
              </w:rPr>
            </w:pPr>
          </w:p>
        </w:tc>
      </w:tr>
      <w:tr>
        <w:trPr>
          <w:trHeight w:val="50"/>
        </w:trPr>
        <w:tc>
          <w:tcPr>
            <w:tcW w:w="6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2500" w:type="dxa"/>
            <w:vAlign w:val="bottom"/>
            <w:tcBorders>
              <w:bottom w:val="single" w:sz="8" w:color="auto"/>
            </w:tcBorders>
            <w:gridSpan w:val="2"/>
          </w:tcPr>
          <w:p>
            <w:pPr>
              <w:spacing w:after="0"/>
              <w:rPr>
                <w:sz w:val="4"/>
                <w:szCs w:val="4"/>
                <w:color w:val="auto"/>
              </w:rPr>
            </w:pPr>
          </w:p>
        </w:tc>
        <w:tc>
          <w:tcPr>
            <w:tcW w:w="1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09"/>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3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change in goodwill for the laboratory services segment reflects goodwill arising from the Bako Acquisition. The newly acquired entity, Bako, is considered part of the laboratory services segment. See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further details.</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engaged a third-party valuation company for the valuation of the goodwill and intangible assets associated with the acquisition of Bako on the Bako acquisition date. There is no indication of a potential impairment for the Company’s goodwill and intangible assets; thus, no quantitative assessment was performed.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decrease in goodwill for the therapeutic development segment reflects a measurement period adjustment related to the ANP acquisition, resulting from the finalization of deferred tax liabilities. See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further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firstLine="509"/>
        <w:spacing w:after="0" w:line="258" w:lineRule="auto"/>
        <w:rPr>
          <w:sz w:val="20"/>
          <w:szCs w:val="20"/>
          <w:color w:val="auto"/>
        </w:rPr>
      </w:pPr>
      <w:r>
        <w:rPr>
          <w:rFonts w:ascii="Times New Roman" w:cs="Times New Roman" w:eastAsia="Times New Roman" w:hAnsi="Times New Roman"/>
          <w:sz w:val="18"/>
          <w:szCs w:val="18"/>
          <w:color w:val="auto"/>
        </w:rPr>
        <w:t>Based upon the results of the qualitative assessments the Company performed as of December 31, 2025, the Company concluded that the fair values of the therapeutic development reporting unit and the IPR&amp;D asset at December 31, 2025, were greater than the carrying values and that there was no impairment. The Company evaluated whether any events or changes in circumstances occurred during the three months ended March 31, 2026, that would indicate it is more likely than not that the fair value of any reporting unit or indefinite-lived intangible asset has declined below its carrying amount. Based on this evaluation, no triggering events were identified and no interim impairment test was required.</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The Company is not able to market a human therapeutic without obtaining regulatory approvals, and such approvals require completing clinical trials that demonstrate a product candidate is safe and effective. In addition, the availability and extent of coverage and reimbursement from insurance payors, including government healthcare programs and private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0" w:name="page31"/>
    <w:bookmarkEnd w:id="30"/>
    <w:p>
      <w:pPr>
        <w:ind w:right="80"/>
        <w:spacing w:after="0" w:line="282" w:lineRule="auto"/>
        <w:rPr>
          <w:sz w:val="20"/>
          <w:szCs w:val="20"/>
          <w:color w:val="auto"/>
        </w:rPr>
      </w:pPr>
      <w:r>
        <w:rPr>
          <w:rFonts w:ascii="Times New Roman" w:cs="Times New Roman" w:eastAsia="Times New Roman" w:hAnsi="Times New Roman"/>
          <w:sz w:val="18"/>
          <w:szCs w:val="18"/>
          <w:color w:val="auto"/>
        </w:rPr>
        <w:t>insurance plans, impact the revenues a product can generate. Consequently, the eventual realized value, if any, of these acquired IPR&amp;D projects may vary from their estimated fair values.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Summaries of intangible assets balances as of March 31, 2026, and December 31,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220" w:type="dxa"/>
            <w:vAlign w:val="bottom"/>
          </w:tcPr>
          <w:p>
            <w:pPr>
              <w:spacing w:after="0"/>
              <w:rPr>
                <w:sz w:val="16"/>
                <w:szCs w:val="16"/>
                <w:color w:val="auto"/>
              </w:rPr>
            </w:pPr>
          </w:p>
        </w:tc>
        <w:tc>
          <w:tcPr>
            <w:tcW w:w="14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9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6"/>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105,150</w:t>
            </w:r>
          </w:p>
        </w:tc>
        <w:tc>
          <w:tcPr>
            <w:tcW w:w="1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(27,278)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(25,633)</w:t>
            </w:r>
          </w:p>
        </w:tc>
        <w:tc>
          <w:tcPr>
            <w:tcW w:w="0" w:type="dxa"/>
            <w:vAlign w:val="bottom"/>
          </w:tcPr>
          <w:p>
            <w:pPr>
              <w:spacing w:after="0"/>
              <w:rPr>
                <w:sz w:val="1"/>
                <w:szCs w:val="1"/>
                <w:color w:val="auto"/>
              </w:rPr>
            </w:pPr>
          </w:p>
        </w:tc>
      </w:tr>
      <w:tr>
        <w:trPr>
          <w:trHeight w:val="210"/>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6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77,872</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Royalty-free technology</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6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Trade name, net</w:t>
            </w:r>
          </w:p>
        </w:tc>
        <w:tc>
          <w:tcPr>
            <w:tcW w:w="36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(1,736)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6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6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Purchased patent</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Purchased patent, net</w:t>
            </w:r>
          </w:p>
        </w:tc>
        <w:tc>
          <w:tcPr>
            <w:tcW w:w="36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Years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6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6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153,989</w:t>
            </w:r>
          </w:p>
        </w:tc>
        <w:tc>
          <w:tcPr>
            <w:tcW w:w="1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-4362450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-3805555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-3248025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-2691130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-2133600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-1576705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-736600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the acquisitions of Fulgent Pharma in 2022 and ANP in 2025, and has an indefinite life until research and development efforts are completed or abandoned. All other finite-lived acquisition-related intangibles related to the business combinations are amortized on a straight-line basis over their estimated lives, which approximates the pattern in which the economic benefits of the intangible assets are expected to be realized.</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 Company recorded $22.0 million of customer relationships and $0.7 million of trade name attributable to the acquisition of Bako. See more details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$2.0 million for each of the three months ended March 31, 2026, and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intangible assets recorded as of March 31, 2026, and assuming no subsequent impairment of the underlying assets, the annual amortization expense for intangible assets is expected to be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42"/>
        </w:trPr>
        <w:tc>
          <w:tcPr>
            <w:tcW w:w="4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jc w:val="right"/>
              <w:ind w:right="12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2026 (remaining 9 months)</w:t>
            </w:r>
          </w:p>
        </w:tc>
        <w:tc>
          <w:tcPr>
            <w:tcW w:w="35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31,757</w:t>
            </w:r>
          </w:p>
        </w:tc>
        <w:tc>
          <w:tcPr>
            <w:tcW w:w="100" w:type="dxa"/>
            <w:vAlign w:val="bottom"/>
          </w:tcPr>
          <w:p>
            <w:pPr>
              <w:spacing w:after="0"/>
              <w:rPr>
                <w:sz w:val="18"/>
                <w:szCs w:val="18"/>
                <w:color w:val="auto"/>
              </w:rPr>
            </w:pPr>
          </w:p>
        </w:tc>
      </w:tr>
      <w:tr>
        <w:trPr>
          <w:trHeight w:val="249"/>
        </w:trPr>
        <w:tc>
          <w:tcPr>
            <w:tcW w:w="4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From April 1, 2026, through May 1, 2026, the Company repurchased 0.5 million shares of its common stock for an aggregate cost of $8.7 million at an average price of $15.84 per share under the stock repurchase program approved in March 2022. See Note 16, </w:t>
      </w:r>
      <w:r>
        <w:rPr>
          <w:rFonts w:ascii="Times New Roman" w:cs="Times New Roman" w:eastAsia="Times New Roman" w:hAnsi="Times New Roman"/>
          <w:sz w:val="18"/>
          <w:szCs w:val="18"/>
          <w:i w:val="1"/>
          <w:iCs w:val="1"/>
          <w:color w:val="auto"/>
        </w:rPr>
        <w:t>Stock Repurchase Program</w:t>
      </w:r>
      <w:r>
        <w:rPr>
          <w:rFonts w:ascii="Times New Roman" w:cs="Times New Roman" w:eastAsia="Times New Roman" w:hAnsi="Times New Roman"/>
          <w:sz w:val="18"/>
          <w:szCs w:val="18"/>
          <w:color w:val="auto"/>
        </w:rPr>
        <w:t>. As of May 1, 2026, a total of $91.0 million remained available for future repurchases of its common stock under the stock repurchase program.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2025, filed with the SEC on February 27, 2026, or the 2025 Annual Report. As used in this discussion and analysis and elsewhere in this report, unless the context otherwise requires, the terms “Fulgent,” the “Company,” “we,” “us” and “our” refer to Fulgent Genetics, Inc. and its consolidated subsidiaries.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the 2025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includes technical laboratory and testing services and professional interpretation of laboratory results by licensed physicians. Our therapeutic development business is focused on developing product candidates for treating a broad range of cancers using a novel nanoencapsulation and targeted therapy platform designed to improve the therapeutic window and pharmacokinetic profile of new and existing cancer drugs.</w:t>
      </w:r>
    </w:p>
    <w:p>
      <w:pPr>
        <w:spacing w:after="0" w:line="178"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March 17, 2026 and as further described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to the condensed consolidated financial statements included in this report, we completed the acquisition of certain assets of Bako Diagnostics and acquired StrataDx, or collectively, the Bako Acquisition, which together provide dermatopathology, podiatric pathology, and molecular diagnostic services and therapeutic products. As the Bako Acquisition closed late in the first quarter, the results for the three months ended March 31, 2026, include only approximately two weeks of the acquired operations. We expect the additional impact of the Bako Acquisition on our consolidated results of operations, including revenue, cost of revenue, and operating expenses, to be reflected in the second quarter of 2026 and in future periods.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 and Other Factors Affecting Our Performance</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as described below and in our 2025 Annual Report. In particular, the Bako Acquisition is a major transaction involving the integration of significant operations into our existing laboratory business. As described in greater detail in the risk factors included in our 2025 Annual Report, these acquisitions involve inherent risks, including potential difficulties in integrating operations, personnel, and technologies, and the potential for higher than anticipated acquisition-related costs or integration expenses. Ultimately, we may not realize the anticipated benefits of this transaction. For more information,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Part I of the 2025 Annual Report. In addition, our performance in any period 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ind w:right="180"/>
        <w:spacing w:after="0" w:line="284" w:lineRule="auto"/>
        <w:rPr>
          <w:sz w:val="20"/>
          <w:szCs w:val="20"/>
          <w:color w:val="auto"/>
        </w:rPr>
      </w:pPr>
      <w:r>
        <w:rPr>
          <w:rFonts w:ascii="Times New Roman" w:cs="Times New Roman" w:eastAsia="Times New Roman" w:hAnsi="Times New Roman"/>
          <w:sz w:val="18"/>
          <w:szCs w:val="18"/>
          <w:color w:val="auto"/>
        </w:rPr>
        <w:t>affected by a number of other factors. See the description of some of the material factors affecting our performance in “</w:t>
      </w:r>
      <w:r>
        <w:rPr>
          <w:rFonts w:ascii="Times New Roman" w:cs="Times New Roman" w:eastAsia="Times New Roman" w:hAnsi="Times New Roman"/>
          <w:sz w:val="18"/>
          <w:szCs w:val="18"/>
          <w:i w:val="1"/>
          <w:iCs w:val="1"/>
          <w:color w:val="auto"/>
        </w:rPr>
        <w:t>Item 7. 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w:t>
      </w:r>
      <w:r>
        <w:rPr>
          <w:rFonts w:ascii="Times New Roman" w:cs="Times New Roman" w:eastAsia="Times New Roman" w:hAnsi="Times New Roman"/>
          <w:sz w:val="18"/>
          <w:szCs w:val="18"/>
          <w:color w:val="auto"/>
        </w:rPr>
        <w:t>” of the 2025 Annual Report.</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For a financial overview relating to our results of operations, including general descriptions of the make-up of material line items of our statement of operation data, see “</w:t>
      </w:r>
      <w:r>
        <w:rPr>
          <w:rFonts w:ascii="Times New Roman" w:cs="Times New Roman" w:eastAsia="Times New Roman" w:hAnsi="Times New Roman"/>
          <w:sz w:val="18"/>
          <w:szCs w:val="18"/>
          <w:i w:val="1"/>
          <w:iCs w:val="1"/>
          <w:color w:val="auto"/>
        </w:rPr>
        <w:t>Item 7.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of the 2025 Annual Report. Historical results are not indicative of the results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expected in the current period or any future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73"/>
              </w:rPr>
              <w:t>except</w:t>
            </w:r>
          </w:p>
        </w:tc>
        <w:tc>
          <w:tcPr>
            <w:tcW w:w="260" w:type="dxa"/>
            <w:vAlign w:val="bottom"/>
          </w:tcPr>
          <w:p>
            <w:pPr>
              <w:spacing w:after="0"/>
              <w:rPr>
                <w:sz w:val="12"/>
                <w:szCs w:val="12"/>
                <w:color w:val="auto"/>
              </w:rPr>
            </w:pPr>
          </w:p>
        </w:tc>
        <w:tc>
          <w:tcPr>
            <w:tcW w:w="140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continue"/>
          </w:tcPr>
          <w:p>
            <w:pPr>
              <w:spacing w:after="0"/>
              <w:rPr>
                <w:sz w:val="12"/>
                <w:szCs w:val="12"/>
                <w:color w:val="auto"/>
              </w:rPr>
            </w:pPr>
          </w:p>
        </w:tc>
        <w:tc>
          <w:tcPr>
            <w:tcW w:w="1420" w:type="dxa"/>
            <w:vAlign w:val="bottom"/>
            <w:tcBorders>
              <w:top w:val="single" w:sz="8" w:color="auto"/>
            </w:tcBorders>
            <w:gridSpan w:val="2"/>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 Data</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1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30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(2,325)</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45,117</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(6,856)</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4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4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24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(34,622)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(19,795)</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(14,827)</w:t>
            </w: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4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8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Borders>
              <w:top w:val="single" w:sz="8" w:color="CFF0FC"/>
            </w:tcBorders>
          </w:tcPr>
          <w:p>
            <w:pPr>
              <w:spacing w:after="0"/>
              <w:rPr>
                <w:sz w:val="18"/>
                <w:szCs w:val="18"/>
                <w:color w:val="auto"/>
              </w:rPr>
            </w:pPr>
          </w:p>
        </w:tc>
        <w:tc>
          <w:tcPr>
            <w:tcW w:w="16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(25,978)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(11,723)</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(14,255)</w:t>
            </w: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(25,274)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(11,899)</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(13,375)</w:t>
            </w: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(24,826)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(11,530)</w:t>
            </w:r>
          </w:p>
        </w:tc>
        <w:tc>
          <w:tcPr>
            <w:tcW w:w="26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(13,296)</w:t>
            </w: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521"/>
        </w:trPr>
        <w:tc>
          <w:tcPr>
            <w:tcW w:w="4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7"/>
                <w:szCs w:val="17"/>
                <w:color w:val="auto"/>
              </w:rPr>
            </w:pP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laboratory services</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Precision diagnostics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40,238</w:t>
            </w:r>
          </w:p>
        </w:tc>
        <w:tc>
          <w:tcPr>
            <w:tcW w:w="1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44,097</w:t>
            </w:r>
          </w:p>
        </w:tc>
        <w:tc>
          <w:tcPr>
            <w:tcW w:w="30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(3,859)</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Anatomic pathology</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BioPharma services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4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laboratory services</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(2,412)</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from therapeutic development</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BioPharma services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therapeutic development</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1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(2,325)</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9"/>
        </w:trPr>
        <w:tc>
          <w:tcPr>
            <w:tcW w:w="4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5"/>
                <w:szCs w:val="15"/>
                <w:color w:val="auto"/>
              </w:rPr>
              <w:t>* not meaningful</w:t>
            </w:r>
          </w:p>
        </w:tc>
        <w:tc>
          <w:tcPr>
            <w:tcW w:w="8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-4866005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-4866005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-4866005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-4025900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-4025900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-4025900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-3185795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-3185795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-3185795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-2328545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-2311400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-2328545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-2311400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-2328545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-2311400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-442595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-442595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-442595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-151130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-133985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-151130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-133985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-151130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-133985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Revenue decreased by $2.3 million, or 3%, from $73.5 million in the three months ended March 31, 2025, to $71.1 million in the three months ended March 31, 2026. The decrease in revenue between periods was driven by decreases of $3.9 million in precision diagnostics and $0.2 million in anatomic pathology, partially offset by an increase of $1.7 million in BioPharma services from the laboratory services reportable segment and $0.1 million in BioPharma services from the therapeutic development segment.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4" w:name="page35"/>
    <w:bookmarkEnd w:id="34"/>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decrease in precision diagnostics revenue was driven by the decline in revenue from our largest customer as this customer begins to perform tests internally. As previously disclosed in our Form 10-K, we expect revenues for our largest customer to continue to decline in 2026 as this customer increases its performance of tests internally. The tests and testing services this customer has historically purchased were primarily precision diagnostic tests. To reduce this revenue risk, we will focus on developing existing customers and increasing the number of customers and thereby reducing the concentration and on successfully integrating our acquired businesses. Anatomic pathology services remained relatively consistent, with the decrease primarily due to a timing impact from claims that were delayed in release, partially offset by $2.6 million in revenue resulting from the Bako Acquisition during the first quarter. The volume of our anatomic pathology testing services can fluctuate during holiday periods and can decline due to extreme adverse weather conditions leading to temporary laboratory closures as experienced during 2026. The increase in BioPharma services revenue was primarily due to the timing of service projects, though this revenue is expected to remain variable due to the long sales cycle and fluctuations in project timing.</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these revenue streams are 1) the average price point we offer and the reimbursement rate from insurance payors; 2) the concentration of our payor base; 3) the competitive advantage we have due to our broad and flexible test menu, detection rate, and turnaround times; and 4) growth in size of an addressable market. Estimated collection amounts from insurance payors are subject to the complexities and ambiguities of billing, reimbursement regulations and claims processing, as well as considerations unique to Medicare and Medicaid programs. Because our proprietary technology platform allows for rapid scaling of a broad, flexible testing menu, we can offer our customers more scalable and affordable testing. Going forward, we will strive to maintain this competitive advantage and emphasize this in our marketing efforts to grow our testing revenue.</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customer base includes insurance, institutional, and individual payors. In some periods, our revenue is concentrated on a smaller number of customers. For the laboratory services segment, aggregating customers that are under common control, our largest customer comprised $10.4 million, or 15%, of our revenue in the three months ended March 31, 2026, and $17.6 million, or 24%, of our revenue in the three months ended March 31, 2025. As previously disclosed, we expect revenues for this customer to continue to decline in 2026 as this customer transitions the performance of tests internally.</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For our largest laboratory customer, and for our customers generally, tests are typically purchased on a test-by-test basis and not pursuant to any long-term purchasing arrangements. Any or all of our customers, including affiliated customers or customers under common control who purchase large quantities of tests, have decided, and could again decide at any time, to decrease, delay, or discontinue their orders from us, which could adversely affect our revenue. In addition to the decline in demand from our largest customer transitioning testing services internally discussed above, we believe fluctuations in customer demand for our tests may be attributable, in part, to the nature of our business. Testing demand can often fluctuate throughout the year with lower demand during holiday periods. Our traditional laboratory and testing services customers can also experience significant volatility in their testing demand from period to period in the ordinary course of their operations. Demand fluctuations, particularly for any large customers, often have a significant impact on our period-to-period performance regardless of their cause.</w:t>
      </w:r>
    </w:p>
    <w:p>
      <w:pPr>
        <w:spacing w:after="0" w:line="19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Revenue from the therapeutic development segment includes amounts recognized by ANP from technologies licensed to pharmaceutical and biotechnology companies, as well as CROs. In addition, ANP has a manufacturing and supply agreement with a customer for specific COVID-19 testing kits, under which, ANP is entitled to participate in gross-margin sharing on the sale of those kits. The timing of the gross-margin sharing revenue is dependent on the customer’s downstream sales of the kits. An insignificant amount of gross-margin sharing revenue was recognized for the three months ended March 31, 2026.</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Revenue from non-U.S. sources increased by $0.4 million, or 7%, from $5.6 million in the three months ended March 31, 2025, to $6.0 million in the three months ended March 31, 2026. The increase was primarily due to increases in total revenue to Australia of $0.7 million and Canada of $0.3 million, partially offset by a decrease in total revenue to the United Kingdom of $0.6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46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7"/>
                <w:szCs w:val="17"/>
                <w:color w:val="auto"/>
              </w:rPr>
            </w:pPr>
          </w:p>
        </w:tc>
      </w:tr>
      <w:tr>
        <w:trPr>
          <w:trHeight w:val="209"/>
        </w:trPr>
        <w:tc>
          <w:tcPr>
            <w:tcW w:w="4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4"/>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49,648</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45,117</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 as a % of revenue</w:t>
            </w:r>
          </w:p>
        </w:tc>
        <w:tc>
          <w:tcPr>
            <w:tcW w:w="9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7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consolidated cost of revenue increased by $4.5 million, or 10%, from $45.1 million in the three months ended March 31, 2025, to $49.6 million in the three months ended March 31, 2026. The increase was primarily due to increases of $1.8 million in personnel expenses due to increased headcount, $1.5 million in shipping and handling expenses, $0.7 million in reagent and supply costs, $0.5 million in depreciation expense, and $0.5 million in consulting costs, and partially offset by a decrease of $0.5 million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200"/>
        <w:spacing w:after="0" w:line="261" w:lineRule="auto"/>
        <w:rPr>
          <w:sz w:val="20"/>
          <w:szCs w:val="20"/>
          <w:color w:val="auto"/>
        </w:rPr>
      </w:pPr>
      <w:r>
        <w:rPr>
          <w:rFonts w:ascii="Times New Roman" w:cs="Times New Roman" w:eastAsia="Times New Roman" w:hAnsi="Times New Roman"/>
          <w:sz w:val="18"/>
          <w:szCs w:val="18"/>
          <w:color w:val="auto"/>
        </w:rPr>
        <w:t>software and software licensing. The increases in personnel expenses/headcount and other cost of revenue items for the three months ended March 31, 2026, include the impact of absorbing the Bako and StrataDx operations from the March 17, 2026 acquisition date. Because the acquired operations were included for only approximately two weeks of the quarter, we expect cost of revenue to increase in future quarters as the Bako Acquisition operations are more fully reflected in our consolidated results.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consolidated cost of revenue as a percentage of revenue increased from 61% in the three months ended March 31, 2025, to 70% in the three months ended March 31, 2026.</w:t>
      </w:r>
    </w:p>
    <w:p>
      <w:pPr>
        <w:spacing w:after="0" w:line="16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Our gross profit decreased by $6.9 million, or 24%, from $28.3 million in the three months ended March 31, 2025, to $21.5 million in the three months ended March 31, 2026. Our gross profit as a percentage of revenue, or gross margin, decreased from 39% in the three months ended March 31, 2025, to 30% in the three months ended March 31, 2026. This was driven by the decreased revenue, for the reasons described above, and increased headcount.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45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7"/>
                <w:szCs w:val="17"/>
                <w:color w:val="auto"/>
              </w:rPr>
            </w:pPr>
          </w:p>
        </w:tc>
      </w:tr>
      <w:tr>
        <w:trPr>
          <w:trHeight w:val="209"/>
        </w:trPr>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3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1,411</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3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8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3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1,781</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-170815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-170815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the laboratory services segment, the research and development expenses were mainly for advancing our technology and future testing and testing services. The expenses increased by $1.4 million, or 20%, from $7.1 million in 2025 to $8.5 million in 2026. The increase was primarily attributed to increases of $0.8 million in personnel expenses and $0.7 million in reagents and supplies expenses, partially offset by a decrease of $0.1 million in facility expenses.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2026, the research and development expenses for the laboratory services segment primarily consisted of $7.1 million in personnel expenses, including bonuses and equity-based compensation, $1.1 million in reagent and supply costs, $0.1 million in depreciation expense, and $0.1 million in facility expenses. In the three months ended March 31, 2025, expenses primarily consisted of $6.3 million in personnel expenses, including bonuses and equity-based compensation, $0.4 million in reagent and supply costs, $0.1 million in facility expenses, and $0.1 million in depreciation expense.</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the therapeutic development segment, the research and development expenses in the three months ended March 31, 2026, included $2.9 million in personnel costs, including equity-based compensation, $2.4 million in CRO costs, $0.2 million in facility expenses, and $0.1 million in depreciation expenses. In the three months ended March 31, 2025, these expenses comprised $2.6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million in CRO costs, $2.4 million in personnel costs, including equity-based compensation, and $0.2 million in depreciation expenses.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for the therapeutic development segment increased by $0.4 million, or 7%, from $5.3 million in the three months ended March 31, 2025, to $5.7 million in the three months ended March 31, 2026. The increase was primarily driven by increases of $0.5 million in personnel costs, including equity-based compensation expense, and $0.1 million in facility expenses, partially offset by a decrease of $0.2 million in CRO costs. The overall increase was attributed to the advancement and continuation of the clinical study of FID-007, along with FID-022. In the three months ended March 31, 2026, approximately $1.0 million was incurred for the clinical development of FID-022, which was consistent with the related costs of approximately $1.0 million in the three months ended March 31, 2025. Expenses for our therapeutic development segment will be influenced by our ability to progress our therapeutic candidates through development with the FDA, the timing of which can be uncertain and delayed due to a variety of factors beyond our control, including staff reductions at the FDA and the effects or residual effects of the recent U.S. “government shutdowns,” which may affect the FDA’s ability to provide any required approvals or review in a timely manner or in the timelines expected.</w:t>
      </w:r>
    </w:p>
    <w:p>
      <w:pPr>
        <w:spacing w:after="0" w:line="18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Looking ahead, we expect research and development expenses to continue increasing as clinical trials progress for FID-007, FID-022, and other pre-clinical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consolidated selling and marketing expenses increased by $3.8 million, or 44%, from $8.5 million in the three months ended March 31, 2025, to $12.2 million in the three months ended March 31, 2026. The increase in consolidated selling and marketing expenses was due to increases of $2.4 million in personnel expenses, $1.1 million in software licensing, $0.2 million in travel expenses, $0.1 million in trade show expenses, and $0.1 million in supply and material expenses, partially offset by a decrease of $0.1 million in consulting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general and administrative expenses increased by $2.4 million, or 9%, from $25.3 million in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to $27.7 million in the three months ended March 31, 2026. The increase in consolidated general and administrative expenses was due to increases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million in acquisition-related costs primarily related to the Bako Acquisition, $0.8 million in legal fees, $0.2 million in personnel costs,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$0.1million in insurance expenses, partially offset by decreases of $0.9 million in provision for credit losses, $0.3 million in depreciation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in accounting expenses.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Our consolidated amortization of intangible assets represents amortization expenses on the intangible assets that arose from the business combinations in 2026, 2025, 2022, and 2021, and a patent purchased in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Other income (expenses), is primarily comprised of interest income, which was $8.7 million in the three months ended March 31, 2026, and $8.0 million in the three months ended March 31, 2025. This interest income included interest earned on marketable securities and realized gain or loss on sale of marketable securities, as well as interest accrued for outstanding federal tax refunds. The change in interest income was primarily due to the interest earned from the outstanding federal tax refunds, partially offset by lower overall marketable security balances.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Provision for Income Taxes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(Benefit from) provision for income taxes was $(0.7) million and $0.2 million for the three months ended March 31, 2026, and 2025, respectively. The effective tax rate was 3% and (2)% for the three months ended March 31, 2026, and 2025, respectively. The change in the effective tax rate compared to prior periods was primarily driven by a one-time tax benefit resulting from the Bako Acquisition completed during the quarter, which allowed the Company to recognize a portion of the tax benefit from its net operating losses that had previously been reserved.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minority stockholders from entities not wholly owned.</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had $604.7 million and $705.5 million in cash, cash equivalents, restricted cash, and marketable securities as of March 31, 2026, and December 31, 2025, respectively. Our marketable securities primarily consist of U.S. government and U.S. agency debt securities, corporate bonds, municipal bonds, and Yankee debt securities as of March 31, 2026, and December 31, 2025.</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primary uses of cash are for strategic acquisitions (the Bako Acquisition was funded from existing cash); our stock repurchase program; capital expenditures, mainly in buildings, building improvements, and equipment; repurchases of our stock; the funding of our clinical trials; and the funding of our operations as we continue to invest in and seek to grow our business. Cash used to fund operating expenses is impacted by the timing of our expense payments, as reflected in the changes in our outstanding accounts payable and accrued expenses. Future repurchases under the stock repurchase program, if any, will depend on a variety of factors, including the market price of our common stock, general market and economic conditions, our financial condition and operating results, our capital requirements and alternative uses of capital, applicable legal requirements, and other factors our board of directors may deem relevant. Our stock repurchase program does not obligate us to repurchase any specific number of shares and may be suspended, modified, or discontinued at any time without prior notice.</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our existing cash, cash equivalents, restricted cash, and marketable securities to continue to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whether large customers continue ordering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We intend to improve our profitability by improving margins and expanding in new markets for our tests, but these efforts are subject to risks, including those described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the 2025 Annual Report, and may not be successful. Moreover, even if our liquidity expectations are correct, we may still seek to raise additional capital through securities offerings, credit facilities or other debt financings, asset sales or collaborations or licensing arrangements.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third-party our rights to important or valuable technologies or tests we may otherwise seek to develop ourselves. Moreover, we may incur substantial costs in pursuing future capital raises,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140"/>
        <w:spacing w:after="0" w:line="282" w:lineRule="auto"/>
        <w:rPr>
          <w:sz w:val="20"/>
          <w:szCs w:val="20"/>
          <w:color w:val="auto"/>
        </w:rPr>
      </w:pPr>
      <w:r>
        <w:rPr>
          <w:rFonts w:ascii="Times New Roman" w:cs="Times New Roman" w:eastAsia="Times New Roman" w:hAnsi="Times New Roman"/>
          <w:sz w:val="18"/>
          <w:szCs w:val="18"/>
          <w:color w:val="auto"/>
        </w:rPr>
        <w:t>or initiatives, which could lower the economic value to us of these tests, programs or initiatives. Any such outcome could significantly harm our business, performance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cash flows from continuing operations for each of the periods presented: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5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(44,833)</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(11,172)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our operations provided $7.1 million of cash, as compared to $4.4 million used in the three months ended March 31, 2025. The increase in cash provided from operating activities in the three months ended March 31, 2026, as compared with the corresponding period in 2025 was primarily due to the timing of cash receipts from customers and cash payments for operating expenses, including bonus expenses. We expect to incur more operating expenses and use more cash in operating activities in the coming quarters as a result of our planned and ongoing clinical trials for FID-007 and FID-022, and as we continue to invest resources to grow our laboratory services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cash provided by investing activities is impacted by capital expenditures for operation needs and timing of payments, timing of maturities of marketable securities, and discretionary business combinations and other investment.</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in the three months ended March 31, 2026, was $10.9 million, which primarily represents $81.7 million in the maturities of marketable securities, partially offset by $55.6 million related to business acquisitions, $10.0 million related to the purchase of marketable securities, and $5.2 million related to the purchase of fixed assets consisting mainly of building improvement, medical laboratory equipment, and computer hardware.</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in the three months ended March 31, 2025, was $27.7 million, which primarily represents $32.4 million in the maturities of marketable securities, partially offset by $4.7 million related to the purchase of fixed assets consisting mainly of building improvement, medical laboratory equipment, and computer hardware.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2026, was $44.8 million, which primarily related to $40.1 million used in the repurchase of common stock and $4.2 million used in common stock withholding for employee tax obligations.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2025, was $11.2 million, which primarily related to $8.7 million used in the repurchase of common stock and $1.9 million used in common stock withholding for employee tax obligations.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expect to use any credit facilities due to the strong cash position as of March 31,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we may repurchase shares from time to time in the open market or in privately negotiated transactions.</w:t>
      </w:r>
    </w:p>
    <w:p>
      <w:pPr>
        <w:spacing w:after="0" w:line="176"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repurchased 2.6 million shares of our common stock at an aggregate cost of $40.1 million under the stock repurchase program. During the three months ended March 31, 2025, we repurchased 0.5 million shares of our common stock at an aggregate cost of $7.9 million under the stock repurchase program. As of March 31, 2026, a total of approximately $99.6 million remained available for future repurchases of our common stock under our stock repurchase program. From April 1, 2026, through May 1, 2026, we repurchased 0.5 million shares of our common stock for an aggregate cost of $8.7</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380"/>
        <w:spacing w:after="0" w:line="282" w:lineRule="auto"/>
        <w:rPr>
          <w:sz w:val="20"/>
          <w:szCs w:val="20"/>
          <w:color w:val="auto"/>
        </w:rPr>
      </w:pPr>
      <w:r>
        <w:rPr>
          <w:rFonts w:ascii="Times New Roman" w:cs="Times New Roman" w:eastAsia="Times New Roman" w:hAnsi="Times New Roman"/>
          <w:sz w:val="18"/>
          <w:szCs w:val="18"/>
          <w:color w:val="auto"/>
        </w:rPr>
        <w:t>million at an average price of $15.84 per share under our stock repurchase program. As of May 1, 2026, a total of $91.0 million remained available for future repurchases of our common stock under the stock repurchase program.</w:t>
      </w:r>
    </w:p>
    <w:p>
      <w:pPr>
        <w:spacing w:after="0" w:line="26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19" w:lineRule="exact"/>
        <w:rPr>
          <w:sz w:val="20"/>
          <w:szCs w:val="20"/>
          <w:color w:val="auto"/>
        </w:rPr>
      </w:pPr>
    </w:p>
    <w:p>
      <w:pPr>
        <w:ind w:right="1100" w:firstLine="509"/>
        <w:spacing w:after="0" w:line="284"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estimates from the information provided in Part II,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the 2025 Annual Report.</w:t>
      </w:r>
    </w:p>
    <w:p>
      <w:pPr>
        <w:spacing w:after="0" w:line="26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report for information about recent accounting pronouncements.</w:t>
      </w:r>
    </w:p>
    <w:p>
      <w:pPr>
        <w:spacing w:after="0" w:line="26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are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in the 2025 Annual Report. There were no material changes during the three months ended March 31, 2026.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principal executive officer and principal financial officer, conducted an evaluation of the effectiveness of our disclosure controls and procedures as of March 31, 2026. Based on this evaluation, our principal executive officer and principal financial officer concluded that our disclosure controls and procedures were effective as of March 31, 2026.</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(as required by Rule 13a-15(b) under the Exchange Act) over financial reporting during the three months ended March 31, 2026, that have materially affected or are reasonably likely to materially affect our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From time to time, we may be involved in legal proceedings arising in the ordinary course of our business. As disclosed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we are engaged in certain legal investigations and audits,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set forth in Note 8 relating to these certain legal matters is incorporated herein by reference.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these matters is inherently uncertain, and there can be no assurance that favorable outcomes will be obtained.</w:t>
      </w:r>
    </w:p>
    <w:p>
      <w:pPr>
        <w:spacing w:after="0" w:line="22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set forth in Part I,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of the 2025 Annual Report.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the Company may repurchase shares from time to time in the open market or in privately negotiated transactions. Purchases are made in the open market at prevailing market prices and were executed pursuant to trading plans we adopted pursuant to Rule 10b5-1 under the Exchange Act.</w:t>
      </w:r>
    </w:p>
    <w:p>
      <w:pPr>
        <w:spacing w:after="0" w:line="180"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under the stock repurchase program and the average price paid per share for the three months ended March 31, 2026, are as follows:</w:t>
      </w:r>
    </w:p>
    <w:tbl>
      <w:tblPr>
        <w:tblLayout w:type="fixed"/>
        <w:tblInd w:w="0" w:type="dxa"/>
        <w:tblCellMar>
          <w:top w:w="0" w:type="dxa"/>
          <w:left w:w="0" w:type="dxa"/>
          <w:bottom w:w="0" w:type="dxa"/>
          <w:right w:w="0" w:type="dxa"/>
        </w:tblCellMar>
      </w:tblPr>
      <w:tr>
        <w:trPr>
          <w:trHeight w:val="131"/>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40" w:type="dxa"/>
            <w:vAlign w:val="bottom"/>
          </w:tcPr>
          <w:p>
            <w:pPr>
              <w:spacing w:after="0"/>
              <w:rPr>
                <w:sz w:val="11"/>
                <w:szCs w:val="11"/>
                <w:color w:val="auto"/>
              </w:rPr>
            </w:pPr>
          </w:p>
        </w:tc>
        <w:tc>
          <w:tcPr>
            <w:tcW w:w="146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(d) Maximum Dollar</w:t>
            </w: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Repurchased</w:t>
            </w:r>
          </w:p>
        </w:tc>
        <w:tc>
          <w:tcPr>
            <w:tcW w:w="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 Total Number of</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 Average Price</w:t>
            </w: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81"/>
        </w:trPr>
        <w:tc>
          <w:tcPr>
            <w:tcW w:w="4760" w:type="dxa"/>
            <w:vAlign w:val="bottom"/>
            <w:vMerge w:val="restart"/>
          </w:tcPr>
          <w:p>
            <w:pPr>
              <w:ind w:left="21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Shares Repurchased</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 (1)</w:t>
            </w: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2026 (3/1/2026-3/31/2026)</w:t>
            </w:r>
          </w:p>
        </w:tc>
        <w:tc>
          <w:tcPr>
            <w:tcW w:w="1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2,599,321</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2,599,321</w:t>
            </w:r>
          </w:p>
        </w:tc>
        <w:tc>
          <w:tcPr>
            <w:tcW w:w="42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99,596,254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2,599,321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2,599,321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-156845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-156845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-10795</wp:posOffset>
            </wp:positionV>
            <wp:extent cx="9086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-10795</wp:posOffset>
            </wp:positionV>
            <wp:extent cx="8915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Includes commissions for the shares repurchased under the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-127635</wp:posOffset>
            </wp:positionV>
            <wp:extent cx="9086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-127635</wp:posOffset>
            </wp:positionV>
            <wp:extent cx="8915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 total of approximately $99.6 million remained available for future repurchases of our common stock under the stock repurchase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each term is defined in Rule 16a-1(f) of the Exchange Act, adopted or terminated “Rule 10b5-1 trading arrangement” or “non-Rule 10b5-1 trading arrangement,” as each term is defined in Item 408 of Regulation S-K, except as follows:</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March 4, 2026, Hanlin Gao, our Chief Scientific Officer and Laboratory Director, terminated a Rule 10b5-1 sales plan, intended to satisfy the affirmative defense requirements of Rule 10b5-1(c) of the Exchange Act, originally adopted on November 25, 2025, for the sale of up to 100,000 shares of our common stock. The plan was originally scheduled to terminate on January 31, 2027.</w:t>
      </w:r>
    </w:p>
    <w:p>
      <w:pPr>
        <w:spacing w:after="0" w:line="176"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Additionally and on March 9 2026, The Ming Hsieh Trust, or the Hsieh Trust, terminated a prepaid variable forward agreement, dated as of August 21, 2023, with an unaffiliated bank, or the Prepaid Agreement, which constituted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 as defined in Item 408 of Regulation S-K. Ming Hsieh, our Chief Executive Officer, is the trustee of the Hsieh Trust and possesses the sole voting and dispositive power with respect to securities held by the Hsieh Trust. Pursuant to the Prepaid Agreement, the Hsieh Trust pledged up to 750,000 shares of our common stock, or the Pledged Shares. On March 9, 2026, the Hsieh Trust elected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ind w:right="20"/>
        <w:spacing w:after="0" w:line="282" w:lineRule="auto"/>
        <w:rPr>
          <w:sz w:val="20"/>
          <w:szCs w:val="20"/>
          <w:color w:val="auto"/>
        </w:rPr>
      </w:pPr>
      <w:r>
        <w:rPr>
          <w:rFonts w:ascii="Times New Roman" w:cs="Times New Roman" w:eastAsia="Times New Roman" w:hAnsi="Times New Roman"/>
          <w:sz w:val="18"/>
          <w:szCs w:val="18"/>
          <w:color w:val="auto"/>
        </w:rPr>
        <w:t>to terminate the arrangement. Upon the payment of $10.7 million by the Hsieh Trust to the unaffiliated bank, the Pledged Shares were no longer subject to the Prepaid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immediately preceding the signature page of this report and is incorporated herein by reference.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42" w:name="page43"/>
    <w:bookmarkEnd w:id="4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tbl>
      <w:tblPr>
        <w:tblLayout w:type="fixed"/>
        <w:tblInd w:w="0" w:type="dxa"/>
        <w:tblCellMar>
          <w:top w:w="0" w:type="dxa"/>
          <w:left w:w="0" w:type="dxa"/>
          <w:bottom w:w="0" w:type="dxa"/>
          <w:right w:w="0" w:type="dxa"/>
        </w:tblCellMar>
      </w:tblPr>
      <w:tr>
        <w:trPr>
          <w:trHeight w:val="155"/>
        </w:trPr>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gridSpan w:val="16"/>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 this</w:t>
            </w:r>
          </w:p>
        </w:tc>
        <w:tc>
          <w:tcPr>
            <w:tcW w:w="60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gridSpan w:val="16"/>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Form No.</w:t>
            </w:r>
          </w:p>
        </w:tc>
        <w:tc>
          <w:tcPr>
            <w:tcW w:w="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6060" w:type="dxa"/>
            <w:vAlign w:val="bottom"/>
            <w:gridSpan w:val="18"/>
          </w:tcPr>
          <w:p>
            <w:pPr>
              <w:spacing w:after="0"/>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Purchase and Sale Agreement, dated December 20, 2025, by and among Bako Pathology LP, Bako</w:t>
              </w:r>
            </w:hyperlink>
          </w:p>
        </w:tc>
        <w:tc>
          <w:tcPr>
            <w:tcW w:w="1260" w:type="dxa"/>
            <w:vAlign w:val="bottom"/>
          </w:tcPr>
          <w:p>
            <w:pPr>
              <w:spacing w:after="0"/>
              <w:rPr>
                <w:sz w:val="23"/>
                <w:szCs w:val="23"/>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12/22/2025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60" w:type="dxa"/>
            <w:vAlign w:val="bottom"/>
          </w:tcPr>
          <w:p>
            <w:pPr>
              <w:spacing w:after="0"/>
              <w:rPr>
                <w:sz w:val="11"/>
                <w:szCs w:val="11"/>
                <w:color w:val="auto"/>
              </w:rPr>
            </w:pPr>
          </w:p>
        </w:tc>
        <w:tc>
          <w:tcPr>
            <w:tcW w:w="6060" w:type="dxa"/>
            <w:vAlign w:val="bottom"/>
            <w:gridSpan w:val="18"/>
          </w:tcPr>
          <w:p>
            <w:pPr>
              <w:spacing w:after="0" w:line="129"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Pathology Holdings Corp., BPA Holding Corp., Dermatopathology Experts, LLC, Fulgent Therapeutics</w:t>
              </w:r>
            </w:hyperlink>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9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LLC, and Inform Diagnostics, Inc.</w:t>
              </w:r>
            </w:hyperlink>
          </w:p>
        </w:tc>
        <w:tc>
          <w:tcPr>
            <w:tcW w:w="20" w:type="dxa"/>
            <w:vAlign w:val="bottom"/>
            <w:tcBorders>
              <w:top w:val="single" w:sz="8" w:color="0000FF"/>
              <w:bottom w:val="single" w:sz="8" w:color="0000EE"/>
            </w:tcBorders>
          </w:tcPr>
          <w:p>
            <w:pPr>
              <w:spacing w:after="0"/>
              <w:rPr>
                <w:sz w:val="11"/>
                <w:szCs w:val="11"/>
                <w:color w:val="auto"/>
              </w:rPr>
            </w:pPr>
          </w:p>
        </w:tc>
        <w:tc>
          <w:tcPr>
            <w:tcW w:w="4000" w:type="dxa"/>
            <w:vAlign w:val="bottom"/>
            <w:tcBorders>
              <w:top w:val="single" w:sz="8" w:color="0000FF"/>
            </w:tcBorders>
            <w:gridSpan w:val="14"/>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2.2§</w:t>
            </w:r>
          </w:p>
        </w:tc>
        <w:tc>
          <w:tcPr>
            <w:tcW w:w="6060" w:type="dxa"/>
            <w:vAlign w:val="bottom"/>
            <w:gridSpan w:val="18"/>
          </w:tcPr>
          <w:p>
            <w:pPr>
              <w:spacing w:after="0"/>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Asset Purchase Agreement, dated December 20, 2025, by and among Bako Pathology LP, Bako</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12/22/2025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60" w:type="dxa"/>
            <w:vAlign w:val="bottom"/>
          </w:tcPr>
          <w:p>
            <w:pPr>
              <w:spacing w:after="0"/>
              <w:rPr>
                <w:sz w:val="11"/>
                <w:szCs w:val="11"/>
                <w:color w:val="auto"/>
              </w:rPr>
            </w:pPr>
          </w:p>
        </w:tc>
        <w:tc>
          <w:tcPr>
            <w:tcW w:w="6060" w:type="dxa"/>
            <w:vAlign w:val="bottom"/>
            <w:gridSpan w:val="18"/>
          </w:tcPr>
          <w:p>
            <w:pPr>
              <w:spacing w:after="0" w:line="129"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Pathology Holdings Corp., BPA Holding Corp., Bakotic Pathology Associates, L.L.C., Podceuticals</w:t>
              </w:r>
            </w:hyperlink>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578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L.L.C., GBRL Consulting, LLC, Fulgent Therapeutics, LLC, and Inform Diagnostics, Inc.</w:t>
              </w:r>
            </w:hyperlink>
          </w:p>
        </w:tc>
        <w:tc>
          <w:tcPr>
            <w:tcW w:w="10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6060" w:type="dxa"/>
            <w:vAlign w:val="bottom"/>
            <w:gridSpan w:val="18"/>
          </w:tcPr>
          <w:p>
            <w:pPr>
              <w:spacing w:after="0"/>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Certificate of Incorporation of the registrant, as amended.</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18"/>
          </w:tcPr>
          <w:p>
            <w:pPr>
              <w:spacing w:after="0"/>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Certificate of Amendment to Certificate of Incorporation of the registrant, dated August 2, 2016.</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7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18"/>
          </w:tcPr>
          <w:p>
            <w:pPr>
              <w:spacing w:after="0"/>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Certificate of Amendment to Certificate of Incorporation of the registrant, dated May 17, 2017.</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6060" w:type="dxa"/>
            <w:vAlign w:val="bottom"/>
            <w:gridSpan w:val="18"/>
          </w:tcPr>
          <w:p>
            <w:pPr>
              <w:spacing w:after="0"/>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Amended and Restated Bylaws of the registrant.</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8/4/2023</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Commercial Lease Agreement, dated July 21, 2015, by and between BH Georgia Properties, LLC and</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2900" w:type="dxa"/>
            <w:vAlign w:val="bottom"/>
            <w:tcBorders>
              <w:top w:val="single" w:sz="8" w:color="0000FF"/>
              <w:bottom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Bakotic Pathology Associates L.L.C., as amended.</w:t>
            </w:r>
          </w:p>
        </w:tc>
        <w:tc>
          <w:tcPr>
            <w:tcW w:w="20" w:type="dxa"/>
            <w:vAlign w:val="bottom"/>
            <w:tcBorders>
              <w:top w:val="single" w:sz="8" w:color="0000FF"/>
              <w:bottom w:val="single" w:sz="8" w:color="0000EE"/>
            </w:tcBorders>
          </w:tcPr>
          <w:p>
            <w:pPr>
              <w:spacing w:after="0"/>
              <w:rPr>
                <w:sz w:val="11"/>
                <w:szCs w:val="11"/>
                <w:color w:val="auto"/>
              </w:rPr>
            </w:pPr>
          </w:p>
        </w:tc>
        <w:tc>
          <w:tcPr>
            <w:tcW w:w="2960" w:type="dxa"/>
            <w:vAlign w:val="bottom"/>
            <w:tcBorders>
              <w:top w:val="single" w:sz="8" w:color="0000FF"/>
            </w:tcBorders>
            <w:gridSpan w:val="10"/>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Assignment and Assumption of Lease, dated March 16, 2026, by and between Bakotic Pathology</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278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Associates, L.L.C. and Inform Diagnostics, Inc.</w:t>
            </w:r>
          </w:p>
        </w:tc>
        <w:tc>
          <w:tcPr>
            <w:tcW w:w="2840" w:type="dxa"/>
            <w:vAlign w:val="bottom"/>
            <w:tcBorders>
              <w:top w:val="single" w:sz="8" w:color="0000FF"/>
            </w:tcBorders>
            <w:gridSpan w:val="9"/>
          </w:tcPr>
          <w:p>
            <w:pPr>
              <w:spacing w:after="0"/>
              <w:rPr>
                <w:sz w:val="11"/>
                <w:szCs w:val="11"/>
                <w:color w:val="auto"/>
              </w:rPr>
            </w:pPr>
          </w:p>
        </w:tc>
        <w:tc>
          <w:tcPr>
            <w:tcW w:w="4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5600" w:type="dxa"/>
            <w:vAlign w:val="bottom"/>
            <w:tcBorders>
              <w:top w:val="single" w:sz="8" w:color="0000FF"/>
              <w:bottom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440" w:type="dxa"/>
            <w:vAlign w:val="bottom"/>
            <w:tcBorders>
              <w:bottom w:val="single" w:sz="8" w:color="0000FF"/>
            </w:tcBorders>
            <w:gridSpan w:val="6"/>
          </w:tcPr>
          <w:p>
            <w:pPr>
              <w:jc w:val="right"/>
              <w:spacing w:after="0" w:line="129" w:lineRule="exact"/>
              <w:rPr>
                <w:sz w:val="20"/>
                <w:szCs w:val="20"/>
                <w:color w:val="auto"/>
              </w:rPr>
            </w:pPr>
            <w:r>
              <w:rPr>
                <w:rFonts w:ascii="Times New Roman" w:cs="Times New Roman" w:eastAsia="Times New Roman" w:hAnsi="Times New Roman"/>
                <w:sz w:val="14"/>
                <w:szCs w:val="14"/>
                <w:color w:val="0000FF"/>
                <w:w w:val="89"/>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5560" w:type="dxa"/>
            <w:vAlign w:val="bottom"/>
            <w:tcBorders>
              <w:top w:val="single" w:sz="8" w:color="0000FF"/>
              <w:bottom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480" w:type="dxa"/>
            <w:vAlign w:val="bottom"/>
            <w:tcBorders>
              <w:bottom w:val="single" w:sz="8" w:color="0000FF"/>
            </w:tcBorders>
            <w:gridSpan w:val="7"/>
          </w:tcPr>
          <w:p>
            <w:pPr>
              <w:jc w:val="right"/>
              <w:spacing w:after="0" w:line="129" w:lineRule="exact"/>
              <w:rPr>
                <w:sz w:val="20"/>
                <w:szCs w:val="20"/>
                <w:color w:val="auto"/>
              </w:rPr>
            </w:pPr>
            <w:r>
              <w:rPr>
                <w:rFonts w:ascii="Times New Roman" w:cs="Times New Roman" w:eastAsia="Times New Roman" w:hAnsi="Times New Roman"/>
                <w:sz w:val="14"/>
                <w:szCs w:val="14"/>
                <w:color w:val="0000FF"/>
                <w:w w:val="98"/>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4440" w:type="dxa"/>
            <w:vAlign w:val="bottom"/>
            <w:tcBorders>
              <w:top w:val="single" w:sz="8" w:color="0000FF"/>
              <w:bottom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1620" w:type="dxa"/>
            <w:vAlign w:val="bottom"/>
            <w:tcBorders>
              <w:top w:val="single" w:sz="8" w:color="0000FF"/>
            </w:tcBorders>
            <w:gridSpan w:val="11"/>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because XBRL tags are embedded within the Inline XBRL document.</w:t>
            </w: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60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300" w:hanging="292"/>
        <w:spacing w:after="0" w:line="226" w:lineRule="auto"/>
        <w:tabs>
          <w:tab w:leader="none" w:pos="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ind w:right="340" w:firstLine="8"/>
        <w:spacing w:after="0" w:line="221" w:lineRule="auto"/>
        <w:tabs>
          <w:tab w:leader="none" w:pos="28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have been omitted pursuant to Item 601(a)(5) of Regulation S-K. The Company hereby undertakes to furnish supplemental copies of any of the omitted exhibits or schedules upon request by the Securities and Exchange Commission; provided, that the Company may request confidential treatment pursuant to Rule 24b-2 of the Securities Exchange Act of 1934, as amended, for any exhibits or schedules so furnished.</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portions of this exhibit have been redacted in accordance with Item 601(a)(6) of Regulation S-K.</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8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3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ing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sieh</w:t>
            </w:r>
          </w:p>
        </w:tc>
      </w:tr>
      <w:tr>
        <w:trPr>
          <w:trHeight w:val="191"/>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Ming Hsieh</w:t>
            </w:r>
          </w:p>
        </w:tc>
      </w:tr>
      <w:tr>
        <w:trPr>
          <w:trHeight w:val="214"/>
        </w:trPr>
        <w:tc>
          <w:tcPr>
            <w:tcW w:w="4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3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im</w:t>
            </w:r>
          </w:p>
        </w:tc>
      </w:tr>
      <w:tr>
        <w:trPr>
          <w:trHeight w:val="191"/>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Paul Kim</w:t>
            </w:r>
          </w:p>
        </w:tc>
      </w:tr>
      <w:tr>
        <w:trPr>
          <w:trHeight w:val="234"/>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CERTAIN PERSONAL INFORMATION IN THIS EXHIBIT HAS BEEN REDACTED PURSUANT TO ITEM 601(A)(6) OF REGULATION S-K. REDACTED PORTIONS ARE INDICATED WITH THE NOTATION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COMMERCIAL LEASE AGREEMENT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LEASE is made this 21st day July, 2015 by and among BH Georgia Properties, LLC (“Landlord”) and Bakotic Pathology Associates, LLC (“Tenant”).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WITHNESSETH:</w:t>
      </w:r>
    </w:p>
    <w:p>
      <w:pPr>
        <w:spacing w:after="0" w:line="202" w:lineRule="exact"/>
        <w:rPr>
          <w:sz w:val="20"/>
          <w:szCs w:val="20"/>
          <w:color w:val="auto"/>
        </w:rPr>
      </w:pPr>
    </w:p>
    <w:p>
      <w:pPr>
        <w:jc w:val="both"/>
        <w:ind w:left="760" w:hanging="752"/>
        <w:spacing w:after="0" w:line="238" w:lineRule="auto"/>
        <w:tabs>
          <w:tab w:leader="none" w:pos="7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Landlord, for and in consideration of the rents, covenants, agreements, and stipulations hereinafter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mentioned, provided for and contained herein to be paid, kept and performed by Tenant, leases and rents unto Tenant, and Tenant hereby leases and takes upon the terms and conditions which hereinafter appear, the following described property (“Premises”), to wit: Approximately 25,816 Rentable Square Feet and being known as 6240 Shiloh Road, Alpharetta, GA 30005.</w:t>
      </w:r>
    </w:p>
    <w:p>
      <w:pPr>
        <w:spacing w:after="0" w:line="198" w:lineRule="exact"/>
        <w:rPr>
          <w:rFonts w:ascii="Times New Roman" w:cs="Times New Roman" w:eastAsia="Times New Roman" w:hAnsi="Times New Roman"/>
          <w:sz w:val="22"/>
          <w:szCs w:val="22"/>
          <w:color w:val="auto"/>
        </w:rPr>
      </w:pPr>
    </w:p>
    <w:p>
      <w:pPr>
        <w:ind w:left="760" w:hanging="752"/>
        <w:spacing w:after="0" w:line="223" w:lineRule="auto"/>
        <w:tabs>
          <w:tab w:leader="none" w:pos="7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Tenant shall have and hold the Premises for a term of One Hundred Twenty (120) months beginning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August, 2015.</w:t>
      </w:r>
    </w:p>
    <w:p>
      <w:pPr>
        <w:spacing w:after="0" w:line="173" w:lineRule="exact"/>
        <w:rPr>
          <w:rFonts w:ascii="Times New Roman" w:cs="Times New Roman" w:eastAsia="Times New Roman" w:hAnsi="Times New Roman"/>
          <w:sz w:val="22"/>
          <w:szCs w:val="22"/>
          <w:color w:val="auto"/>
        </w:rPr>
      </w:pPr>
    </w:p>
    <w:p>
      <w:pPr>
        <w:jc w:val="both"/>
        <w:ind w:left="760" w:hanging="752"/>
        <w:spacing w:after="0" w:line="241" w:lineRule="auto"/>
        <w:tabs>
          <w:tab w:leader="none" w:pos="7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RENTAL</w:t>
      </w:r>
      <w:r>
        <w:rPr>
          <w:rFonts w:ascii="Times New Roman" w:cs="Times New Roman" w:eastAsia="Times New Roman" w:hAnsi="Times New Roman"/>
          <w:sz w:val="22"/>
          <w:szCs w:val="22"/>
          <w:color w:val="auto"/>
        </w:rPr>
        <w:t>. Tenant agrees to pay to Landlord as stated in this Lease without demand and annual rental of (See Exhibit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payable in equal monthly installments of (See Exhibit “A”) in advance on the first day of each calendar month during the term hereof. Rental for any period during the term hereof which is for less than one month shall be a prorated portion of the monthly rental due.</w:t>
      </w:r>
    </w:p>
    <w:p>
      <w:pPr>
        <w:spacing w:after="0" w:line="171" w:lineRule="exact"/>
        <w:rPr>
          <w:rFonts w:ascii="Times New Roman" w:cs="Times New Roman" w:eastAsia="Times New Roman" w:hAnsi="Times New Roman"/>
          <w:sz w:val="22"/>
          <w:szCs w:val="22"/>
          <w:color w:val="auto"/>
        </w:rPr>
      </w:pPr>
    </w:p>
    <w:p>
      <w:pPr>
        <w:jc w:val="both"/>
        <w:ind w:left="760" w:hanging="752"/>
        <w:spacing w:after="0" w:line="241" w:lineRule="auto"/>
        <w:tabs>
          <w:tab w:leader="none" w:pos="7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LATE CHARGES</w:t>
      </w:r>
      <w:r>
        <w:rPr>
          <w:rFonts w:ascii="Times New Roman" w:cs="Times New Roman" w:eastAsia="Times New Roman" w:hAnsi="Times New Roman"/>
          <w:sz w:val="22"/>
          <w:szCs w:val="22"/>
          <w:color w:val="auto"/>
        </w:rPr>
        <w:t>. If Landlord fails to receive all or any portion of a rent payment within ten (10) days after it becomes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due, Tenant shall pay Landlord, as additional rental, a late charge equal to five (5%) of the overdue amount. The parties agree that such late charge represents a fair and reasonable estimate of the costs Landlord will incur by reason of such late payment.</w:t>
      </w:r>
    </w:p>
    <w:p>
      <w:pPr>
        <w:spacing w:after="0" w:line="171" w:lineRule="exact"/>
        <w:rPr>
          <w:rFonts w:ascii="Times New Roman" w:cs="Times New Roman" w:eastAsia="Times New Roman" w:hAnsi="Times New Roman"/>
          <w:sz w:val="22"/>
          <w:szCs w:val="22"/>
          <w:color w:val="auto"/>
        </w:rPr>
      </w:pPr>
    </w:p>
    <w:p>
      <w:pPr>
        <w:jc w:val="both"/>
        <w:ind w:left="760" w:hanging="752"/>
        <w:spacing w:after="0" w:line="234" w:lineRule="auto"/>
        <w:tabs>
          <w:tab w:leader="none" w:pos="7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SECURITY DEPOSIT</w:t>
      </w:r>
      <w:r>
        <w:rPr>
          <w:rFonts w:ascii="Times New Roman" w:cs="Times New Roman" w:eastAsia="Times New Roman" w:hAnsi="Times New Roman"/>
          <w:sz w:val="22"/>
          <w:szCs w:val="22"/>
          <w:color w:val="auto"/>
        </w:rPr>
        <w:t>. Tenant shall deposit with Landlord upon execution of this lease $0.00 as a security deposit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shall be held by Landlord, without liability to Tenant for any interest thereon, as security for the full and faithful performance by Tenant of each and every term, covenant and condition of this Lease of Tenant. If any of the rents or other charges or sums payable by Tenant to Landlord shall be overdue and unpaid or should Landlord make payments on behalf of Tenant, or should Tenant fail to perform any of the terms of this Lease, then Landlord may, at its option, appropriate and apply the security deposit, or so much thereof as may be necessary to compensate Landlord toward the payment of the rents, charges or other sums due from Tenant, or towards any loss, damage or expense sustained by Landlord resulting from such default on the part of Tenant; and in such event Tenant shall upon demand restore the security deposit to the original sum deposited. In the event Tenant furnishes Landlord with proof that all utility bills have been paid through the date of Lease termination, and performs all of Tenant’s other obligations under this Lease, the security deposit shall be returned in full to Tenant within thirty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5" w:name="page46"/>
    <w:bookmarkEnd w:id="45"/>
    <w:p>
      <w:pPr>
        <w:spacing w:after="0" w:line="77" w:lineRule="exact"/>
        <w:rPr>
          <w:sz w:val="20"/>
          <w:szCs w:val="20"/>
          <w:color w:val="auto"/>
        </w:rPr>
      </w:pPr>
    </w:p>
    <w:p>
      <w:pPr>
        <w:ind w:left="752" w:right="20"/>
        <w:spacing w:after="0" w:line="258" w:lineRule="auto"/>
        <w:rPr>
          <w:sz w:val="20"/>
          <w:szCs w:val="20"/>
          <w:color w:val="auto"/>
        </w:rPr>
      </w:pPr>
      <w:r>
        <w:rPr>
          <w:rFonts w:ascii="Times New Roman" w:cs="Times New Roman" w:eastAsia="Times New Roman" w:hAnsi="Times New Roman"/>
          <w:sz w:val="22"/>
          <w:szCs w:val="22"/>
          <w:color w:val="auto"/>
        </w:rPr>
        <w:t>days after the date of the expiration or sooner termination of the term of this lease and the surrender of the Premises by Tenant in compliance with the provisions of this Lease.</w:t>
      </w:r>
    </w:p>
    <w:p>
      <w:pPr>
        <w:spacing w:after="0" w:line="154" w:lineRule="exact"/>
        <w:rPr>
          <w:sz w:val="20"/>
          <w:szCs w:val="20"/>
          <w:color w:val="auto"/>
        </w:rPr>
      </w:pPr>
    </w:p>
    <w:p>
      <w:pPr>
        <w:ind w:left="752" w:right="20" w:hanging="752"/>
        <w:spacing w:after="0" w:line="286" w:lineRule="auto"/>
        <w:tabs>
          <w:tab w:leader="none" w:pos="75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UTILITY BILLS</w:t>
      </w:r>
      <w:r>
        <w:rPr>
          <w:rFonts w:ascii="Times New Roman" w:cs="Times New Roman" w:eastAsia="Times New Roman" w:hAnsi="Times New Roman"/>
          <w:sz w:val="21"/>
          <w:szCs w:val="21"/>
          <w:color w:val="auto"/>
        </w:rPr>
        <w:t>. Tenant shall pay all utility bills, including but not limited to water, sewer, gas, electricity, fuel, light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heat bills for the Premises and the Tenant shall pay all charges for garbage collection or other sanitary charges.</w:t>
      </w:r>
    </w:p>
    <w:p>
      <w:pPr>
        <w:spacing w:after="0" w:line="126" w:lineRule="exact"/>
        <w:rPr>
          <w:rFonts w:ascii="Times New Roman" w:cs="Times New Roman" w:eastAsia="Times New Roman" w:hAnsi="Times New Roman"/>
          <w:sz w:val="21"/>
          <w:szCs w:val="21"/>
          <w:color w:val="auto"/>
        </w:rPr>
      </w:pPr>
    </w:p>
    <w:p>
      <w:pPr>
        <w:jc w:val="both"/>
        <w:ind w:left="752" w:hanging="752"/>
        <w:spacing w:after="0" w:line="246" w:lineRule="auto"/>
        <w:tabs>
          <w:tab w:leader="none" w:pos="75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USE OF PREMISES</w:t>
      </w:r>
      <w:r>
        <w:rPr>
          <w:rFonts w:ascii="Times New Roman" w:cs="Times New Roman" w:eastAsia="Times New Roman" w:hAnsi="Times New Roman"/>
          <w:sz w:val="22"/>
          <w:szCs w:val="22"/>
          <w:color w:val="auto"/>
        </w:rPr>
        <w:t>. The Premises shall be used for Medical Laboratory and office purposes only and no other.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shall not be used for any illegal purposes, nor in any manner to vitiate the insurance or increase the rate of insurance on the Premises.</w:t>
      </w:r>
    </w:p>
    <w:p>
      <w:pPr>
        <w:spacing w:after="0" w:line="167" w:lineRule="exact"/>
        <w:rPr>
          <w:rFonts w:ascii="Times New Roman" w:cs="Times New Roman" w:eastAsia="Times New Roman" w:hAnsi="Times New Roman"/>
          <w:sz w:val="22"/>
          <w:szCs w:val="22"/>
          <w:color w:val="auto"/>
        </w:rPr>
      </w:pPr>
    </w:p>
    <w:p>
      <w:pPr>
        <w:ind w:left="752" w:hanging="752"/>
        <w:spacing w:after="0" w:line="262" w:lineRule="auto"/>
        <w:tabs>
          <w:tab w:leader="none" w:pos="75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ABANDONMENT OF PREMISES</w:t>
      </w:r>
      <w:r>
        <w:rPr>
          <w:rFonts w:ascii="Times New Roman" w:cs="Times New Roman" w:eastAsia="Times New Roman" w:hAnsi="Times New Roman"/>
          <w:sz w:val="22"/>
          <w:szCs w:val="22"/>
          <w:color w:val="auto"/>
        </w:rPr>
        <w:t>. Tenant agrees not to abandon or vacate the Premises during the term of this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agrees to use the Premises for the purposes herein leased until the expiration hereof.</w:t>
      </w:r>
    </w:p>
    <w:p>
      <w:pPr>
        <w:spacing w:after="0" w:line="149" w:lineRule="exact"/>
        <w:rPr>
          <w:rFonts w:ascii="Times New Roman" w:cs="Times New Roman" w:eastAsia="Times New Roman" w:hAnsi="Times New Roman"/>
          <w:sz w:val="22"/>
          <w:szCs w:val="22"/>
          <w:color w:val="auto"/>
        </w:rPr>
      </w:pPr>
    </w:p>
    <w:p>
      <w:pPr>
        <w:jc w:val="both"/>
        <w:ind w:left="752" w:hanging="752"/>
        <w:spacing w:after="0" w:line="244" w:lineRule="auto"/>
        <w:tabs>
          <w:tab w:leader="none" w:pos="75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AND INSURANCE ESCALATION</w:t>
      </w:r>
      <w:r>
        <w:rPr>
          <w:rFonts w:ascii="Times New Roman" w:cs="Times New Roman" w:eastAsia="Times New Roman" w:hAnsi="Times New Roman"/>
          <w:sz w:val="21"/>
          <w:szCs w:val="21"/>
          <w:color w:val="auto"/>
        </w:rPr>
        <w:t>. Tenant shall pay upon demand by Landlord as additional rental during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of this Lease, and any extension or renewal thereof, the amount by which all taxes (including but not limited to, ad valorem taxes, special assessments and any other governmental charges) on the Premises for each tax year exceed all taxes on the Premises for the tax year 2015. In the event the Premises are less than the entire property assessed for such taxes for any such tax year, then the tax for any such year applicable to the Premises shall be determined by proration on the basis that the rentable floor area of the Premises bears to the rentable floor area of the entire property assessed. If the final year of the Lease term fails to coincide with the tax year, then any excess for the tax year during which the term ends shall be reduced by the pro rata part of such tax year beyond the Lease term. If such taxes for the year in which the Lease terminates are not ascertainable before payment of the last month’s rental, then the amount of such taxes assessed against the Property for the previous tax year shall be used as a basis for determining the pro rata share, if any, to be paid by Tenant for that portion of the last Lease year. Tenant shall further pay, upon demand, its pro rata share of the excess cost of fire and extended coverage insurance including any and all public liability insurance on the building over the cost for the first year of the Lease term for each subsequent year during the term of this Lease. Tenant’s pro rata portion of increased taxes or share of excess cost of fire and extended coverage and liability insurance, as provided herein, shall be payable within fifteen (15) days after receipt of notice from Landlord as to the amount due.</w:t>
      </w:r>
    </w:p>
    <w:p>
      <w:pPr>
        <w:spacing w:after="0" w:line="178" w:lineRule="exact"/>
        <w:rPr>
          <w:rFonts w:ascii="Times New Roman" w:cs="Times New Roman" w:eastAsia="Times New Roman" w:hAnsi="Times New Roman"/>
          <w:sz w:val="21"/>
          <w:szCs w:val="21"/>
          <w:color w:val="auto"/>
        </w:rPr>
      </w:pPr>
    </w:p>
    <w:p>
      <w:pPr>
        <w:jc w:val="both"/>
        <w:ind w:left="752" w:hanging="752"/>
        <w:spacing w:after="0" w:line="235" w:lineRule="auto"/>
        <w:tabs>
          <w:tab w:leader="none" w:pos="75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INDEMINTY AND WAIVER OF CLAIMS</w:t>
      </w:r>
      <w:r>
        <w:rPr>
          <w:rFonts w:ascii="Times New Roman" w:cs="Times New Roman" w:eastAsia="Times New Roman" w:hAnsi="Times New Roman"/>
          <w:sz w:val="22"/>
          <w:szCs w:val="22"/>
          <w:color w:val="auto"/>
        </w:rPr>
        <w:t>. Except of the extent caused by the negligence or willful misconduct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or any of its trustees, members, principals, beneficiaries, partners, officers, directors, employees, lenders and agents (the “Landlord Related Parties”), Tenant hereby waives all claims against and releases Landlord and Landlord Related Parties from all claims for any injury to or death of persons, damage to property or business loss in any manner related to (a) Force Majeure. For the purpose of this Lease, the term “Force Majeure” shall mean any circumstances beyond the reasonable control of the Landlord and shall include, but not be limited to, acts of God, fire, flood, severe or adverse weather events, an outbreak of hostilities, war, riot, civil disturbance, acts of terrorism, strike or lockouts or any act of any governmental authority. Except to the extent caused by the gross negligence or willful misconduct of Landlord or any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1009015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46" w:name="page47"/>
    <w:bookmarkEnd w:id="46"/>
    <w:p>
      <w:pPr>
        <w:spacing w:after="0" w:line="77" w:lineRule="exact"/>
        <w:rPr>
          <w:sz w:val="20"/>
          <w:szCs w:val="20"/>
          <w:color w:val="auto"/>
        </w:rPr>
      </w:pPr>
    </w:p>
    <w:p>
      <w:pPr>
        <w:jc w:val="both"/>
        <w:ind w:left="752"/>
        <w:spacing w:after="0" w:line="245" w:lineRule="auto"/>
        <w:rPr>
          <w:sz w:val="20"/>
          <w:szCs w:val="20"/>
          <w:color w:val="auto"/>
        </w:rPr>
      </w:pPr>
      <w:r>
        <w:rPr>
          <w:rFonts w:ascii="Times New Roman" w:cs="Times New Roman" w:eastAsia="Times New Roman" w:hAnsi="Times New Roman"/>
          <w:sz w:val="21"/>
          <w:szCs w:val="21"/>
          <w:color w:val="auto"/>
        </w:rPr>
        <w:t>Related Parties, Tenant shall indemnify, defend and hold Landlord and Landlord Related Parties harmless against and from all liabilities, obligations, damages, penalties, claims, actions, costs, charges and expenses, including, without limitation, reasonable attorneys’ fees and other professional fees (if and to the extent permitted by Law) (collectively referred to as “Losses”), which may be imposed upon, incurred by or asserted against Landlord or any of the Landlord Related Parties by any third party and arising out of or in connection with any damage or injury occurring in the Premises or any acts or omissions (including violations of Law) of Tenant, the Tenant Related Parties, or any of Tenant’s transferees, contractors or licensees. Except to the extent caused by the gross negligence or willful misconduct of Tenant or any Tenant Related Parties, Landlord shall indemnify, defend and hold Tenant, its trustees, members, principals, beneficiaries, partners, officers, directors, employees and agents (“Tenant Related Parties”) harmless against and from all Losses which may be imposed upon, incurred by or asserted against Tenant or any of the Tenant Related Parties by any third party and arising out of or in connection with any damage or injury occurring in the common areas of the Building or acts or omissions (including violation of Law) of Landlord or the Landlord Related Parties.</w:t>
      </w:r>
    </w:p>
    <w:p>
      <w:pPr>
        <w:spacing w:after="0" w:line="170" w:lineRule="exact"/>
        <w:rPr>
          <w:sz w:val="20"/>
          <w:szCs w:val="20"/>
          <w:color w:val="auto"/>
        </w:rPr>
      </w:pPr>
    </w:p>
    <w:p>
      <w:pPr>
        <w:jc w:val="both"/>
        <w:ind w:left="752" w:hanging="752"/>
        <w:spacing w:after="0" w:line="246" w:lineRule="auto"/>
        <w:tabs>
          <w:tab w:leader="none" w:pos="75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INSURANCE. </w:t>
      </w:r>
      <w:r>
        <w:rPr>
          <w:rFonts w:ascii="Times New Roman" w:cs="Times New Roman" w:eastAsia="Times New Roman" w:hAnsi="Times New Roman"/>
          <w:sz w:val="21"/>
          <w:szCs w:val="21"/>
          <w:color w:val="auto"/>
        </w:rPr>
        <w:t>Tenant shall maintain the following insurance (“Tenant’s Insurance”): (a) Commercial general Liability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Insurance applicable to the Premises and its appurtenances providing, on an occurrence basis, a minimum combined single limit of $2,000,000.00 and (b) Employers Liability Coverage of at least $1,000,000.00 per occurrence. Any company writing Tenant’s Insurance shall have an A.M. Best rating of not less than B+VIII. All Commercial General Liability Insurance policies shall name as additional insureds Landlord (or its successors and assignees), the managing agent for the Building (or any successor), any lender of Landlord and their respective members, principals, beneficiaries, partners, officers, directors, employees, and agents, and other designees of Landlord and its successors as the interest of such designees shall appear. So long as the same is available at commercially reasonable rates, Landlord shall maintain so called All Risk or Causes of Loss — Special Form property insurance on the Building at not less than one hundred percent (100%) replacement cost value as reasonably estimated by Landlord.</w:t>
      </w:r>
    </w:p>
    <w:p>
      <w:pPr>
        <w:spacing w:after="0" w:line="170" w:lineRule="exact"/>
        <w:rPr>
          <w:rFonts w:ascii="Times New Roman" w:cs="Times New Roman" w:eastAsia="Times New Roman" w:hAnsi="Times New Roman"/>
          <w:sz w:val="21"/>
          <w:szCs w:val="21"/>
          <w:color w:val="auto"/>
        </w:rPr>
      </w:pPr>
    </w:p>
    <w:p>
      <w:pPr>
        <w:jc w:val="both"/>
        <w:ind w:left="752" w:hanging="752"/>
        <w:spacing w:after="0" w:line="237" w:lineRule="auto"/>
        <w:tabs>
          <w:tab w:leader="none" w:pos="75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SUBROGATION</w:t>
      </w:r>
      <w:r>
        <w:rPr>
          <w:rFonts w:ascii="Times New Roman" w:cs="Times New Roman" w:eastAsia="Times New Roman" w:hAnsi="Times New Roman"/>
          <w:sz w:val="22"/>
          <w:szCs w:val="22"/>
          <w:color w:val="auto"/>
        </w:rPr>
        <w:t>. Landlord and Tenant hereby waive and shall cause their respective insurance carriers to waive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rights of recovery, claims, actions or causes of action against the other for any loss or damage with respect to Tenant’s Property, Leasehold Improvements, the Building, the Premises, or any contents thereof, including rights, claims, actions and causes of action based on negligence, which loss or damage is (or would have been, had the insurance required by this Lease been carried) covered by insurance. The party requesting a waiver shall be responsible for any expenses associated with obtaining same.</w:t>
      </w:r>
    </w:p>
    <w:p>
      <w:pPr>
        <w:spacing w:after="0" w:line="175" w:lineRule="exact"/>
        <w:rPr>
          <w:rFonts w:ascii="Times New Roman" w:cs="Times New Roman" w:eastAsia="Times New Roman" w:hAnsi="Times New Roman"/>
          <w:sz w:val="22"/>
          <w:szCs w:val="22"/>
          <w:color w:val="auto"/>
        </w:rPr>
      </w:pPr>
    </w:p>
    <w:p>
      <w:pPr>
        <w:jc w:val="both"/>
        <w:ind w:left="752" w:hanging="752"/>
        <w:spacing w:after="0" w:line="237" w:lineRule="auto"/>
        <w:tabs>
          <w:tab w:leader="none" w:pos="75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REPAIRS BY LANDLORD. </w:t>
      </w:r>
      <w:r>
        <w:rPr>
          <w:rFonts w:ascii="Times New Roman" w:cs="Times New Roman" w:eastAsia="Times New Roman" w:hAnsi="Times New Roman"/>
          <w:sz w:val="22"/>
          <w:szCs w:val="22"/>
          <w:color w:val="auto"/>
        </w:rPr>
        <w:t>Landlord agrees to keep in good repair the generator, roof, foundations and exterior walls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Premises (excluding all glass and excluding all exterior doors) and underground utility and sewer pipes outside the exterior walls of the building, except repairs rendered necessary by the negligence or intentional wrongful acts of Tenant, its brokers, employees or invitees. Landlord shall make all HVAC (air conditioning) repairs that exceed the maintenance agreement procured by Tenant. If the Premises are part of a larger building or group of buildings, then to the extent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1010285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47" w:name="page48"/>
    <w:bookmarkEnd w:id="47"/>
    <w:p>
      <w:pPr>
        <w:spacing w:after="0" w:line="77"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grounds are common areas, Landlord shall maintain the grounds surrounding the building, including paving, the mowing of grass, care of shrubs and general landscaping. Tenant shall promptly report in writing to Landlord any defective condition known to it which Landlord is required to repair.</w:t>
      </w:r>
    </w:p>
    <w:p>
      <w:pPr>
        <w:spacing w:after="0" w:line="169" w:lineRule="exact"/>
        <w:rPr>
          <w:sz w:val="20"/>
          <w:szCs w:val="20"/>
          <w:color w:val="auto"/>
        </w:rPr>
      </w:pPr>
    </w:p>
    <w:p>
      <w:pPr>
        <w:jc w:val="both"/>
        <w:ind w:left="752" w:hanging="752"/>
        <w:spacing w:after="0" w:line="236" w:lineRule="auto"/>
        <w:tabs>
          <w:tab w:leader="none" w:pos="75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REPAIRS BY TENANT</w:t>
      </w:r>
      <w:r>
        <w:rPr>
          <w:rFonts w:ascii="Times New Roman" w:cs="Times New Roman" w:eastAsia="Times New Roman" w:hAnsi="Times New Roman"/>
          <w:sz w:val="22"/>
          <w:szCs w:val="22"/>
          <w:color w:val="auto"/>
        </w:rPr>
        <w:t>. Tenant accepts the Premises in their present condition and as suited for the uses intended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Tenant shall, throughout the initial term of this Lease, and any extension or renewal thereof, at its expense, maintain in good order and repair the Premises including any improvements located thereon, except those repairs expressly required to be made by Landlord hereunder. Tenant is responsible for procuring a maintenance agreement for the HVAC system (air conditioner) which includes regular filter changes. Tenant agrees to return the Premises to Landlord at the expiration, or prior to termination of this Lease, in as good condition and repair as when first received, natural wear and tear, damage by storms, fire, lightning, earthquake or other casualty alone excepted.</w:t>
      </w:r>
    </w:p>
    <w:p>
      <w:pPr>
        <w:spacing w:after="0" w:line="175" w:lineRule="exact"/>
        <w:rPr>
          <w:rFonts w:ascii="Times New Roman" w:cs="Times New Roman" w:eastAsia="Times New Roman" w:hAnsi="Times New Roman"/>
          <w:sz w:val="22"/>
          <w:szCs w:val="22"/>
          <w:color w:val="auto"/>
        </w:rPr>
      </w:pPr>
    </w:p>
    <w:p>
      <w:pPr>
        <w:jc w:val="both"/>
        <w:ind w:left="752" w:hanging="752"/>
        <w:spacing w:after="0" w:line="245" w:lineRule="auto"/>
        <w:tabs>
          <w:tab w:leader="none" w:pos="75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ALTERATIONS</w:t>
      </w:r>
      <w:r>
        <w:rPr>
          <w:rFonts w:ascii="Times New Roman" w:cs="Times New Roman" w:eastAsia="Times New Roman" w:hAnsi="Times New Roman"/>
          <w:sz w:val="21"/>
          <w:szCs w:val="21"/>
          <w:color w:val="auto"/>
        </w:rPr>
        <w:t>. Tenant shall not make any alterations, additions or improvements to the Premises without Landlord’s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prior written consent, which shall not be unreasonably withheld. Tenant shall promptly remove any alterations, additions or improvements constructed in violation of this Paragraph 15 upon Landlord’s written request. All approved alterations, additions, and improvements will be accomplished in a good and workmanlike manner, in conformity with all applicable laws and regulations, and by a contractor approved by Landlord, free of any liens or encumbrances. Landlord may require Tenant to remove any alterations, additions or improvements (whether or not made with Landlord’s consent) at the termination of this Lease and to restore the Premises to its prior condition, all at Tenant’s expense. All alterations, additions and improvements which Landlord has not required Tenant to remove shall become Landlord’s property and shall be surrendered to Landlord upon the termination of this Lease, except that Tenant may remove any of Tenant’s machinery or equipment which can be removed without material damage to the Premises. Tenant shall repair, at Tenant’s expense, any damage to the Premises caused by the removal of any such machinery or equipment.</w:t>
      </w:r>
    </w:p>
    <w:p>
      <w:pPr>
        <w:spacing w:after="0" w:line="177" w:lineRule="exact"/>
        <w:rPr>
          <w:rFonts w:ascii="Times New Roman" w:cs="Times New Roman" w:eastAsia="Times New Roman" w:hAnsi="Times New Roman"/>
          <w:sz w:val="21"/>
          <w:szCs w:val="21"/>
          <w:color w:val="auto"/>
        </w:rPr>
      </w:pPr>
    </w:p>
    <w:p>
      <w:pPr>
        <w:jc w:val="both"/>
        <w:ind w:left="752" w:hanging="752"/>
        <w:spacing w:after="0" w:line="246" w:lineRule="auto"/>
        <w:tabs>
          <w:tab w:leader="none" w:pos="75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REMOVAL OF FIXTURES</w:t>
      </w:r>
      <w:r>
        <w:rPr>
          <w:rFonts w:ascii="Times New Roman" w:cs="Times New Roman" w:eastAsia="Times New Roman" w:hAnsi="Times New Roman"/>
          <w:sz w:val="22"/>
          <w:szCs w:val="22"/>
          <w:color w:val="auto"/>
        </w:rPr>
        <w:t>. Tenant may (if not in default hereunder) prior to the expiration of this Lease,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extension or renewal thereof, remove all fixtures and equipment which it has placed in the Premises, provided Tenant repairs all damage to the Premises caused by such removal.</w:t>
      </w:r>
    </w:p>
    <w:p>
      <w:pPr>
        <w:spacing w:after="0" w:line="167" w:lineRule="exact"/>
        <w:rPr>
          <w:rFonts w:ascii="Times New Roman" w:cs="Times New Roman" w:eastAsia="Times New Roman" w:hAnsi="Times New Roman"/>
          <w:sz w:val="22"/>
          <w:szCs w:val="22"/>
          <w:color w:val="auto"/>
        </w:rPr>
      </w:pPr>
    </w:p>
    <w:p>
      <w:pPr>
        <w:jc w:val="both"/>
        <w:ind w:left="752" w:hanging="752"/>
        <w:spacing w:after="0" w:line="235" w:lineRule="auto"/>
        <w:tabs>
          <w:tab w:leader="none" w:pos="75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DESTRUCTION OF OR DAMAGE TO PREMISES</w:t>
      </w:r>
      <w:r>
        <w:rPr>
          <w:rFonts w:ascii="Times New Roman" w:cs="Times New Roman" w:eastAsia="Times New Roman" w:hAnsi="Times New Roman"/>
          <w:sz w:val="22"/>
          <w:szCs w:val="22"/>
          <w:color w:val="auto"/>
        </w:rPr>
        <w:t>. If the Premises are totally destroyed by storm, fire lightning,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earthquake or other casualty, this Lease shall terminate as of the date of such destruction and rental shall be accounted for as between Landlord and Tenant as of that date. If the Premises are damaged but not wholly destroyed by any such casualties, rental shall abate in such proportion as use of the Premises has been destroyed and Landlord shall restore the Premises to substantially the same condition as before damage as speedily as is practicable, whereupon full rental shall recommence. Additionally, if the Premises cannot be reasonably expected to be restored to substantially the same condition as before the damage within sixty (60) days after damage, then Tenant may terminate this Lease with thirty (30) days advance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1012190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48" w:name="page49"/>
    <w:bookmarkEnd w:id="48"/>
    <w:p>
      <w:pPr>
        <w:spacing w:after="0" w:line="73" w:lineRule="exact"/>
        <w:rPr>
          <w:sz w:val="20"/>
          <w:szCs w:val="20"/>
          <w:color w:val="auto"/>
        </w:rPr>
      </w:pPr>
    </w:p>
    <w:p>
      <w:pPr>
        <w:jc w:val="both"/>
        <w:ind w:left="752" w:hanging="752"/>
        <w:spacing w:after="0" w:line="234" w:lineRule="auto"/>
        <w:tabs>
          <w:tab w:leader="none" w:pos="75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GOVERNMENTAL ORDERS</w:t>
      </w:r>
      <w:r>
        <w:rPr>
          <w:rFonts w:ascii="Times New Roman" w:cs="Times New Roman" w:eastAsia="Times New Roman" w:hAnsi="Times New Roman"/>
          <w:sz w:val="22"/>
          <w:szCs w:val="22"/>
          <w:color w:val="auto"/>
        </w:rPr>
        <w:t>. Tenant agrees, at its own expense, to comply promptly with all requirements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legally constituted public authority made necessary by reason of Tenant’s occupancy of the Premises. Landlord agrees to comply promptly with any such requirements if not made necessary by reason of Tenant’s occupancy. It is mutually agreed, however, between landlord and Tenant, that if in order to comply with such requirements, the cost to Landlord or Tenant, as the case may be, shall exceed a sum equal to one year’s rent, then Landlord or Tenant who is obligated to comply with such requirements may terminate this Lease by giving written notice of termination to the other party by certified mail, which termination shall become effective sixty (60) days after receipt of such notice and which notice shall eliminate the necessity of compliance with such requirements by giving such notice unless the party giving such notice of termination shall, before termination becomes effective, pay to the party giving notice all cost of compliance in excess of one year’s rent or secure payment of said sum in manner satisfactory to the party giving notice.</w:t>
      </w:r>
    </w:p>
    <w:p>
      <w:pPr>
        <w:spacing w:after="0" w:line="179" w:lineRule="exact"/>
        <w:rPr>
          <w:rFonts w:ascii="Times New Roman" w:cs="Times New Roman" w:eastAsia="Times New Roman" w:hAnsi="Times New Roman"/>
          <w:sz w:val="22"/>
          <w:szCs w:val="22"/>
          <w:color w:val="auto"/>
        </w:rPr>
      </w:pPr>
    </w:p>
    <w:p>
      <w:pPr>
        <w:jc w:val="both"/>
        <w:ind w:left="752" w:hanging="752"/>
        <w:spacing w:after="0" w:line="235" w:lineRule="auto"/>
        <w:tabs>
          <w:tab w:leader="none" w:pos="75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CONDEMNATION</w:t>
      </w:r>
      <w:r>
        <w:rPr>
          <w:rFonts w:ascii="Times New Roman" w:cs="Times New Roman" w:eastAsia="Times New Roman" w:hAnsi="Times New Roman"/>
          <w:sz w:val="22"/>
          <w:szCs w:val="22"/>
          <w:color w:val="auto"/>
        </w:rPr>
        <w:t>. If the whole of the Premises, or such portion thereof as will make the Premises unusable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herein leased, are condemned by any legally constituted authority for any public use or purposes, then in either of said events the term hereby granted shall cease from the date when possession thereof is taken by public authorities, and rental shall be accounted for as between Landlord and Tenant as of said date. Such termination, however, shall be without prejudice to the rights of either Landlord or Tenant to receive compensation and damage caused by condemnation from the condemner. It is further understood and agreed that neither the Tenant nor Landlord shall have any rights in any award made to the other by any condemnation authority notwithstanding the termination of the Lease as herein provided. Broker may become a party to the condemnation proceeding for the purpose of enforcing his rights under this paragraph.</w:t>
      </w:r>
    </w:p>
    <w:p>
      <w:pPr>
        <w:spacing w:after="0" w:line="173" w:lineRule="exact"/>
        <w:rPr>
          <w:rFonts w:ascii="Times New Roman" w:cs="Times New Roman" w:eastAsia="Times New Roman" w:hAnsi="Times New Roman"/>
          <w:sz w:val="22"/>
          <w:szCs w:val="22"/>
          <w:color w:val="auto"/>
        </w:rPr>
      </w:pPr>
    </w:p>
    <w:p>
      <w:pPr>
        <w:jc w:val="both"/>
        <w:ind w:left="752" w:hanging="752"/>
        <w:spacing w:after="0" w:line="236" w:lineRule="auto"/>
        <w:tabs>
          <w:tab w:leader="none" w:pos="75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AND SUBLETTING</w:t>
      </w:r>
      <w:r>
        <w:rPr>
          <w:rFonts w:ascii="Times New Roman" w:cs="Times New Roman" w:eastAsia="Times New Roman" w:hAnsi="Times New Roman"/>
          <w:sz w:val="22"/>
          <w:szCs w:val="22"/>
          <w:color w:val="auto"/>
        </w:rPr>
        <w:t>. Tenant shall not, without prior written consent of landlord, which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unreasonably withheld, assign this Lease or any interest hereunder, or sublet the Premises or any part thereof, or permit the use of the Premises by any party other than the Tenant. Consent to any assignment or sublease shall not impair this provision and all later assignments or subleases shall be made likewise only on the prior written consent of Landlord. The assignee of Tenant, at the option of Landlord, shall become liable to Landlord for all obligations of Tenant hereunder. Landlord agrees to provide written consent or declination of consent within a period of thirty (30) days from the date of initial written request from Tenant.</w:t>
      </w:r>
    </w:p>
    <w:p>
      <w:pPr>
        <w:spacing w:after="0" w:line="175" w:lineRule="exact"/>
        <w:rPr>
          <w:rFonts w:ascii="Times New Roman" w:cs="Times New Roman" w:eastAsia="Times New Roman" w:hAnsi="Times New Roman"/>
          <w:sz w:val="22"/>
          <w:szCs w:val="22"/>
          <w:color w:val="auto"/>
        </w:rPr>
      </w:pPr>
    </w:p>
    <w:p>
      <w:pPr>
        <w:jc w:val="both"/>
        <w:ind w:left="752" w:hanging="752"/>
        <w:spacing w:after="0" w:line="235" w:lineRule="auto"/>
        <w:tabs>
          <w:tab w:leader="none" w:pos="75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EVENTS OF DEFAULT</w:t>
      </w:r>
      <w:r>
        <w:rPr>
          <w:rFonts w:ascii="Times New Roman" w:cs="Times New Roman" w:eastAsia="Times New Roman" w:hAnsi="Times New Roman"/>
          <w:sz w:val="22"/>
          <w:szCs w:val="22"/>
          <w:color w:val="auto"/>
        </w:rPr>
        <w:t>. The happening of any one or more of the following events (hereinafter any one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referred to as an (“Event of Default”) during the term of this Lease, or any renewal or extension thereof, shall constitute a breach of this Lease on the part of the Tenant. (A) tenant fails to pay the rental within ten (10) days after it is due; (B) Tenant abandons or vacates the premises; (C) Tenant fails to comply with or abide by and perform any other obligation imposed upon Tenant under this lease after Tenant has received notice of such failure and has the opportunity to cure within thirty (30) days of receiving such notice; (D) Tenant is adjudicated bankrupt; (E) a permanent receiver is appointed for Tenant’s property and such receiver is not removed within sixty (60) days after written notice from Landlord to tenant to obtain such removal; (F) Tenant,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1012190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49" w:name="page50"/>
    <w:bookmarkEnd w:id="49"/>
    <w:p>
      <w:pPr>
        <w:spacing w:after="0" w:line="77" w:lineRule="exact"/>
        <w:rPr>
          <w:sz w:val="20"/>
          <w:szCs w:val="20"/>
          <w:color w:val="auto"/>
        </w:rPr>
      </w:pPr>
    </w:p>
    <w:p>
      <w:pPr>
        <w:jc w:val="both"/>
        <w:ind w:left="752"/>
        <w:spacing w:after="0" w:line="238" w:lineRule="auto"/>
        <w:rPr>
          <w:sz w:val="20"/>
          <w:szCs w:val="20"/>
          <w:color w:val="auto"/>
        </w:rPr>
      </w:pPr>
      <w:r>
        <w:rPr>
          <w:rFonts w:ascii="Times New Roman" w:cs="Times New Roman" w:eastAsia="Times New Roman" w:hAnsi="Times New Roman"/>
          <w:sz w:val="22"/>
          <w:szCs w:val="22"/>
          <w:color w:val="auto"/>
        </w:rPr>
        <w:t>voluntarily or involuntarily, takes advantage of any debt or relief proceedings under the present or future law, whereby the rent or any part thereof is, or is proposed to be reduced or payment thereof deferred; (G) Tenant makes an assignment for benefit of creditors; or (H) Tenant’s effects are levied upon or attached under process against Tenant, which is not satisfied or dissolved within thirty (30) days after written notice from Landlord to Tenant to obtain satisfaction thereof.</w:t>
      </w:r>
    </w:p>
    <w:p>
      <w:pPr>
        <w:spacing w:after="0" w:line="173" w:lineRule="exact"/>
        <w:rPr>
          <w:sz w:val="20"/>
          <w:szCs w:val="20"/>
          <w:color w:val="auto"/>
        </w:rPr>
      </w:pPr>
    </w:p>
    <w:p>
      <w:pPr>
        <w:jc w:val="both"/>
        <w:ind w:left="752" w:hanging="752"/>
        <w:spacing w:after="0" w:line="231" w:lineRule="auto"/>
        <w:tabs>
          <w:tab w:leader="none" w:pos="75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REMEDIES UPON DEFAULT</w:t>
      </w:r>
      <w:r>
        <w:rPr>
          <w:rFonts w:ascii="Times New Roman" w:cs="Times New Roman" w:eastAsia="Times New Roman" w:hAnsi="Times New Roman"/>
          <w:sz w:val="22"/>
          <w:szCs w:val="22"/>
          <w:color w:val="auto"/>
        </w:rPr>
        <w:t>. Upon the occurrence of an Event of Default, landlord, in addition to any and all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or remedies it may have at law or in equity shall have the option of pursuing any one or more of the following remedies: (A)Landlord may terminate this Lease by giving notice of termination, in which event this Lease shall expire and terminate on the date specified in such notice of termination, with the same force and effect as though the date so specified was the date herein originally fixed as the termination date of the term of this Lease, and all rights of Tenant under this Lease and in and to the Premises shall expire and terminate, and Tenant shall remain liable for all obligations under this Lease arising up to the date of such termination and Tenant shall surrender the Premises to Landlord on the date specified in such notice; (B) Landlord may, without terminating this Lease, declare immediately due and payable all monthly rental and additional rent due and coming due under this Lease for the entire remaining term hereof, together with all other amounts previously due, at once; provided, however, that such payment shall not be deemed a penalty or liquidated damages but shall merely constitute payment in advance of rent for the remainder of said term; upon making such payment, Tenant shall be entitled to receive from Landlord all rents received by Landlord from other assignees, tenants and subtenants on account of the Premises during the term of this Lease, provided that the monies to which Tenant shall so become entitled shall in no event exceed the entire amount actually paid by Tenant to Landlord pursuant to this clause (B) less all costs, expenses and attorneys’ fees of Landlord incurred in connection with the reletting of the Premises; or (C) landlord may, from time to time without terminating this Lease and without releasing Tenant in whole or in part from Tenant’s obligation to pay monthly rental and additional rent and perform all of the covenants, conditions and agreements to be performed by Tenant as provided in this Lease, make such alterations and repairs as may be necessary in order to relet the Premises, and after making such alterations and repairs, Landlord may, but shall not be obligated to, relet the Premises or any part thereof for such term or terms (which may be for a term extending beyond the term of this Lease) at such rental or rentals and upon such other terms and conditions as Landlord in its sole discretion may deem advisable or acceptable; upon each reletting, all rentals received by Landlord from such reletting shall be applied first, to the payment of any indebtedness other than rent due hereunder from Tenant to Landlord, second, to the payment of any costs and expenses of such reletting, including brokerage fees and attorneys’ fees, and of costs of such alterations and repairs, third to the payment of the monthly rental and additional rent due and unpaid hereunder, and the residue, if any, shall be held by Landlord and applied against payments of future monthly rental and additional rent as the same may become due and payable hereunder; in no event shall Tenant be entitled to any excess rental received by Landlord over and above charges that Tenant is obligated to pay hereunder, including monthly rental and additional rent; if such rentals received from such reletting during any month are less than those to be paid during the month by Tenant hereunder, including monthly rental and additional rent, Tenant shall pay any such deficiency to Landlord, which deficiency shall be calculated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1026160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0" w:name="page51"/>
    <w:bookmarkEnd w:id="50"/>
    <w:p>
      <w:pPr>
        <w:spacing w:after="0" w:line="77" w:lineRule="exact"/>
        <w:rPr>
          <w:sz w:val="20"/>
          <w:szCs w:val="20"/>
          <w:color w:val="auto"/>
        </w:rPr>
      </w:pPr>
    </w:p>
    <w:p>
      <w:pPr>
        <w:jc w:val="both"/>
        <w:ind w:left="752"/>
        <w:spacing w:after="0" w:line="239" w:lineRule="auto"/>
        <w:rPr>
          <w:sz w:val="20"/>
          <w:szCs w:val="20"/>
          <w:color w:val="auto"/>
        </w:rPr>
      </w:pPr>
      <w:r>
        <w:rPr>
          <w:rFonts w:ascii="Times New Roman" w:cs="Times New Roman" w:eastAsia="Times New Roman" w:hAnsi="Times New Roman"/>
          <w:sz w:val="22"/>
          <w:szCs w:val="22"/>
          <w:color w:val="auto"/>
        </w:rPr>
        <w:t>paid monthly; Tenant shall also pay Landlord as soon as ascertained and upon demand all costs and expenses incurred by Landlord in connection with such reletting and in making any alterations and repairs which are not covered by the rentals received from such reletting; notwithstanding any such reletting without termination, Landlord may at any time thereafter elect to terminate this Lease for such previous breach.</w:t>
      </w:r>
    </w:p>
    <w:p>
      <w:pPr>
        <w:spacing w:after="0" w:line="180" w:lineRule="exact"/>
        <w:rPr>
          <w:sz w:val="20"/>
          <w:szCs w:val="20"/>
          <w:color w:val="auto"/>
        </w:rPr>
      </w:pPr>
    </w:p>
    <w:p>
      <w:pPr>
        <w:jc w:val="both"/>
        <w:ind w:left="752" w:right="20"/>
        <w:spacing w:after="0" w:line="258" w:lineRule="auto"/>
        <w:rPr>
          <w:sz w:val="20"/>
          <w:szCs w:val="20"/>
          <w:color w:val="auto"/>
        </w:rPr>
      </w:pPr>
      <w:r>
        <w:rPr>
          <w:rFonts w:ascii="Times New Roman" w:cs="Times New Roman" w:eastAsia="Times New Roman" w:hAnsi="Times New Roman"/>
          <w:sz w:val="22"/>
          <w:szCs w:val="22"/>
          <w:color w:val="auto"/>
        </w:rPr>
        <w:t>Tenant acknowledges that the Premises are to be used for commercial purposes, and Tenant expressly waives the protections and rights set forth in Official Code of Georgia Annotated Section 44-7-52.</w:t>
      </w:r>
    </w:p>
    <w:p>
      <w:pPr>
        <w:spacing w:after="0" w:line="154" w:lineRule="exact"/>
        <w:rPr>
          <w:sz w:val="20"/>
          <w:szCs w:val="20"/>
          <w:color w:val="auto"/>
        </w:rPr>
      </w:pPr>
    </w:p>
    <w:p>
      <w:pPr>
        <w:jc w:val="both"/>
        <w:ind w:left="752" w:hanging="752"/>
        <w:spacing w:after="0" w:line="256" w:lineRule="auto"/>
        <w:tabs>
          <w:tab w:leader="none" w:pos="75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EXTERIOR SIGNS</w:t>
      </w:r>
      <w:r>
        <w:rPr>
          <w:rFonts w:ascii="Times New Roman" w:cs="Times New Roman" w:eastAsia="Times New Roman" w:hAnsi="Times New Roman"/>
          <w:sz w:val="21"/>
          <w:szCs w:val="21"/>
          <w:color w:val="auto"/>
        </w:rPr>
        <w:t>. Tenant shall place no signs upon the outside walls or roof of the Premises except with the written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consent of the Landlord. Any and all signs placed on the Premises by Tenant shall be maintained in compliance with governmental rules and regulations governing such signs, and Tenant shall be responsible to Landlord for any damage caused by installation, use or maintenance of said signs, and all damage incidents to such removal.</w:t>
      </w:r>
    </w:p>
    <w:p>
      <w:pPr>
        <w:spacing w:after="0" w:line="157" w:lineRule="exact"/>
        <w:rPr>
          <w:rFonts w:ascii="Times New Roman" w:cs="Times New Roman" w:eastAsia="Times New Roman" w:hAnsi="Times New Roman"/>
          <w:sz w:val="21"/>
          <w:szCs w:val="21"/>
          <w:color w:val="auto"/>
        </w:rPr>
      </w:pPr>
    </w:p>
    <w:p>
      <w:pPr>
        <w:jc w:val="both"/>
        <w:ind w:left="752" w:hanging="752"/>
        <w:spacing w:after="0" w:line="237" w:lineRule="auto"/>
        <w:tabs>
          <w:tab w:leader="none" w:pos="75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LANDLORD’S ENTRY OF PREMISES</w:t>
      </w:r>
      <w:r>
        <w:rPr>
          <w:rFonts w:ascii="Times New Roman" w:cs="Times New Roman" w:eastAsia="Times New Roman" w:hAnsi="Times New Roman"/>
          <w:sz w:val="22"/>
          <w:szCs w:val="22"/>
          <w:color w:val="auto"/>
        </w:rPr>
        <w:t>. If written notice of termination has been previously received by Landlord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Tenant, Landlord may card the Premises “For Rent” or “For Sale” one hundred twenty (120) days before the termination of this Lease. Landlord, upon 24 hours’ notice, may enter the Premises at reasonable hours to exhibit the Premises to prospective purchasers or tenants, to inspect the Premises to see that Tenant is complying with all of its obligations hereunder, and to make repairs required of Landlord under the terms hereof or to make repairs to Landlord’s adjoin property, if any.</w:t>
      </w:r>
    </w:p>
    <w:p>
      <w:pPr>
        <w:spacing w:after="0" w:line="175" w:lineRule="exact"/>
        <w:rPr>
          <w:rFonts w:ascii="Times New Roman" w:cs="Times New Roman" w:eastAsia="Times New Roman" w:hAnsi="Times New Roman"/>
          <w:sz w:val="22"/>
          <w:szCs w:val="22"/>
          <w:color w:val="auto"/>
        </w:rPr>
      </w:pPr>
    </w:p>
    <w:p>
      <w:pPr>
        <w:jc w:val="both"/>
        <w:ind w:left="752" w:hanging="752"/>
        <w:spacing w:after="0" w:line="246" w:lineRule="auto"/>
        <w:tabs>
          <w:tab w:leader="none" w:pos="75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EFFECT OF TERMINATION OF LEASE. </w:t>
      </w:r>
      <w:r>
        <w:rPr>
          <w:rFonts w:ascii="Times New Roman" w:cs="Times New Roman" w:eastAsia="Times New Roman" w:hAnsi="Times New Roman"/>
          <w:sz w:val="22"/>
          <w:szCs w:val="22"/>
          <w:color w:val="auto"/>
        </w:rPr>
        <w:t>Unless there is a mutually agreed upon written agreement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the Tenant to the contrary, no termination of this Lease prior to the normal ending thereof, by lapse of time or otherwise, shall affect Landlord’s right to collect rent for the period prior to termination thereof.</w:t>
      </w:r>
    </w:p>
    <w:p>
      <w:pPr>
        <w:spacing w:after="0" w:line="167" w:lineRule="exact"/>
        <w:rPr>
          <w:rFonts w:ascii="Times New Roman" w:cs="Times New Roman" w:eastAsia="Times New Roman" w:hAnsi="Times New Roman"/>
          <w:sz w:val="22"/>
          <w:szCs w:val="22"/>
          <w:color w:val="auto"/>
        </w:rPr>
      </w:pPr>
    </w:p>
    <w:p>
      <w:pPr>
        <w:jc w:val="both"/>
        <w:ind w:left="752" w:hanging="752"/>
        <w:spacing w:after="0" w:line="245" w:lineRule="auto"/>
        <w:tabs>
          <w:tab w:leader="none" w:pos="75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SUBORDINATION. </w:t>
      </w:r>
      <w:r>
        <w:rPr>
          <w:rFonts w:ascii="Times New Roman" w:cs="Times New Roman" w:eastAsia="Times New Roman" w:hAnsi="Times New Roman"/>
          <w:sz w:val="21"/>
          <w:szCs w:val="21"/>
          <w:color w:val="auto"/>
        </w:rPr>
        <w:t>At the option of Landlord, Tenant agrees that this Lease shall remain subject and subordinate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present and future mortgages, deeds to secure debt or other security instruments (the “Security Deeds”) affecting the Premises, and Tenant shall promptly execute and deliver to Landlord such certificate or certificates in writing as landlord may request, showing the subordination of the Lease to such Security Deeds, and in default of Tenant so doing, Landlord shall be and is hereby authorized and empowered to execute such certificate in the name of and as the act and deed of Tenant, this authority being hereby declared to be coupled with an interest and to be irrevocable. Tenant shall upon request from Landlord at any time and from time to time execute, acknowledge and deliver to Landlord a written statement certifying as follows: (A) that this Lease is unmodified and in full force and effect (or if there has been modification thereof, that the same is in full force and effect as modified and stating the nature thereof); (B) that to the best of its knowledge there are no uncured defaults on the part of Landlord (or if any such default exists, the specific nature and extent thereof); (C) the date to which any rent and other charges have been paid in advance, if any; and (D) such other matters as Landlord may reasonably request. Tenant irrevocably appoints Landlord as its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1009015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1" w:name="page52"/>
    <w:bookmarkEnd w:id="51"/>
    <w:p>
      <w:pPr>
        <w:spacing w:after="0" w:line="77" w:lineRule="exact"/>
        <w:rPr>
          <w:sz w:val="20"/>
          <w:szCs w:val="20"/>
          <w:color w:val="auto"/>
        </w:rPr>
      </w:pPr>
    </w:p>
    <w:p>
      <w:pPr>
        <w:ind w:left="752" w:right="20"/>
        <w:spacing w:after="0" w:line="258" w:lineRule="auto"/>
        <w:rPr>
          <w:sz w:val="20"/>
          <w:szCs w:val="20"/>
          <w:color w:val="auto"/>
        </w:rPr>
      </w:pPr>
      <w:r>
        <w:rPr>
          <w:rFonts w:ascii="Times New Roman" w:cs="Times New Roman" w:eastAsia="Times New Roman" w:hAnsi="Times New Roman"/>
          <w:sz w:val="22"/>
          <w:szCs w:val="22"/>
          <w:color w:val="auto"/>
        </w:rPr>
        <w:t>coupled with an interest, to execute and deliver, for and in the name of Tenant, any document or instrument provided for in this paragraph.</w:t>
      </w:r>
    </w:p>
    <w:p>
      <w:pPr>
        <w:spacing w:after="0" w:line="154" w:lineRule="exact"/>
        <w:rPr>
          <w:sz w:val="20"/>
          <w:szCs w:val="20"/>
          <w:color w:val="auto"/>
        </w:rPr>
      </w:pPr>
    </w:p>
    <w:p>
      <w:pPr>
        <w:jc w:val="both"/>
        <w:ind w:left="752" w:hanging="752"/>
        <w:spacing w:after="0" w:line="232" w:lineRule="auto"/>
        <w:tabs>
          <w:tab w:leader="none" w:pos="75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ESTOPPEL CERTIFICATE. </w:t>
      </w:r>
      <w:r>
        <w:rPr>
          <w:rFonts w:ascii="Times New Roman" w:cs="Times New Roman" w:eastAsia="Times New Roman" w:hAnsi="Times New Roman"/>
          <w:sz w:val="22"/>
          <w:szCs w:val="22"/>
          <w:color w:val="auto"/>
        </w:rPr>
        <w:t>At any time and from time to time, Tenant shall execute, acknowledge, and deliver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to such assignee, mortgagee or other party as may be designated by Landlord, a certificate (in a form to be specified by Landlord) stating; (i) that by such certificate the Lease is ratified; (ii) the commencement date and the date on which Tenant entered into occupancy of the Premises; (iii) the amount of the monthly portion of base rent and additional rent payable hereunder; (iv) that the Lease (and any modifications) represents the entire agreement between the parties as to the Premises and is in full force and effect; (v) the expiration date; (vi) that, as of the date of the certificate, there are no defaults by Landlord or Tenant under the Lease; (vii) the amount of base rent and security deposit which has been deposited with Landlord; (viii) the month and year through which base rent and additional rent have been paid; (ix) that no actions, voluntary or involuntary, are pending against Tenant under the bankruptcy laws of the United States or any State thereof; (x) that the person executing the certificate is duly authorized to execute the same on behalf of Tenant, and that the certificate is and shall be binding on Tenant, its successors and assigns; (xi) that Tenant has not requested any repairs or replacements to the Premises or any other part of the Project that are Landlord’s responsibility under the Lease and that have not been completed; and (xii) such other matters relating to the Lease as requested by Landlord. if Tenant fails to deliver such certificate to Landlord within ten (10) days after written request by Landlord, Tenant shall be deemed to have approved the contents of the certificate as submitted to Tenant by Landlord at the time of written request therefore, and Landlord is hereby authorized to so certify. Tenant hereby expressly acknowledges and agrees that Landlord, any such assignee, mortgagee or other party shall be entitled to rely upon the certificate so certified by Landlord or any certificate delivered by Tenant hereunder.</w:t>
      </w:r>
    </w:p>
    <w:p>
      <w:pPr>
        <w:spacing w:after="0" w:line="188" w:lineRule="exact"/>
        <w:rPr>
          <w:rFonts w:ascii="Times New Roman" w:cs="Times New Roman" w:eastAsia="Times New Roman" w:hAnsi="Times New Roman"/>
          <w:sz w:val="22"/>
          <w:szCs w:val="22"/>
          <w:color w:val="auto"/>
        </w:rPr>
      </w:pPr>
    </w:p>
    <w:p>
      <w:pPr>
        <w:jc w:val="both"/>
        <w:ind w:left="752" w:hanging="752"/>
        <w:spacing w:after="0" w:line="246" w:lineRule="auto"/>
        <w:tabs>
          <w:tab w:leader="none" w:pos="75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QUIET ENJOYMENT. </w:t>
      </w:r>
      <w:r>
        <w:rPr>
          <w:rFonts w:ascii="Times New Roman" w:cs="Times New Roman" w:eastAsia="Times New Roman" w:hAnsi="Times New Roman"/>
          <w:sz w:val="22"/>
          <w:szCs w:val="22"/>
          <w:color w:val="auto"/>
        </w:rPr>
        <w:t>So long as Tenant observes and performs the covenants and agreements contained herein,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at all times during the Lease term peacefully and quietly have and enjoy possession of the Premises, but always subject to the terms hereof.</w:t>
      </w:r>
    </w:p>
    <w:p>
      <w:pPr>
        <w:spacing w:after="0" w:line="167" w:lineRule="exact"/>
        <w:rPr>
          <w:rFonts w:ascii="Times New Roman" w:cs="Times New Roman" w:eastAsia="Times New Roman" w:hAnsi="Times New Roman"/>
          <w:sz w:val="22"/>
          <w:szCs w:val="22"/>
          <w:color w:val="auto"/>
        </w:rPr>
      </w:pPr>
    </w:p>
    <w:p>
      <w:pPr>
        <w:jc w:val="both"/>
        <w:ind w:left="752" w:hanging="752"/>
        <w:spacing w:after="0" w:line="246" w:lineRule="auto"/>
        <w:tabs>
          <w:tab w:leader="none" w:pos="75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ESTATE IN LAND</w:t>
      </w:r>
      <w:r>
        <w:rPr>
          <w:rFonts w:ascii="Times New Roman" w:cs="Times New Roman" w:eastAsia="Times New Roman" w:hAnsi="Times New Roman"/>
          <w:sz w:val="22"/>
          <w:szCs w:val="22"/>
          <w:color w:val="auto"/>
        </w:rPr>
        <w:t>. This Lease shall create the relationship of landlord and Tenant between the parties hereto.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estate shall pass out of landlord. Tenant has only a usufruct not subject to levy and sale, and not assignable by Tenant except by Landlord’s consent.</w:t>
      </w:r>
    </w:p>
    <w:p>
      <w:pPr>
        <w:spacing w:after="0" w:line="167" w:lineRule="exact"/>
        <w:rPr>
          <w:rFonts w:ascii="Times New Roman" w:cs="Times New Roman" w:eastAsia="Times New Roman" w:hAnsi="Times New Roman"/>
          <w:sz w:val="22"/>
          <w:szCs w:val="22"/>
          <w:color w:val="auto"/>
        </w:rPr>
      </w:pPr>
    </w:p>
    <w:p>
      <w:pPr>
        <w:jc w:val="both"/>
        <w:ind w:left="752" w:hanging="752"/>
        <w:spacing w:after="0" w:line="235" w:lineRule="auto"/>
        <w:tabs>
          <w:tab w:leader="none" w:pos="75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HOLDING OVER</w:t>
      </w:r>
      <w:r>
        <w:rPr>
          <w:rFonts w:ascii="Times New Roman" w:cs="Times New Roman" w:eastAsia="Times New Roman" w:hAnsi="Times New Roman"/>
          <w:sz w:val="22"/>
          <w:szCs w:val="22"/>
          <w:color w:val="auto"/>
        </w:rPr>
        <w:t>. If Tenant remains in possession of the Premises after expiration of the term hereof, with landlord’s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acquiescence and without any express agreement of the parties, Tenant shall be a tenant at will at the monthly rental which is in effect at the end of this Lease in accordance with Paragraph 3 and there shall be no renewal of this Lease by operation of law. If Tenant remains in possession of the Premises after expiration of the term hereof without Landlord’s acquiescence, Tenant shall be a tenant at sufferance and commencing on the date following the date of such expiration, the monthly rental payable under Paragraph 3 above shall for each month, or fraction thereof during which Tenant so remains in possession of the Premises, be 150% of the monthly rental which is in effect at the end of this Lease in accordance with Paragraph 3 and there shall be no renewal of this Lease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1012190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2" w:name="page53"/>
    <w:bookmarkEnd w:id="52"/>
    <w:p>
      <w:pPr>
        <w:spacing w:after="0" w:line="73" w:lineRule="exact"/>
        <w:rPr>
          <w:sz w:val="20"/>
          <w:szCs w:val="20"/>
          <w:color w:val="auto"/>
        </w:rPr>
      </w:pPr>
    </w:p>
    <w:p>
      <w:pPr>
        <w:jc w:val="both"/>
        <w:ind w:left="752" w:hanging="752"/>
        <w:spacing w:after="0" w:line="235" w:lineRule="auto"/>
        <w:tabs>
          <w:tab w:leader="none" w:pos="75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ATTORNEY’S FEES</w:t>
      </w:r>
      <w:r>
        <w:rPr>
          <w:rFonts w:ascii="Times New Roman" w:cs="Times New Roman" w:eastAsia="Times New Roman" w:hAnsi="Times New Roman"/>
          <w:sz w:val="22"/>
          <w:szCs w:val="22"/>
          <w:color w:val="auto"/>
        </w:rPr>
        <w:t>. In the event that any action or proceeding is brought to enforce any term, covenant or condition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Lease on the part of Landlord or Tenant, the prevailing party in such litigation shall be entitled to recover reasonable attorney’s fees to be fixed by the court in such action or proceeding, in an amount at least equal to fifteen percent of any damages due from the non-prevailing party. Furthermore, landlord and Tenant agree to pay the attorney’s fees and expenses (A) the other party to this Lease (either Landlord or Tenant) if it is made a party to litigation because of its being a party to this Lease and when it has not engaged in any wrongful conduct itself, and (B) Broker if Broker is made a party to litigation because of its being a party to this Lease and when Broker has not engaged in any wrongful conduct itself.</w:t>
      </w:r>
    </w:p>
    <w:p>
      <w:pPr>
        <w:spacing w:after="0" w:line="178" w:lineRule="exact"/>
        <w:rPr>
          <w:rFonts w:ascii="Times New Roman" w:cs="Times New Roman" w:eastAsia="Times New Roman" w:hAnsi="Times New Roman"/>
          <w:sz w:val="22"/>
          <w:szCs w:val="22"/>
          <w:color w:val="auto"/>
        </w:rPr>
      </w:pPr>
    </w:p>
    <w:p>
      <w:pPr>
        <w:ind w:left="752" w:hanging="752"/>
        <w:spacing w:after="0" w:line="262" w:lineRule="auto"/>
        <w:tabs>
          <w:tab w:leader="none" w:pos="75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CUMULATIVE</w:t>
      </w:r>
      <w:r>
        <w:rPr>
          <w:rFonts w:ascii="Times New Roman" w:cs="Times New Roman" w:eastAsia="Times New Roman" w:hAnsi="Times New Roman"/>
          <w:sz w:val="22"/>
          <w:szCs w:val="22"/>
          <w:color w:val="auto"/>
        </w:rPr>
        <w:t>. All rights, powers and privileges conferred hereunder upon parties hereto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cumulative and not restrictive of those given by law.</w:t>
      </w:r>
    </w:p>
    <w:p>
      <w:pPr>
        <w:spacing w:after="0" w:line="149" w:lineRule="exact"/>
        <w:rPr>
          <w:rFonts w:ascii="Times New Roman" w:cs="Times New Roman" w:eastAsia="Times New Roman" w:hAnsi="Times New Roman"/>
          <w:sz w:val="22"/>
          <w:szCs w:val="22"/>
          <w:color w:val="auto"/>
        </w:rPr>
      </w:pPr>
    </w:p>
    <w:p>
      <w:pPr>
        <w:jc w:val="both"/>
        <w:ind w:left="752" w:hanging="752"/>
        <w:spacing w:after="0" w:line="246" w:lineRule="auto"/>
        <w:tabs>
          <w:tab w:leader="none" w:pos="75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WAIVER OF RIGHTS</w:t>
      </w:r>
      <w:r>
        <w:rPr>
          <w:rFonts w:ascii="Times New Roman" w:cs="Times New Roman" w:eastAsia="Times New Roman" w:hAnsi="Times New Roman"/>
          <w:sz w:val="22"/>
          <w:szCs w:val="22"/>
          <w:color w:val="auto"/>
        </w:rPr>
        <w:t>. No failure of Landlord to exercise any power given Landlord hereunder or to insist upon strict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compliances by tenant of its obligations hereunder and no custom or practice of the parties at variance with the terms hereof shall constitute a waiver of landlord’s right to demand exact compliance with the terms hereof.</w:t>
      </w:r>
    </w:p>
    <w:p>
      <w:pPr>
        <w:spacing w:after="0" w:line="167" w:lineRule="exact"/>
        <w:rPr>
          <w:rFonts w:ascii="Times New Roman" w:cs="Times New Roman" w:eastAsia="Times New Roman" w:hAnsi="Times New Roman"/>
          <w:sz w:val="22"/>
          <w:szCs w:val="22"/>
          <w:color w:val="auto"/>
        </w:rPr>
      </w:pPr>
    </w:p>
    <w:p>
      <w:pPr>
        <w:jc w:val="both"/>
        <w:ind w:left="752" w:hanging="752"/>
        <w:spacing w:after="0" w:line="243" w:lineRule="auto"/>
        <w:tabs>
          <w:tab w:leader="none" w:pos="75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Landlord represents to the best of its knowledge and belief, (A) the Premises are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with all applicable environmental laws, and (B) there are not excessive levels (as defined by the Environmental Protection Agency) of radon, toxic waste or hazardous substances on the Premises. Tenant represents and warrants that Tenant shall comply with all applicable environmental laws and that Tenant shall not permit any of his employees, brokers, contractors or subcontractors or any person present on the Premises to generate, manufacture, store dispose or release on, about, or under the Premises any toxic waste or hazardous substances which would result in the Premises not complying with any applicable environmental law</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p>
      <w:pPr>
        <w:spacing w:after="0" w:line="81"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TIME OF ESSENCE</w:t>
      </w:r>
      <w:r>
        <w:rPr>
          <w:rFonts w:ascii="Times New Roman" w:cs="Times New Roman" w:eastAsia="Times New Roman" w:hAnsi="Times New Roman"/>
          <w:sz w:val="22"/>
          <w:szCs w:val="22"/>
          <w:color w:val="auto"/>
        </w:rPr>
        <w:t>. Time is of the essence of this Lease.</w:t>
      </w:r>
    </w:p>
    <w:p>
      <w:pPr>
        <w:spacing w:after="0" w:line="206" w:lineRule="exact"/>
        <w:rPr>
          <w:rFonts w:ascii="Times New Roman" w:cs="Times New Roman" w:eastAsia="Times New Roman" w:hAnsi="Times New Roman"/>
          <w:sz w:val="22"/>
          <w:szCs w:val="22"/>
          <w:color w:val="auto"/>
        </w:rPr>
      </w:pPr>
    </w:p>
    <w:p>
      <w:pPr>
        <w:jc w:val="both"/>
        <w:ind w:left="752" w:hanging="752"/>
        <w:spacing w:after="0" w:line="248" w:lineRule="auto"/>
        <w:tabs>
          <w:tab w:leader="none" w:pos="752"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“LANDLORD” AS USED IN THIS LEASE SHALL INCLUDE THE UNDERSIGNED, ITS HEIRS,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REPRESENTATIVES, ASSIGNS AND SUCCESSORS IN TITLE TO THE PREMISES, “TENANT” SHALL INCLUDE THE UNDERSIGNED AND ITS HEIRS, REPRESENTATIVES, ASSIGNS AND SUCCESSORS, AND IF THIS LEASE SHALL BE VALIDLY ASSIGNED OR SUBLET, SHALL INCLUDE ALSO TENANT’S ASSIGNEES OR SUBTENANTS AS TO THE PREMISES COVERED BY SUCH ASSIGNMENT OR SUBLEASE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“Broker” shall include the undersigned, its successors, assigns, heirs and representatives. “Landlord” “Tenant” and “Broker” include male and female, singular and plural, corporation, partnership or individual, as may fit the particular parties.</w:t>
      </w:r>
    </w:p>
    <w:p>
      <w:pPr>
        <w:spacing w:after="0" w:line="170" w:lineRule="exact"/>
        <w:rPr>
          <w:rFonts w:ascii="Times New Roman" w:cs="Times New Roman" w:eastAsia="Times New Roman" w:hAnsi="Times New Roman"/>
          <w:sz w:val="21"/>
          <w:szCs w:val="21"/>
          <w:color w:val="auto"/>
        </w:rPr>
      </w:pPr>
    </w:p>
    <w:p>
      <w:pPr>
        <w:jc w:val="both"/>
        <w:ind w:left="752" w:hanging="752"/>
        <w:spacing w:after="0" w:line="241" w:lineRule="auto"/>
        <w:tabs>
          <w:tab w:leader="none" w:pos="75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required or permitted under this Lease shall be in writing and shall be personally delivered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sent by U.S. Certified Mail, return receipt requested, postage prepaid or a nationally recognized overnight courier with delivery tracking. Notice shall be deemed received three days after an item is mailed. Broker shall be copied with all required or permitted notices. Notices to tenant shall be delivered or sent to the address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1007745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3" w:name="page54"/>
    <w:bookmarkEnd w:id="53"/>
    <w:p>
      <w:pPr>
        <w:spacing w:after="0" w:line="77"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below, except that upon Tenant’s taking possession of the Premises, then the Premises shall be Tenant’s address for notice purposes. Notices to Landlord and Broker shall be delivered or sent to the addresses hereinafter stated, to wit:</w:t>
      </w:r>
    </w:p>
    <w:p>
      <w:pPr>
        <w:sectPr>
          <w:pgSz w:w="11900" w:h="16838" w:orient="portrait"/>
          <w:cols w:equalWidth="0" w:num="1">
            <w:col w:w="11240"/>
          </w:cols>
          <w:pgMar w:left="320" w:top="1440" w:right="339" w:bottom="1440" w:gutter="0" w:footer="0" w:header="0"/>
        </w:sectPr>
      </w:pP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Landlord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BH Georgia Properties, LLC 6240 Shiloh Road</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Alpharetta, GA 30005</w:t>
      </w:r>
    </w:p>
    <w:p>
      <w:pPr>
        <w:ind w:left="1280"/>
        <w:spacing w:after="0"/>
        <w:rPr>
          <w:sz w:val="20"/>
          <w:szCs w:val="20"/>
          <w:color w:val="auto"/>
        </w:rPr>
      </w:pPr>
      <w:r>
        <w:rPr>
          <w:rFonts w:ascii="Times New Roman" w:cs="Times New Roman" w:eastAsia="Times New Roman" w:hAnsi="Times New Roman"/>
          <w:sz w:val="22"/>
          <w:szCs w:val="22"/>
          <w:color w:val="auto"/>
        </w:rPr>
        <w:t>ATTN: Bradley W. Bakotic</w:t>
      </w:r>
    </w:p>
    <w:p>
      <w:pPr>
        <w:spacing w:after="0" w:line="182" w:lineRule="exact"/>
        <w:rPr>
          <w:sz w:val="20"/>
          <w:szCs w:val="20"/>
          <w:color w:val="auto"/>
        </w:rPr>
      </w:pPr>
    </w:p>
    <w:p>
      <w:pPr>
        <w:sectPr>
          <w:pgSz w:w="11900" w:h="16838" w:orient="portrait"/>
          <w:cols w:equalWidth="0" w:num="2">
            <w:col w:w="1540" w:space="180"/>
            <w:col w:w="9520"/>
          </w:cols>
          <w:pgMar w:left="320" w:top="1440"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21"/>
          <w:szCs w:val="21"/>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Bakotic Pathology Associates, LLC</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6240 Shiloh Road</w:t>
      </w:r>
    </w:p>
    <w:p>
      <w:pPr>
        <w:ind w:left="1380"/>
        <w:spacing w:after="0"/>
        <w:rPr>
          <w:sz w:val="20"/>
          <w:szCs w:val="20"/>
          <w:color w:val="auto"/>
        </w:rPr>
      </w:pPr>
      <w:r>
        <w:rPr>
          <w:rFonts w:ascii="Times New Roman" w:cs="Times New Roman" w:eastAsia="Times New Roman" w:hAnsi="Times New Roman"/>
          <w:sz w:val="21"/>
          <w:szCs w:val="21"/>
          <w:color w:val="auto"/>
        </w:rPr>
        <w:t>Alpharetta, GA 30005</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ATTN: Scott Bakotic</w:t>
      </w:r>
    </w:p>
    <w:p>
      <w:pPr>
        <w:spacing w:after="0" w:line="182" w:lineRule="exact"/>
        <w:rPr>
          <w:sz w:val="20"/>
          <w:szCs w:val="20"/>
          <w:color w:val="auto"/>
        </w:rPr>
      </w:pPr>
    </w:p>
    <w:p>
      <w:pPr>
        <w:sectPr>
          <w:pgSz w:w="11900" w:h="16838" w:orient="portrait"/>
          <w:cols w:equalWidth="0" w:num="2">
            <w:col w:w="1360" w:space="260"/>
            <w:col w:w="96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All notices shall be effective upon delivery. Any party may change his notice address upon written notice to the other parties.</w:t>
      </w:r>
    </w:p>
    <w:p>
      <w:pPr>
        <w:spacing w:after="0" w:line="202" w:lineRule="exact"/>
        <w:rPr>
          <w:sz w:val="20"/>
          <w:szCs w:val="20"/>
          <w:color w:val="auto"/>
        </w:rPr>
      </w:pPr>
    </w:p>
    <w:p>
      <w:pPr>
        <w:jc w:val="both"/>
        <w:ind w:left="760" w:hanging="752"/>
        <w:spacing w:after="0" w:line="241"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Lease contains the entire agreement of the parties hereto, and no representations,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inducements, promises or agreements, oral or otherwise, between the parties, not embodied herein, shall be of any force or effect. No subsequent alteration, amendment, change or addition to this Lease shall be binding upon Landlord or Tenant unless reduced to writing and signed by Landlord and Tenant.</w:t>
      </w:r>
    </w:p>
    <w:p>
      <w:pPr>
        <w:spacing w:after="0" w:line="171" w:lineRule="exact"/>
        <w:rPr>
          <w:rFonts w:ascii="Times New Roman" w:cs="Times New Roman" w:eastAsia="Times New Roman" w:hAnsi="Times New Roman"/>
          <w:sz w:val="22"/>
          <w:szCs w:val="22"/>
          <w:color w:val="auto"/>
        </w:rPr>
      </w:pPr>
    </w:p>
    <w:p>
      <w:pPr>
        <w:ind w:left="760" w:right="20" w:hanging="752"/>
        <w:spacing w:after="0" w:line="262"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SPECIAL STIPULATIONS</w:t>
      </w:r>
      <w:r>
        <w:rPr>
          <w:rFonts w:ascii="Times New Roman" w:cs="Times New Roman" w:eastAsia="Times New Roman" w:hAnsi="Times New Roman"/>
          <w:sz w:val="22"/>
          <w:szCs w:val="22"/>
          <w:color w:val="auto"/>
        </w:rPr>
        <w:t>. Any special stipulations are set forth in the attached Exhibit “A”. Insofar as said special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stipulations conflict with any of the foregoing provisions, said special stipulations shall control.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Tenant acknowledges that Tenant has read and understands the terms of this Lease and has received a copy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4" w:name="page55"/>
    <w:bookmarkEnd w:id="54"/>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Landlord Tenant, Broker and Co-Broker have hereunto set their hands and seals as of the date indicated below.</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 BH Georgia Properties,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-13970</wp:posOffset>
            </wp:positionV>
            <wp:extent cx="16459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82"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i w:val="1"/>
          <w:iCs w:val="1"/>
          <w:color w:val="auto"/>
        </w:rPr>
        <w:t>Bradley W. Bakotic</w:t>
      </w:r>
      <w:r>
        <w:rPr>
          <w:sz w:val="20"/>
          <w:szCs w:val="20"/>
          <w:color w:val="auto"/>
        </w:rPr>
        <w:tab/>
      </w: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-11430</wp:posOffset>
            </wp:positionV>
            <wp:extent cx="13716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w:t>
        <w:tab/>
        <w:t>Bradley W. Bakotic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-22860</wp:posOffset>
            </wp:positionV>
            <wp:extent cx="13716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30" w:lineRule="auto"/>
        <w:tabs>
          <w:tab w:leader="none" w:pos="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-22225</wp:posOffset>
            </wp:positionV>
            <wp:extent cx="5486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31" w:lineRule="auto"/>
        <w:rPr>
          <w:sz w:val="20"/>
          <w:szCs w:val="20"/>
          <w:color w:val="auto"/>
        </w:rPr>
      </w:pPr>
      <w:r>
        <w:rPr>
          <w:rFonts w:ascii="Times New Roman" w:cs="Times New Roman" w:eastAsia="Times New Roman" w:hAnsi="Times New Roman"/>
          <w:sz w:val="22"/>
          <w:szCs w:val="22"/>
          <w:color w:val="auto"/>
        </w:rPr>
        <w:t>Address: 6240 Shiloh Road, Alpharetta, GA 30005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-22860</wp:posOffset>
            </wp:positionV>
            <wp:extent cx="24688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30" w:lineRule="auto"/>
        <w:tabs>
          <w:tab w:leader="none" w:pos="860" w:val="left"/>
        </w:tabs>
        <w:rPr>
          <w:sz w:val="20"/>
          <w:szCs w:val="20"/>
          <w:color w:val="auto"/>
        </w:rPr>
      </w:pPr>
      <w:r>
        <w:rPr>
          <w:rFonts w:ascii="Times New Roman" w:cs="Times New Roman" w:eastAsia="Times New Roman" w:hAnsi="Times New Roman"/>
          <w:sz w:val="22"/>
          <w:szCs w:val="22"/>
          <w:color w:val="auto"/>
        </w:rPr>
        <w:t>Phone: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-22225</wp:posOffset>
            </wp:positionV>
            <wp:extent cx="54864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31" w:lineRule="auto"/>
        <w:rPr>
          <w:sz w:val="20"/>
          <w:szCs w:val="20"/>
          <w:color w:val="auto"/>
        </w:rPr>
      </w:pPr>
      <w:r>
        <w:rPr>
          <w:rFonts w:ascii="Times New Roman" w:cs="Times New Roman" w:eastAsia="Times New Roman" w:hAnsi="Times New Roman"/>
          <w:sz w:val="22"/>
          <w:szCs w:val="22"/>
          <w:color w:val="auto"/>
        </w:rPr>
        <w:t>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-22860</wp:posOffset>
            </wp:positionV>
            <wp:extent cx="5486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7/21/15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-29210</wp:posOffset>
            </wp:positionV>
            <wp:extent cx="5486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TENANT:</w:t>
      </w:r>
      <w:r>
        <w:rPr>
          <w:sz w:val="20"/>
          <w:szCs w:val="20"/>
          <w:color w:val="auto"/>
        </w:rPr>
        <w:tab/>
      </w:r>
      <w:r>
        <w:rPr>
          <w:rFonts w:ascii="Times New Roman" w:cs="Times New Roman" w:eastAsia="Times New Roman" w:hAnsi="Times New Roman"/>
          <w:sz w:val="22"/>
          <w:szCs w:val="22"/>
          <w:color w:val="auto"/>
        </w:rPr>
        <w:t>Bakotic Pathology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-13970</wp:posOffset>
            </wp:positionV>
            <wp:extent cx="21945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398"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i w:val="1"/>
          <w:iCs w:val="1"/>
          <w:color w:val="auto"/>
        </w:rPr>
        <w:t>Scott Bakotic</w:t>
      </w:r>
      <w:r>
        <w:rPr>
          <w:rFonts w:ascii="Times New Roman" w:cs="Times New Roman" w:eastAsia="Times New Roman" w:hAnsi="Times New Roman"/>
          <w:sz w:val="22"/>
          <w:szCs w:val="22"/>
          <w:color w:val="auto"/>
        </w:rPr>
        <w:t xml:space="preserve">  7/21/15</w:t>
      </w:r>
      <w:r>
        <w:rPr>
          <w:sz w:val="20"/>
          <w:szCs w:val="20"/>
          <w:color w:val="auto"/>
        </w:rPr>
        <w:tab/>
      </w:r>
      <w:r>
        <w:rPr>
          <w:rFonts w:ascii="Times New Roman" w:cs="Times New Roman" w:eastAsia="Times New Roman" w:hAnsi="Times New Roman"/>
          <w:sz w:val="19"/>
          <w:szCs w:val="19"/>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-11430</wp:posOffset>
            </wp:positionV>
            <wp:extent cx="16459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u w:val="single" w:color="auto"/>
          <w:color w:val="auto"/>
        </w:rPr>
        <w:t>Scott Bakotic, CFO</w:t>
      </w:r>
    </w:p>
    <w:p>
      <w:pPr>
        <w:spacing w:after="0" w:line="230" w:lineRule="auto"/>
        <w:rPr>
          <w:sz w:val="20"/>
          <w:szCs w:val="20"/>
          <w:color w:val="auto"/>
        </w:rPr>
      </w:pPr>
      <w:r>
        <w:rPr>
          <w:rFonts w:ascii="Times New Roman" w:cs="Times New Roman" w:eastAsia="Times New Roman" w:hAnsi="Times New Roman"/>
          <w:sz w:val="22"/>
          <w:szCs w:val="22"/>
          <w:color w:val="auto"/>
        </w:rPr>
        <w:t>Address: 6240 Shiloh Road, Alpharetta, GA 30005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-22225</wp:posOffset>
            </wp:positionV>
            <wp:extent cx="24688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31" w:lineRule="auto"/>
        <w:tabs>
          <w:tab w:leader="none" w:pos="860" w:val="left"/>
        </w:tabs>
        <w:rPr>
          <w:sz w:val="20"/>
          <w:szCs w:val="20"/>
          <w:color w:val="auto"/>
        </w:rPr>
      </w:pPr>
      <w:r>
        <w:rPr>
          <w:rFonts w:ascii="Times New Roman" w:cs="Times New Roman" w:eastAsia="Times New Roman" w:hAnsi="Times New Roman"/>
          <w:sz w:val="22"/>
          <w:szCs w:val="22"/>
          <w:color w:val="auto"/>
        </w:rPr>
        <w:t>Phone: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-22860</wp:posOffset>
            </wp:positionV>
            <wp:extent cx="54864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1148715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-29210</wp:posOffset>
            </wp:positionV>
            <wp:extent cx="5486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1. Base Rental on 25,816 Sq Ft:</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64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Months 1-12</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8"/>
              </w:rPr>
              <w:t>Rate PSF</w:t>
            </w:r>
          </w:p>
        </w:tc>
        <w:tc>
          <w:tcPr>
            <w:tcW w:w="3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9"/>
              </w:rPr>
              <w:t>Annual Rent</w:t>
            </w:r>
          </w:p>
        </w:tc>
        <w:tc>
          <w:tcPr>
            <w:tcW w:w="300" w:type="dxa"/>
            <w:vAlign w:val="bottom"/>
          </w:tcPr>
          <w:p>
            <w:pPr>
              <w:spacing w:after="0"/>
              <w:rPr>
                <w:sz w:val="24"/>
                <w:szCs w:val="24"/>
                <w:color w:val="auto"/>
              </w:rPr>
            </w:pPr>
          </w:p>
        </w:tc>
        <w:tc>
          <w:tcPr>
            <w:tcW w:w="2560" w:type="dxa"/>
            <w:vAlign w:val="bottom"/>
            <w:gridSpan w:val="2"/>
          </w:tcPr>
          <w:p>
            <w:pPr>
              <w:jc w:val="center"/>
              <w:ind w:right="620"/>
              <w:spacing w:after="0"/>
              <w:rPr>
                <w:sz w:val="20"/>
                <w:szCs w:val="20"/>
                <w:color w:val="auto"/>
              </w:rPr>
            </w:pPr>
            <w:r>
              <w:rPr>
                <w:rFonts w:ascii="Times New Roman" w:cs="Times New Roman" w:eastAsia="Times New Roman" w:hAnsi="Times New Roman"/>
                <w:sz w:val="22"/>
                <w:szCs w:val="22"/>
                <w:b w:val="1"/>
                <w:bCs w:val="1"/>
                <w:i w:val="1"/>
                <w:iCs w:val="1"/>
                <w:color w:val="auto"/>
                <w:w w:val="97"/>
              </w:rPr>
              <w:t>Monthly Rent</w:t>
            </w:r>
          </w:p>
        </w:tc>
        <w:tc>
          <w:tcPr>
            <w:tcW w:w="0" w:type="dxa"/>
            <w:vAlign w:val="bottom"/>
          </w:tcPr>
          <w:p>
            <w:pPr>
              <w:spacing w:after="0"/>
              <w:rPr>
                <w:sz w:val="1"/>
                <w:szCs w:val="1"/>
                <w:color w:val="auto"/>
              </w:rPr>
            </w:pPr>
          </w:p>
        </w:tc>
      </w:tr>
      <w:tr>
        <w:trPr>
          <w:trHeight w:val="209"/>
        </w:trPr>
        <w:tc>
          <w:tcPr>
            <w:tcW w:w="3640" w:type="dxa"/>
            <w:vAlign w:val="bottom"/>
            <w:vMerge w:val="continue"/>
          </w:tcPr>
          <w:p>
            <w:pPr>
              <w:spacing w:after="0"/>
              <w:rPr>
                <w:sz w:val="18"/>
                <w:szCs w:val="18"/>
                <w:color w:val="auto"/>
              </w:rPr>
            </w:pPr>
          </w:p>
        </w:tc>
        <w:tc>
          <w:tcPr>
            <w:tcW w:w="206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9"/>
              </w:rPr>
              <w:t>$13.00</w:t>
            </w:r>
          </w:p>
        </w:tc>
        <w:tc>
          <w:tcPr>
            <w:tcW w:w="320" w:type="dxa"/>
            <w:vAlign w:val="bottom"/>
          </w:tcPr>
          <w:p>
            <w:pPr>
              <w:spacing w:after="0"/>
              <w:rPr>
                <w:sz w:val="18"/>
                <w:szCs w:val="18"/>
                <w:color w:val="auto"/>
              </w:rPr>
            </w:pPr>
          </w:p>
        </w:tc>
        <w:tc>
          <w:tcPr>
            <w:tcW w:w="236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$335,608.00</w:t>
            </w:r>
          </w:p>
        </w:tc>
        <w:tc>
          <w:tcPr>
            <w:tcW w:w="300" w:type="dxa"/>
            <w:vAlign w:val="bottom"/>
          </w:tcPr>
          <w:p>
            <w:pPr>
              <w:spacing w:after="0"/>
              <w:rPr>
                <w:sz w:val="18"/>
                <w:szCs w:val="18"/>
                <w:color w:val="auto"/>
              </w:rPr>
            </w:pPr>
          </w:p>
        </w:tc>
        <w:tc>
          <w:tcPr>
            <w:tcW w:w="194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$27,967.33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Months 13-24</w:t>
            </w:r>
          </w:p>
        </w:tc>
        <w:tc>
          <w:tcPr>
            <w:tcW w:w="2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$13.26</w:t>
            </w:r>
          </w:p>
        </w:tc>
        <w:tc>
          <w:tcPr>
            <w:tcW w:w="2680" w:type="dxa"/>
            <w:vAlign w:val="bottom"/>
            <w:gridSpan w:val="2"/>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8"/>
              </w:rPr>
              <w:t>$342,320.16</w:t>
            </w:r>
          </w:p>
        </w:tc>
        <w:tc>
          <w:tcPr>
            <w:tcW w:w="2240" w:type="dxa"/>
            <w:vAlign w:val="bottom"/>
            <w:gridSpan w:val="2"/>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$28,526.68</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Months 25-36</w:t>
            </w:r>
          </w:p>
        </w:tc>
        <w:tc>
          <w:tcPr>
            <w:tcW w:w="2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$13.53</w:t>
            </w:r>
          </w:p>
        </w:tc>
        <w:tc>
          <w:tcPr>
            <w:tcW w:w="2680" w:type="dxa"/>
            <w:vAlign w:val="bottom"/>
            <w:gridSpan w:val="2"/>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8"/>
              </w:rPr>
              <w:t>$349,166.56</w:t>
            </w:r>
          </w:p>
        </w:tc>
        <w:tc>
          <w:tcPr>
            <w:tcW w:w="2240" w:type="dxa"/>
            <w:vAlign w:val="bottom"/>
            <w:gridSpan w:val="2"/>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$29,097.21</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Months 37-48</w:t>
            </w:r>
          </w:p>
        </w:tc>
        <w:tc>
          <w:tcPr>
            <w:tcW w:w="2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$13.80</w:t>
            </w:r>
          </w:p>
        </w:tc>
        <w:tc>
          <w:tcPr>
            <w:tcW w:w="2680" w:type="dxa"/>
            <w:vAlign w:val="bottom"/>
            <w:gridSpan w:val="2"/>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8"/>
              </w:rPr>
              <w:t>$356,149.89</w:t>
            </w:r>
          </w:p>
        </w:tc>
        <w:tc>
          <w:tcPr>
            <w:tcW w:w="2240" w:type="dxa"/>
            <w:vAlign w:val="bottom"/>
            <w:gridSpan w:val="2"/>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$29,679.16</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Months 49-60</w:t>
            </w:r>
          </w:p>
        </w:tc>
        <w:tc>
          <w:tcPr>
            <w:tcW w:w="2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$14.07</w:t>
            </w:r>
          </w:p>
        </w:tc>
        <w:tc>
          <w:tcPr>
            <w:tcW w:w="2680" w:type="dxa"/>
            <w:vAlign w:val="bottom"/>
            <w:gridSpan w:val="2"/>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8"/>
              </w:rPr>
              <w:t>$363,272.89</w:t>
            </w:r>
          </w:p>
        </w:tc>
        <w:tc>
          <w:tcPr>
            <w:tcW w:w="2240" w:type="dxa"/>
            <w:vAlign w:val="bottom"/>
            <w:gridSpan w:val="2"/>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$30,272.74</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Months 61-72</w:t>
            </w:r>
          </w:p>
        </w:tc>
        <w:tc>
          <w:tcPr>
            <w:tcW w:w="2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$14.35</w:t>
            </w:r>
          </w:p>
        </w:tc>
        <w:tc>
          <w:tcPr>
            <w:tcW w:w="2680" w:type="dxa"/>
            <w:vAlign w:val="bottom"/>
            <w:gridSpan w:val="2"/>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8"/>
              </w:rPr>
              <w:t>$370,538.35</w:t>
            </w:r>
          </w:p>
        </w:tc>
        <w:tc>
          <w:tcPr>
            <w:tcW w:w="2240" w:type="dxa"/>
            <w:vAlign w:val="bottom"/>
            <w:gridSpan w:val="2"/>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$30,878.20</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Months 73-84</w:t>
            </w:r>
          </w:p>
        </w:tc>
        <w:tc>
          <w:tcPr>
            <w:tcW w:w="2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$14.64</w:t>
            </w:r>
          </w:p>
        </w:tc>
        <w:tc>
          <w:tcPr>
            <w:tcW w:w="2680" w:type="dxa"/>
            <w:vAlign w:val="bottom"/>
            <w:gridSpan w:val="2"/>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8"/>
              </w:rPr>
              <w:t>$377,949.12</w:t>
            </w:r>
          </w:p>
        </w:tc>
        <w:tc>
          <w:tcPr>
            <w:tcW w:w="2240" w:type="dxa"/>
            <w:vAlign w:val="bottom"/>
            <w:gridSpan w:val="2"/>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$31,495.76</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Months 85-96</w:t>
            </w:r>
          </w:p>
        </w:tc>
        <w:tc>
          <w:tcPr>
            <w:tcW w:w="2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$14.93</w:t>
            </w:r>
          </w:p>
        </w:tc>
        <w:tc>
          <w:tcPr>
            <w:tcW w:w="2680" w:type="dxa"/>
            <w:vAlign w:val="bottom"/>
            <w:gridSpan w:val="2"/>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8"/>
              </w:rPr>
              <w:t>$385,508.10</w:t>
            </w:r>
          </w:p>
        </w:tc>
        <w:tc>
          <w:tcPr>
            <w:tcW w:w="2240" w:type="dxa"/>
            <w:vAlign w:val="bottom"/>
            <w:gridSpan w:val="2"/>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$32,125.67</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Months 97-108</w:t>
            </w:r>
          </w:p>
        </w:tc>
        <w:tc>
          <w:tcPr>
            <w:tcW w:w="2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$15.23</w:t>
            </w:r>
          </w:p>
        </w:tc>
        <w:tc>
          <w:tcPr>
            <w:tcW w:w="2680" w:type="dxa"/>
            <w:vAlign w:val="bottom"/>
            <w:gridSpan w:val="2"/>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8"/>
              </w:rPr>
              <w:t>$393,218.26</w:t>
            </w:r>
          </w:p>
        </w:tc>
        <w:tc>
          <w:tcPr>
            <w:tcW w:w="2240" w:type="dxa"/>
            <w:vAlign w:val="bottom"/>
            <w:gridSpan w:val="2"/>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$32,768.19</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6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Months 109-120</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$15.54</w:t>
            </w:r>
          </w:p>
        </w:tc>
        <w:tc>
          <w:tcPr>
            <w:tcW w:w="268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color w:val="auto"/>
                <w:w w:val="98"/>
              </w:rPr>
              <w:t>$401,082.63</w:t>
            </w:r>
          </w:p>
        </w:tc>
        <w:tc>
          <w:tcPr>
            <w:tcW w:w="2240" w:type="dxa"/>
            <w:vAlign w:val="bottom"/>
            <w:gridSpan w:val="2"/>
          </w:tcPr>
          <w:p>
            <w:pPr>
              <w:jc w:val="center"/>
              <w:ind w:left="192"/>
              <w:spacing w:after="0"/>
              <w:rPr>
                <w:sz w:val="20"/>
                <w:szCs w:val="20"/>
                <w:color w:val="auto"/>
              </w:rPr>
            </w:pPr>
            <w:r>
              <w:rPr>
                <w:rFonts w:ascii="Times New Roman" w:cs="Times New Roman" w:eastAsia="Times New Roman" w:hAnsi="Times New Roman"/>
                <w:sz w:val="22"/>
                <w:szCs w:val="22"/>
                <w:color w:val="auto"/>
                <w:w w:val="98"/>
              </w:rPr>
              <w:t>$33,423.55</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3"/>
        </w:trPr>
        <w:tc>
          <w:tcPr>
            <w:tcW w:w="36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COMMERCIAL LEASE AGREEMENT</w:t>
      </w:r>
    </w:p>
    <w:p>
      <w:pPr>
        <w:spacing w:after="0" w:line="20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THIS FIRST AMENDMENT TO COMMERCIAL LEASE AGREEMENT (hereinafter referred to as the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is made and entered into effective as of the </w:t>
      </w: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day of January, 2016,</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BH GEORGIA PROPERTIES, LLC</w:t>
      </w:r>
      <w:r>
        <w:rPr>
          <w:rFonts w:ascii="Times New Roman" w:cs="Times New Roman" w:eastAsia="Times New Roman" w:hAnsi="Times New Roman"/>
          <w:sz w:val="22"/>
          <w:szCs w:val="22"/>
          <w:color w:val="auto"/>
        </w:rPr>
        <w:t xml:space="preserve"> a Georgia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BAKOTIC PATHOLOGY ASSOCIATES, LLC,</w:t>
      </w:r>
      <w:r>
        <w:rPr>
          <w:rFonts w:ascii="Times New Roman" w:cs="Times New Roman" w:eastAsia="Times New Roman" w:hAnsi="Times New Roman"/>
          <w:sz w:val="22"/>
          <w:szCs w:val="22"/>
          <w:color w:val="auto"/>
        </w:rPr>
        <w:t xml:space="preserve"> a Georgia limited liability company (hereinafter referred to as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WHEREAS, Landlord and Tenant are parties to that certain lease dated as of July 21, 2015,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xml:space="preserve"> pursuant to which Tenant leased certain premises containing 25,816 rentable square feet located at 6240 Shiloh Road, Alpharetta, Georgia 30005;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WHEREAS, Landlord and Tenant desire to further modify and amend the Lease in order to increase the rentable square footage.</w:t>
      </w:r>
    </w:p>
    <w:p>
      <w:pPr>
        <w:spacing w:after="0" w:line="2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the mutual covenants and promises herein contained, and other good and valuable consideration, the receipt and sufficiency of which is hereby acknowledged, the parties hereto agree as follows:</w:t>
      </w:r>
    </w:p>
    <w:p>
      <w:pPr>
        <w:spacing w:after="0" w:line="158" w:lineRule="exact"/>
        <w:rPr>
          <w:sz w:val="20"/>
          <w:szCs w:val="20"/>
          <w:color w:val="auto"/>
        </w:rPr>
      </w:pPr>
    </w:p>
    <w:p>
      <w:pPr>
        <w:ind w:left="1500" w:right="20" w:hanging="690"/>
        <w:spacing w:after="0" w:line="258" w:lineRule="auto"/>
        <w:tabs>
          <w:tab w:leader="none" w:pos="123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 PREMISES: Landlord and Tenant do hereby modify and amend the rentable square footage under the Lease as follows: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-25,816 sq ft is amended to add an additional 3,283 sq ft totaling 29,099 sq ft</w:t>
      </w:r>
    </w:p>
    <w:p>
      <w:pPr>
        <w:spacing w:after="0" w:line="206" w:lineRule="exact"/>
        <w:rPr>
          <w:sz w:val="20"/>
          <w:szCs w:val="20"/>
          <w:color w:val="auto"/>
        </w:rPr>
      </w:pPr>
    </w:p>
    <w:p>
      <w:pPr>
        <w:ind w:left="1500" w:hanging="690"/>
        <w:spacing w:after="0" w:line="258" w:lineRule="auto"/>
        <w:tabs>
          <w:tab w:leader="none" w:pos="123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 – RENTAL: Landlord and Tenant do hereby modify and amend Exhibit “A” adding the additional square feet to the annual rent.</w:t>
      </w:r>
    </w:p>
    <w:p>
      <w:pPr>
        <w:spacing w:after="0" w:line="158" w:lineRule="exact"/>
        <w:rPr>
          <w:rFonts w:ascii="Times New Roman" w:cs="Times New Roman" w:eastAsia="Times New Roman" w:hAnsi="Times New Roman"/>
          <w:sz w:val="22"/>
          <w:szCs w:val="22"/>
          <w:color w:val="auto"/>
        </w:rPr>
      </w:pPr>
    </w:p>
    <w:p>
      <w:pPr>
        <w:ind w:left="1500" w:right="20" w:hanging="690"/>
        <w:spacing w:after="0" w:line="258" w:lineRule="auto"/>
        <w:tabs>
          <w:tab w:leader="none" w:pos="123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First Amendment, unless otherwise expressly provided herein, all terms and conditions of the Lease remain in force.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1232535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Landlord and Tenant have hereunto set their hands as of the date first written above.</w:t>
      </w:r>
    </w:p>
    <w:p>
      <w:pPr>
        <w:sectPr>
          <w:pgSz w:w="11900" w:h="16838" w:orient="portrait"/>
          <w:cols w:equalWidth="0" w:num="1">
            <w:col w:w="10059"/>
          </w:cols>
          <w:pgMar w:left="400" w:top="1440" w:right="1440" w:bottom="1440" w:gutter="0" w:footer="0" w:header="0"/>
        </w:sectPr>
      </w:pPr>
    </w:p>
    <w:p>
      <w:pPr>
        <w:spacing w:after="0" w:line="2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u w:val="single" w:color="auto"/>
          <w:color w:val="auto"/>
        </w:rPr>
        <w:t>LANDLORD:</w:t>
      </w:r>
    </w:p>
    <w:p>
      <w:pPr>
        <w:spacing w:after="0" w:line="2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BH GEORGIA PROPERTIES, LLC,</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 Georgia limited liability company</w:t>
      </w:r>
    </w:p>
    <w:p>
      <w:pPr>
        <w:spacing w:after="0" w:line="3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i w:val="1"/>
          <w:iCs w:val="1"/>
          <w:color w:val="auto"/>
        </w:rPr>
        <w:t>Bradley W. Bakotic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-11430</wp:posOffset>
            </wp:positionV>
            <wp:extent cx="13716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2"/>
          <w:szCs w:val="22"/>
          <w:color w:val="auto"/>
        </w:rPr>
        <w:t>Name: Bradley W. Bakotic</w:t>
      </w:r>
    </w:p>
    <w:p>
      <w:pPr>
        <w:ind w:left="4420"/>
        <w:spacing w:after="0"/>
        <w:rPr>
          <w:sz w:val="20"/>
          <w:szCs w:val="20"/>
          <w:color w:val="auto"/>
        </w:rPr>
      </w:pPr>
      <w:r>
        <w:rPr>
          <w:rFonts w:ascii="Times New Roman" w:cs="Times New Roman" w:eastAsia="Times New Roman" w:hAnsi="Times New Roman"/>
          <w:sz w:val="22"/>
          <w:szCs w:val="22"/>
          <w:color w:val="auto"/>
        </w:rPr>
        <w:t>Title: CEO</w:t>
      </w:r>
    </w:p>
    <w:p>
      <w:pPr>
        <w:spacing w:after="0" w:line="39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u w:val="single" w:color="auto"/>
          <w:color w:val="auto"/>
        </w:rPr>
        <w:t>TENANT:</w:t>
      </w:r>
    </w:p>
    <w:p>
      <w:pPr>
        <w:spacing w:after="0" w:line="2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BAKOTIC PATHOLOGY ASSOCIATES, LLC,</w:t>
      </w:r>
    </w:p>
    <w:p>
      <w:pPr>
        <w:spacing w:after="0" w:line="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 Georgia limited liability company</w:t>
      </w:r>
    </w:p>
    <w:p>
      <w:pPr>
        <w:spacing w:after="0" w:line="3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i w:val="1"/>
          <w:iCs w:val="1"/>
          <w:color w:val="auto"/>
        </w:rPr>
        <w:t>Scott Bakotic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-11430</wp:posOffset>
            </wp:positionV>
            <wp:extent cx="10972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2"/>
          <w:szCs w:val="22"/>
          <w:color w:val="auto"/>
        </w:rPr>
        <w:t>Name: Scott Bakotic</w:t>
      </w:r>
    </w:p>
    <w:p>
      <w:pPr>
        <w:ind w:left="4420"/>
        <w:spacing w:after="0"/>
        <w:rPr>
          <w:sz w:val="20"/>
          <w:szCs w:val="20"/>
          <w:color w:val="auto"/>
        </w:rPr>
      </w:pPr>
      <w:r>
        <w:rPr>
          <w:rFonts w:ascii="Times New Roman" w:cs="Times New Roman" w:eastAsia="Times New Roman" w:hAnsi="Times New Roman"/>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1011555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type w:val="continuous"/>
        </w:sectPr>
      </w:pPr>
    </w:p>
    <w:bookmarkStart w:id="58" w:name="page59"/>
    <w:bookmarkEnd w:id="58"/>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1/11/2016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1.  Base Rental on 29,099 Sq Ft:</w:t>
            </w: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3"/>
        </w:trPr>
        <w:tc>
          <w:tcPr>
            <w:tcW w:w="3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Months 1-12</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Rate PSF</w:t>
            </w:r>
          </w:p>
        </w:tc>
        <w:tc>
          <w:tcPr>
            <w:tcW w:w="540" w:type="dxa"/>
            <w:vAlign w:val="bottom"/>
          </w:tcPr>
          <w:p>
            <w:pPr>
              <w:spacing w:after="0"/>
              <w:rPr>
                <w:sz w:val="24"/>
                <w:szCs w:val="24"/>
                <w:color w:val="auto"/>
              </w:rPr>
            </w:pPr>
          </w:p>
        </w:tc>
        <w:tc>
          <w:tcPr>
            <w:tcW w:w="22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i w:val="1"/>
                <w:iCs w:val="1"/>
                <w:color w:val="auto"/>
              </w:rPr>
              <w:t>Annual Rent</w:t>
            </w:r>
          </w:p>
        </w:tc>
        <w:tc>
          <w:tcPr>
            <w:tcW w:w="660" w:type="dxa"/>
            <w:vAlign w:val="bottom"/>
          </w:tcPr>
          <w:p>
            <w:pPr>
              <w:spacing w:after="0"/>
              <w:rPr>
                <w:sz w:val="24"/>
                <w:szCs w:val="24"/>
                <w:color w:val="auto"/>
              </w:rPr>
            </w:pPr>
          </w:p>
        </w:tc>
        <w:tc>
          <w:tcPr>
            <w:tcW w:w="26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2"/>
                <w:szCs w:val="22"/>
                <w:i w:val="1"/>
                <w:iCs w:val="1"/>
                <w:color w:val="auto"/>
              </w:rPr>
              <w:t>Monthly Rent</w:t>
            </w:r>
          </w:p>
        </w:tc>
        <w:tc>
          <w:tcPr>
            <w:tcW w:w="0" w:type="dxa"/>
            <w:vAlign w:val="bottom"/>
          </w:tcPr>
          <w:p>
            <w:pPr>
              <w:spacing w:after="0"/>
              <w:rPr>
                <w:sz w:val="1"/>
                <w:szCs w:val="1"/>
                <w:color w:val="auto"/>
              </w:rPr>
            </w:pPr>
          </w:p>
        </w:tc>
      </w:tr>
      <w:tr>
        <w:trPr>
          <w:trHeight w:val="276"/>
        </w:trPr>
        <w:tc>
          <w:tcPr>
            <w:tcW w:w="3040" w:type="dxa"/>
            <w:vAlign w:val="bottom"/>
            <w:vMerge w:val="continue"/>
          </w:tcPr>
          <w:p>
            <w:pPr>
              <w:spacing w:after="0"/>
              <w:rPr>
                <w:sz w:val="23"/>
                <w:szCs w:val="2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$13.00</w:t>
            </w:r>
          </w:p>
        </w:tc>
        <w:tc>
          <w:tcPr>
            <w:tcW w:w="540" w:type="dxa"/>
            <w:vAlign w:val="bottom"/>
          </w:tcPr>
          <w:p>
            <w:pPr>
              <w:spacing w:after="0"/>
              <w:rPr>
                <w:sz w:val="23"/>
                <w:szCs w:val="23"/>
                <w:color w:val="auto"/>
              </w:rPr>
            </w:pPr>
          </w:p>
        </w:tc>
        <w:tc>
          <w:tcPr>
            <w:tcW w:w="226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$378,287.00</w:t>
            </w:r>
          </w:p>
        </w:tc>
        <w:tc>
          <w:tcPr>
            <w:tcW w:w="660" w:type="dxa"/>
            <w:vAlign w:val="bottom"/>
          </w:tcPr>
          <w:p>
            <w:pPr>
              <w:spacing w:after="0"/>
              <w:rPr>
                <w:sz w:val="23"/>
                <w:szCs w:val="23"/>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$31,523.92**</w:t>
            </w:r>
          </w:p>
        </w:tc>
        <w:tc>
          <w:tcPr>
            <w:tcW w:w="0" w:type="dxa"/>
            <w:vAlign w:val="bottom"/>
          </w:tcPr>
          <w:p>
            <w:pPr>
              <w:spacing w:after="0"/>
              <w:rPr>
                <w:sz w:val="1"/>
                <w:szCs w:val="1"/>
                <w:color w:val="auto"/>
              </w:rPr>
            </w:pPr>
          </w:p>
        </w:tc>
      </w:tr>
      <w:tr>
        <w:trPr>
          <w:trHeight w:val="432"/>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Months 13-24</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$13.26</w:t>
            </w: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$385,852.74</w:t>
            </w:r>
          </w:p>
        </w:tc>
        <w:tc>
          <w:tcPr>
            <w:tcW w:w="334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8"/>
              </w:rPr>
              <w:t>$32,154.40</w:t>
            </w:r>
          </w:p>
        </w:tc>
        <w:tc>
          <w:tcPr>
            <w:tcW w:w="0" w:type="dxa"/>
            <w:vAlign w:val="bottom"/>
          </w:tcPr>
          <w:p>
            <w:pPr>
              <w:spacing w:after="0"/>
              <w:rPr>
                <w:sz w:val="1"/>
                <w:szCs w:val="1"/>
                <w:color w:val="auto"/>
              </w:rPr>
            </w:pPr>
          </w:p>
        </w:tc>
      </w:tr>
      <w:tr>
        <w:trPr>
          <w:trHeight w:val="459"/>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Months 25-36</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$13.53</w:t>
            </w: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$393,569.79</w:t>
            </w:r>
          </w:p>
        </w:tc>
        <w:tc>
          <w:tcPr>
            <w:tcW w:w="334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8"/>
              </w:rPr>
              <w:t>$32,797.48</w:t>
            </w:r>
          </w:p>
        </w:tc>
        <w:tc>
          <w:tcPr>
            <w:tcW w:w="0" w:type="dxa"/>
            <w:vAlign w:val="bottom"/>
          </w:tcPr>
          <w:p>
            <w:pPr>
              <w:spacing w:after="0"/>
              <w:rPr>
                <w:sz w:val="1"/>
                <w:szCs w:val="1"/>
                <w:color w:val="auto"/>
              </w:rPr>
            </w:pPr>
          </w:p>
        </w:tc>
      </w:tr>
      <w:tr>
        <w:trPr>
          <w:trHeight w:val="459"/>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Months 37-48</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$13.80</w:t>
            </w: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$401,441.19</w:t>
            </w:r>
          </w:p>
        </w:tc>
        <w:tc>
          <w:tcPr>
            <w:tcW w:w="334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8"/>
              </w:rPr>
              <w:t>$33,453.43</w:t>
            </w:r>
          </w:p>
        </w:tc>
        <w:tc>
          <w:tcPr>
            <w:tcW w:w="0" w:type="dxa"/>
            <w:vAlign w:val="bottom"/>
          </w:tcPr>
          <w:p>
            <w:pPr>
              <w:spacing w:after="0"/>
              <w:rPr>
                <w:sz w:val="1"/>
                <w:szCs w:val="1"/>
                <w:color w:val="auto"/>
              </w:rPr>
            </w:pPr>
          </w:p>
        </w:tc>
      </w:tr>
      <w:tr>
        <w:trPr>
          <w:trHeight w:val="459"/>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Months 49-60</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$14.07</w:t>
            </w: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$409,470.01</w:t>
            </w:r>
          </w:p>
        </w:tc>
        <w:tc>
          <w:tcPr>
            <w:tcW w:w="334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8"/>
              </w:rPr>
              <w:t>$34,122.50</w:t>
            </w:r>
          </w:p>
        </w:tc>
        <w:tc>
          <w:tcPr>
            <w:tcW w:w="0" w:type="dxa"/>
            <w:vAlign w:val="bottom"/>
          </w:tcPr>
          <w:p>
            <w:pPr>
              <w:spacing w:after="0"/>
              <w:rPr>
                <w:sz w:val="1"/>
                <w:szCs w:val="1"/>
                <w:color w:val="auto"/>
              </w:rPr>
            </w:pPr>
          </w:p>
        </w:tc>
      </w:tr>
      <w:tr>
        <w:trPr>
          <w:trHeight w:val="459"/>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Months 61-72</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$14.35</w:t>
            </w: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$417,659.41</w:t>
            </w:r>
          </w:p>
        </w:tc>
        <w:tc>
          <w:tcPr>
            <w:tcW w:w="334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8"/>
              </w:rPr>
              <w:t>$34,804.95</w:t>
            </w:r>
          </w:p>
        </w:tc>
        <w:tc>
          <w:tcPr>
            <w:tcW w:w="0" w:type="dxa"/>
            <w:vAlign w:val="bottom"/>
          </w:tcPr>
          <w:p>
            <w:pPr>
              <w:spacing w:after="0"/>
              <w:rPr>
                <w:sz w:val="1"/>
                <w:szCs w:val="1"/>
                <w:color w:val="auto"/>
              </w:rPr>
            </w:pPr>
          </w:p>
        </w:tc>
      </w:tr>
      <w:tr>
        <w:trPr>
          <w:trHeight w:val="459"/>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Months 73-84</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$14.64</w:t>
            </w: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$426,012.60</w:t>
            </w:r>
          </w:p>
        </w:tc>
        <w:tc>
          <w:tcPr>
            <w:tcW w:w="334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8"/>
              </w:rPr>
              <w:t>$35,501.05</w:t>
            </w:r>
          </w:p>
        </w:tc>
        <w:tc>
          <w:tcPr>
            <w:tcW w:w="0" w:type="dxa"/>
            <w:vAlign w:val="bottom"/>
          </w:tcPr>
          <w:p>
            <w:pPr>
              <w:spacing w:after="0"/>
              <w:rPr>
                <w:sz w:val="1"/>
                <w:szCs w:val="1"/>
                <w:color w:val="auto"/>
              </w:rPr>
            </w:pPr>
          </w:p>
        </w:tc>
      </w:tr>
      <w:tr>
        <w:trPr>
          <w:trHeight w:val="459"/>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Months 85-96</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$14.93</w:t>
            </w: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$434,532.86</w:t>
            </w:r>
          </w:p>
        </w:tc>
        <w:tc>
          <w:tcPr>
            <w:tcW w:w="334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8"/>
              </w:rPr>
              <w:t>$36,211.07</w:t>
            </w:r>
          </w:p>
        </w:tc>
        <w:tc>
          <w:tcPr>
            <w:tcW w:w="0" w:type="dxa"/>
            <w:vAlign w:val="bottom"/>
          </w:tcPr>
          <w:p>
            <w:pPr>
              <w:spacing w:after="0"/>
              <w:rPr>
                <w:sz w:val="1"/>
                <w:szCs w:val="1"/>
                <w:color w:val="auto"/>
              </w:rPr>
            </w:pPr>
          </w:p>
        </w:tc>
      </w:tr>
      <w:tr>
        <w:trPr>
          <w:trHeight w:val="459"/>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Months 97-108</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$15.23</w:t>
            </w: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$443,223.51</w:t>
            </w:r>
          </w:p>
        </w:tc>
        <w:tc>
          <w:tcPr>
            <w:tcW w:w="334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8"/>
              </w:rPr>
              <w:t>$36,935.29</w:t>
            </w:r>
          </w:p>
        </w:tc>
        <w:tc>
          <w:tcPr>
            <w:tcW w:w="0" w:type="dxa"/>
            <w:vAlign w:val="bottom"/>
          </w:tcPr>
          <w:p>
            <w:pPr>
              <w:spacing w:after="0"/>
              <w:rPr>
                <w:sz w:val="1"/>
                <w:szCs w:val="1"/>
                <w:color w:val="auto"/>
              </w:rPr>
            </w:pPr>
          </w:p>
        </w:tc>
      </w:tr>
      <w:tr>
        <w:trPr>
          <w:trHeight w:val="459"/>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Months 109-120</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$15.54</w:t>
            </w: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$452,087.98</w:t>
            </w:r>
          </w:p>
        </w:tc>
        <w:tc>
          <w:tcPr>
            <w:tcW w:w="334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color w:val="auto"/>
                <w:w w:val="98"/>
              </w:rPr>
              <w:t>$37,674.00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60" w:right="4440" w:hanging="752"/>
        <w:spacing w:after="0" w:line="244" w:lineRule="auto"/>
        <w:tabs>
          <w:tab w:leader="none" w:pos="44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January shall be prorated for 21 days. Tenant moved in January 11, 2016. (3,283 X $13.00 = $3,556.58 / 31 = $114.73 X 21 = $2,409.33) January Rent shall be $30,376.66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LEASE</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SECOND AMENDMENT TO LEASE </w:t>
      </w:r>
      <w:r>
        <w:rPr>
          <w:rFonts w:ascii="Times New Roman" w:cs="Times New Roman" w:eastAsia="Times New Roman" w:hAnsi="Times New Roman"/>
          <w:sz w:val="22"/>
          <w:szCs w:val="22"/>
          <w:color w:val="auto"/>
        </w:rPr>
        <w:t>(this “Second Amendment”) is made and entered into as of the 23rd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September, 2024 (the “Effective Date”), by and between </w:t>
      </w:r>
      <w:r>
        <w:rPr>
          <w:rFonts w:ascii="Times New Roman" w:cs="Times New Roman" w:eastAsia="Times New Roman" w:hAnsi="Times New Roman"/>
          <w:sz w:val="22"/>
          <w:szCs w:val="22"/>
          <w:b w:val="1"/>
          <w:bCs w:val="1"/>
          <w:color w:val="auto"/>
        </w:rPr>
        <w:t>GREENLEAF INVESTMENT PARTNERS L060, LLC</w:t>
      </w:r>
      <w:r>
        <w:rPr>
          <w:rFonts w:ascii="Times New Roman" w:cs="Times New Roman" w:eastAsia="Times New Roman" w:hAnsi="Times New Roman"/>
          <w:sz w:val="22"/>
          <w:szCs w:val="22"/>
          <w:color w:val="auto"/>
        </w:rPr>
        <w:t xml:space="preserve"> (“Landlord”), a Delaware company, and </w:t>
      </w:r>
      <w:r>
        <w:rPr>
          <w:rFonts w:ascii="Times New Roman" w:cs="Times New Roman" w:eastAsia="Times New Roman" w:hAnsi="Times New Roman"/>
          <w:sz w:val="22"/>
          <w:szCs w:val="22"/>
          <w:b w:val="1"/>
          <w:bCs w:val="1"/>
          <w:color w:val="auto"/>
        </w:rPr>
        <w:t>BAKOTIC PATHOLOGY ASSOCIATES, LLC</w:t>
      </w:r>
      <w:r>
        <w:rPr>
          <w:rFonts w:ascii="Times New Roman" w:cs="Times New Roman" w:eastAsia="Times New Roman" w:hAnsi="Times New Roman"/>
          <w:sz w:val="22"/>
          <w:szCs w:val="22"/>
          <w:color w:val="auto"/>
        </w:rPr>
        <w:t xml:space="preserve"> (“Tenant”).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WITNESSETHTHAT: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Landlord and Tenant are parties to that certain Commercial Lease Agreement, dated July 21, 2015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Lease”), as amended by that certain First Amendment to Commercial Lease Agreement dated January 11, 2016 (the “First Amendment”), and Landlord, as successor in interest to BH Georgia Properties, (“Original Landlord”), currently leases to Tenant the Premises consisting of 29,099 square feet (the “Premises”) located at 6240 Shiloh Rd. Alpharetta, GA 30005 (“Property”). The Original Lease, as amended by the First Amendment, shall hereinafter be collectively referred to as the “Lease”; and</w:t>
      </w:r>
    </w:p>
    <w:p>
      <w:pPr>
        <w:spacing w:after="0" w:line="17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Landlord and Tenant desire to amend the Lease commencing on August 1, 2025. Tenant and Landlord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 to renew the Lease for a term of eighty-four (84) months commencing on August 1, 2025 and terminating on July 31, 2032</w:t>
      </w:r>
    </w:p>
    <w:p>
      <w:pPr>
        <w:spacing w:after="0" w:line="12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all capitalized terms used, but not otherwise defined, herein shall have the meaning(s) ascribed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in the Lease.</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adequacy and sufficiency of which are hereby acknowledged, the Lease is hereby amended, and the parties hereto do hereby agree as follows:</w:t>
      </w:r>
    </w:p>
    <w:p>
      <w:pPr>
        <w:spacing w:after="0" w:line="171" w:lineRule="exact"/>
        <w:rPr>
          <w:sz w:val="20"/>
          <w:szCs w:val="20"/>
          <w:color w:val="auto"/>
        </w:rPr>
      </w:pPr>
    </w:p>
    <w:p>
      <w:pPr>
        <w:ind w:left="1180" w:hanging="423"/>
        <w:spacing w:after="0"/>
        <w:tabs>
          <w:tab w:leader="none" w:pos="11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conflict between the Lease and this Second Amendment, the terms of this Second Amendment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control.</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Lease, as previously amended, and as amended herein, shall continue with the renewal of the lease of the Premises, commencing on August 1, 2025 and expiring at the end of eighty-four (84) months, which is July 31, 2032 (hereinafter “Renewal Term”).</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to pay Landlord as monthly base rate $15.54 per RSF during the Renewal Term, subject to escalate at two percent (2.0%) per annum on the anniversary date. Base rates for the term are as shown in Exhibit “A” of this Second Amendment.</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9 of the Lease is hereby amended so that the amount of taxes on the Premises payable by Tenant as additional rent shall be the amount by which all taxes (as defined in the Lease) on the Premises for each tax year exceed all taxes on the Premises for the tax year 2025. Paragraph 9 of the Lease is hereby further amended to provide that the Tenant’s pro rata share of the excess cost of fire and extended coverage insurance, including any and all public liability insurance, shall be the extent to which said insurance costs exceed the costs for the first year of the Renewal Term for each subsequent year during the Renewal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77" w:lineRule="exact"/>
        <w:rPr>
          <w:sz w:val="20"/>
          <w:szCs w:val="20"/>
          <w:color w:val="auto"/>
        </w:rPr>
      </w:pPr>
    </w:p>
    <w:p>
      <w:pPr>
        <w:jc w:val="both"/>
        <w:ind w:left="-757" w:firstLine="757"/>
        <w:spacing w:after="0" w:line="238" w:lineRule="auto"/>
        <w:tabs>
          <w:tab w:leader="none" w:pos="4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10 is hereby amended by replacing the first sentence with the following: Except to the extent caused by the negligence or willful misconduct of the other party, both Landlord and Tenant hereby waive all claims against the other party and release the other party for any injury to or death of persons, damages to property or business loss in any manner related to Force Majeure. Paragraph 10 is further amended such that the indemnity obligations of the Landlord shall apply to any acts or omission of the Landlord on the “Premises” and any common areas.</w:t>
      </w:r>
    </w:p>
    <w:p>
      <w:pPr>
        <w:spacing w:after="0" w:line="176" w:lineRule="exact"/>
        <w:rPr>
          <w:rFonts w:ascii="Times New Roman" w:cs="Times New Roman" w:eastAsia="Times New Roman" w:hAnsi="Times New Roman"/>
          <w:sz w:val="22"/>
          <w:szCs w:val="22"/>
          <w:color w:val="auto"/>
        </w:rPr>
      </w:pPr>
    </w:p>
    <w:p>
      <w:pPr>
        <w:jc w:val="both"/>
        <w:ind w:left="-757" w:firstLine="757"/>
        <w:spacing w:after="0" w:line="235" w:lineRule="auto"/>
        <w:tabs>
          <w:tab w:leader="none" w:pos="4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at its sole cost and expense (i.e., not as part of any Additional Rent and/or Operating Expenses), will be responsible for all capital improvement expenses incurred at the Property (throughout the initial term of the Lease and the Renewal Term) as outlined in Exhibit “B” of this Second Amendment. Landlord will be responsible for making the capital improvements outlined in Exhibit “B” within a reasonable time, taking into account the availability of the contractor and or the supplies and equipment needed, after the Commencement Date of this Second Amendment, but in no event later than August 1, 2025, and for the modernization of the elevator within a reasonable time, taking into account the availability of the contractor and or the supplies and equipment needed, after the Commencement Date of this Second Amendment.</w:t>
      </w:r>
    </w:p>
    <w:p>
      <w:pPr>
        <w:spacing w:after="0" w:line="183" w:lineRule="exact"/>
        <w:rPr>
          <w:rFonts w:ascii="Times New Roman" w:cs="Times New Roman" w:eastAsia="Times New Roman" w:hAnsi="Times New Roman"/>
          <w:sz w:val="22"/>
          <w:szCs w:val="22"/>
          <w:color w:val="auto"/>
        </w:rPr>
      </w:pPr>
    </w:p>
    <w:p>
      <w:pPr>
        <w:jc w:val="both"/>
        <w:ind w:left="-757" w:firstLine="757"/>
        <w:spacing w:after="0" w:line="234" w:lineRule="auto"/>
        <w:tabs>
          <w:tab w:leader="none" w:pos="4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13 of the Lease is hereby amended to provide that the exclusionary language in the second line of Paragraph 13 for exterior glass and doors, is deleted such that Landlord is responsible for the repair and maintenance of exterior glass and doors. Paragraph 14 of the Lease is hereby further amended to provide that the failure of the Landlord to make necessary repairs and capital improvements as required by the Lease and this Second Amendment shall, at the election of Tenant, be considered an event of default. Tenant agrees to give Landlord written notice of any such default on the part of Landlord. If Landlord fails to cure the default within thirty (30) days after receipt of written notice from Tenant specifying the default, Tenant shall have the right, but not the obligation, to make the necessary repairs. Tenant may then deduct the reasonable cost of such repairs from the next installment(s) of Base Rent due, provided that Tenant submits to Landlord detailed invoices or receipts evidencing the costs incurred.</w:t>
      </w:r>
    </w:p>
    <w:p>
      <w:pPr>
        <w:spacing w:after="0" w:line="183" w:lineRule="exact"/>
        <w:rPr>
          <w:rFonts w:ascii="Times New Roman" w:cs="Times New Roman" w:eastAsia="Times New Roman" w:hAnsi="Times New Roman"/>
          <w:sz w:val="22"/>
          <w:szCs w:val="22"/>
          <w:color w:val="auto"/>
        </w:rPr>
      </w:pPr>
    </w:p>
    <w:p>
      <w:pPr>
        <w:ind w:left="-757" w:right="20" w:firstLine="757"/>
        <w:spacing w:after="0" w:line="258" w:lineRule="auto"/>
        <w:tabs>
          <w:tab w:leader="none" w:pos="4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Paragraphs 15 and 16 of the Lease are hereby amended such that the terms “damage” or “material damage” with regard to Tenant’s obligation to return the building to Landlord shall not include normal wear and tear.</w:t>
      </w:r>
    </w:p>
    <w:p>
      <w:pPr>
        <w:spacing w:after="0" w:line="158"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24 is hereby amended to delete the reference to “Landlord’s adjoin property”.</w:t>
      </w:r>
    </w:p>
    <w:p>
      <w:pPr>
        <w:spacing w:after="0" w:line="206" w:lineRule="exact"/>
        <w:rPr>
          <w:rFonts w:ascii="Times New Roman" w:cs="Times New Roman" w:eastAsia="Times New Roman" w:hAnsi="Times New Roman"/>
          <w:sz w:val="22"/>
          <w:szCs w:val="22"/>
          <w:color w:val="auto"/>
        </w:rPr>
      </w:pPr>
    </w:p>
    <w:p>
      <w:pPr>
        <w:jc w:val="both"/>
        <w:ind w:left="-757" w:firstLine="757"/>
        <w:spacing w:after="0" w:line="235" w:lineRule="auto"/>
        <w:tabs>
          <w:tab w:leader="none" w:pos="4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continuous right to terminate this Lease at any time after the end of the 24th month of the Renewal Term in the event of a merger, acquisition, or similar corporate restructuring, that results in a change of control or ownership of either Tenant or any entity with a majority ownership interest in Tenant. Termination will require Tenant to provide the Landlord six (6) months written notice to terminate. Upon termination and payment of the fee, the Tenant must vacate and surrender the Premises in the required condition, with no further obligations except those that explicitly survive termination. The termination fee shall be seven (7) months of rent based on the monthly rental rate at the time Tenant provides Landlord with written notice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1012825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61" w:name="page62"/>
    <w:bookmarkEnd w:id="61"/>
    <w:p>
      <w:pPr>
        <w:spacing w:after="0" w:line="77" w:lineRule="exact"/>
        <w:rPr>
          <w:sz w:val="20"/>
          <w:szCs w:val="20"/>
          <w:color w:val="auto"/>
        </w:rPr>
      </w:pPr>
    </w:p>
    <w:p>
      <w:pPr>
        <w:jc w:val="both"/>
        <w:ind w:firstLine="757"/>
        <w:spacing w:after="0" w:line="238" w:lineRule="auto"/>
        <w:tabs>
          <w:tab w:leader="none" w:pos="119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demand or other communication to be provided hereunder to a party hereto shall be (a) in writing; (b) deemed to have been given (i) five (5) business days after being sent in the United States Mail, postage prepaid, (ii) one (1) business day after being sent by nationally recognized overnight courier for overnight delivery, or (iii) immediately upon its actual delivery; and (c) addressed to Tenant at the address set forth in the Lease or to Landlord at the address set forth below, or such other place as Landlord or Tenant may specify in writing to the other upon at least ten (10) days prior notice:</w:t>
      </w:r>
    </w:p>
    <w:p>
      <w:pPr>
        <w:spacing w:after="0" w:line="177"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Landlord &amp; Payments:</w:t>
      </w:r>
      <w:r>
        <w:rPr>
          <w:sz w:val="20"/>
          <w:szCs w:val="20"/>
          <w:color w:val="auto"/>
        </w:rPr>
        <w:tab/>
      </w:r>
      <w:r>
        <w:rPr>
          <w:rFonts w:ascii="Times New Roman" w:cs="Times New Roman" w:eastAsia="Times New Roman" w:hAnsi="Times New Roman"/>
          <w:sz w:val="21"/>
          <w:szCs w:val="21"/>
          <w:color w:val="auto"/>
        </w:rPr>
        <w:t>Greenleaf Management, LLC</w:t>
      </w:r>
    </w:p>
    <w:tbl>
      <w:tblPr>
        <w:tblLayout w:type="fixed"/>
        <w:tblInd w:w="760" w:type="dxa"/>
        <w:tblCellMar>
          <w:top w:w="0" w:type="dxa"/>
          <w:left w:w="0" w:type="dxa"/>
          <w:bottom w:w="0" w:type="dxa"/>
          <w:right w:w="0" w:type="dxa"/>
        </w:tblCellMar>
      </w:tblPr>
      <w:tr>
        <w:trPr>
          <w:trHeight w:val="233"/>
        </w:trPr>
        <w:tc>
          <w:tcPr>
            <w:tcW w:w="19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Landlord’s Address:</w:t>
            </w:r>
          </w:p>
        </w:tc>
        <w:tc>
          <w:tcPr>
            <w:tcW w:w="3980" w:type="dxa"/>
            <w:vAlign w:val="bottom"/>
          </w:tcPr>
          <w:p>
            <w:pPr>
              <w:ind w:left="660"/>
              <w:spacing w:after="0" w:line="233" w:lineRule="exact"/>
              <w:rPr>
                <w:sz w:val="20"/>
                <w:szCs w:val="20"/>
                <w:color w:val="auto"/>
              </w:rPr>
            </w:pPr>
            <w:r>
              <w:rPr>
                <w:rFonts w:ascii="Times New Roman" w:cs="Times New Roman" w:eastAsia="Times New Roman" w:hAnsi="Times New Roman"/>
                <w:sz w:val="22"/>
                <w:szCs w:val="22"/>
                <w:color w:val="auto"/>
                <w:w w:val="97"/>
              </w:rPr>
              <w:t>3081 Holcomb Bridge Road, Suite A2</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39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Norcross, GA 30071</w:t>
            </w:r>
          </w:p>
        </w:tc>
        <w:tc>
          <w:tcPr>
            <w:tcW w:w="0" w:type="dxa"/>
            <w:vAlign w:val="bottom"/>
          </w:tcPr>
          <w:p>
            <w:pPr>
              <w:spacing w:after="0"/>
              <w:rPr>
                <w:sz w:val="1"/>
                <w:szCs w:val="1"/>
                <w:color w:val="auto"/>
              </w:rPr>
            </w:pPr>
          </w:p>
        </w:tc>
      </w:tr>
      <w:tr>
        <w:trPr>
          <w:trHeight w:val="251"/>
        </w:trPr>
        <w:tc>
          <w:tcPr>
            <w:tcW w:w="1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Landlord’s Email:</w:t>
            </w:r>
          </w:p>
        </w:tc>
        <w:tc>
          <w:tcPr>
            <w:tcW w:w="3980" w:type="dxa"/>
            <w:vAlign w:val="bottom"/>
          </w:tcPr>
          <w:p>
            <w:pPr>
              <w:ind w:left="1080"/>
              <w:spacing w:after="0" w:line="251" w:lineRule="exact"/>
              <w:rPr>
                <w:sz w:val="20"/>
                <w:szCs w:val="20"/>
                <w:color w:val="auto"/>
              </w:rPr>
            </w:pPr>
            <w:r>
              <w:rPr>
                <w:rFonts w:ascii="Times New Roman" w:cs="Times New Roman" w:eastAsia="Times New Roman" w:hAnsi="Times New Roman"/>
                <w:sz w:val="22"/>
                <w:szCs w:val="22"/>
                <w:color w:val="auto"/>
              </w:rPr>
              <w:t>Attn: Bako</w:t>
            </w:r>
          </w:p>
        </w:tc>
        <w:tc>
          <w:tcPr>
            <w:tcW w:w="0" w:type="dxa"/>
            <w:vAlign w:val="bottom"/>
          </w:tcPr>
          <w:p>
            <w:pPr>
              <w:spacing w:after="0"/>
              <w:rPr>
                <w:sz w:val="1"/>
                <w:szCs w:val="1"/>
                <w:color w:val="auto"/>
              </w:rPr>
            </w:pPr>
          </w:p>
        </w:tc>
      </w:tr>
      <w:tr>
        <w:trPr>
          <w:trHeight w:val="274"/>
        </w:trPr>
        <w:tc>
          <w:tcPr>
            <w:tcW w:w="1920" w:type="dxa"/>
            <w:vAlign w:val="bottom"/>
            <w:vMerge w:val="continue"/>
          </w:tcPr>
          <w:p>
            <w:pPr>
              <w:spacing w:after="0"/>
              <w:rPr>
                <w:sz w:val="23"/>
                <w:szCs w:val="23"/>
                <w:color w:val="auto"/>
              </w:rPr>
            </w:pPr>
          </w:p>
        </w:tc>
        <w:tc>
          <w:tcPr>
            <w:tcW w:w="3980" w:type="dxa"/>
            <w:vAlign w:val="bottom"/>
          </w:tcPr>
          <w:p>
            <w:pPr>
              <w:jc w:val="right"/>
              <w:ind w:right="3273"/>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757"/>
        <w:spacing w:after="0" w:line="239" w:lineRule="auto"/>
        <w:tabs>
          <w:tab w:leader="none" w:pos="11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Multiple Counterparts.</w:t>
      </w:r>
      <w:r>
        <w:rPr>
          <w:rFonts w:ascii="Times New Roman" w:cs="Times New Roman" w:eastAsia="Times New Roman" w:hAnsi="Times New Roman"/>
          <w:sz w:val="22"/>
          <w:szCs w:val="22"/>
          <w:color w:val="auto"/>
        </w:rPr>
        <w:t xml:space="preserve"> This Second Amendment may be executed in two or more counterparts, each of which is to be deemed an original for all purposes, but all of which together shall constitute one and the same instrument. Furthermore, the parties agree that this Second Amendment may be executed and transmitted between them by electronic mail and that those signatures shall have the effect of original signatures relative to this Second Amendment.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9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xml:space="preserve"> Tenant represents and warrants to Landlord that (i) NAI Brannen Goddard has represented the Tenant in connection with the extension of the term of this Lease, and the negotiation of this Second Amendment, (ii) No other agent has represented Tenant in connection with the extension of the term of the Lease and/or negotiation of this Second Amendment, (iii) other than NAI Brannen Goddard, no broker agent, commission salesperson, or other persons has represented Tenant in connection with the extension of the term of the Lease, and/or the negotiation of this Second Amendment, and (iv) other than to NAI Brannen Goddard, no commissions, fees, or compensation of any kind are due and payable by Landlord in connection herewith to any broker, agent, commission salesperson, or other persons, as a result of any act or agreement of Tenant.</w:t>
      </w:r>
    </w:p>
    <w:p>
      <w:pPr>
        <w:spacing w:after="0" w:line="18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Entire Agreement.</w:t>
      </w:r>
      <w:r>
        <w:rPr>
          <w:rFonts w:ascii="Times New Roman" w:cs="Times New Roman" w:eastAsia="Times New Roman" w:hAnsi="Times New Roman"/>
          <w:sz w:val="22"/>
          <w:szCs w:val="22"/>
          <w:color w:val="auto"/>
        </w:rPr>
        <w:t xml:space="preserve"> Landlord and Tenant hereby ratify and affirm the Lease, and except as expressly amended and modified hereby, the Lease shall otherwise remain in full force and effect. The Lease and this Second Amendment constitute the entire agreement of Landlord and Tenant with respect to the subject matter herein. To the extent of any inconsistency between the Lease and this Second Amendment, the terms of this Second Amendment shall control. This Second Amendment may be executed in several counterparts, each of which when so executed and delivered shall be an original, but such counterparts shall together constitute one and the same Second Amendment. This Second Amendment may be executed by each party upon a separate copy, and one or more execution pages may be detached from one copy of this Amendment and attached to another copy in order to form one or more counterparts. Signature pages exchanged by facsimile or email shall be fully binding. Each party hereby affirms that there exists no default or event of default on its part under the terms of the Lease and that it has no offset rights, claims or counterclaims against the other party.</w:t>
      </w:r>
    </w:p>
    <w:p>
      <w:pPr>
        <w:spacing w:after="0" w:line="1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EXCEPT AS expressly amended and modified hereby, the Lease shall otherwise remain in full force and effect, the parties hereto hereby ratifying and confirming the same. To the extent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inconsistency between the Lease and this Second Amendment, the terms of this Second Amendment shall control.</w:t>
      </w:r>
    </w:p>
    <w:p>
      <w:pPr>
        <w:sectPr>
          <w:pgSz w:w="11900" w:h="16838" w:orient="portrait"/>
          <w:cols w:equalWidth="0" w:num="1">
            <w:col w:w="10240"/>
          </w:cols>
          <w:pgMar w:left="320" w:top="1440" w:right="1339" w:bottom="1440" w:gutter="0" w:footer="0" w:header="0"/>
        </w:sectPr>
      </w:pPr>
    </w:p>
    <w:p>
      <w:pPr>
        <w:spacing w:after="0" w:line="2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i w:val="1"/>
          <w:i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1242695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440" w:right="1339" w:bottom="1440" w:gutter="0" w:footer="0" w:header="0"/>
          <w:type w:val="continuous"/>
        </w:sectPr>
      </w:pPr>
    </w:p>
    <w:bookmarkStart w:id="63" w:name="page64"/>
    <w:bookmarkEnd w:id="63"/>
    <w:p>
      <w:pPr>
        <w:spacing w:after="0" w:line="73"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undersigned parties have duly executed this Amendment as of the day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GREENLEAF INVESTMENT PARTNERS L060, LLC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 xml:space="preserve">/s/ </w:t>
      </w:r>
      <w:r>
        <w:rPr>
          <w:rFonts w:ascii="Times New Roman" w:cs="Times New Roman" w:eastAsia="Times New Roman" w:hAnsi="Times New Roman"/>
          <w:sz w:val="22"/>
          <w:szCs w:val="22"/>
          <w:i w:val="1"/>
          <w:iCs w:val="1"/>
          <w:u w:val="single" w:color="auto"/>
          <w:color w:val="auto"/>
        </w:rPr>
        <w:t>Mark Buchanan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BAKOTIC PATHOLOGY ASSOCIATES, LLC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i w:val="1"/>
          <w:iCs w:val="1"/>
          <w:color w:val="auto"/>
        </w:rPr>
        <w:t>Scott Bakotic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0972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TENANT REP BROKER: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NAI BRANNEN GODDARD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i w:val="1"/>
          <w:iCs w:val="1"/>
          <w:color w:val="auto"/>
        </w:rPr>
        <w:t>David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1577975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0972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Base Rent Table</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 Rent. Tenant shall continue to pay Base Rent for the Premises through the current expiration date in the same manner and amounts as set forth in the Lease. Commencing on August 1, 2025, Tenant shall pay Base Rent for the Premises, including expansion as follows, which Base Rent shall be payable in the same manner as set forth in the Lease: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66"/>
        </w:trPr>
        <w:tc>
          <w:tcPr>
            <w:tcW w:w="920" w:type="dxa"/>
            <w:vAlign w:val="bottom"/>
            <w:tcBorders>
              <w:right w:val="single" w:sz="8" w:color="auto"/>
            </w:tcBorders>
          </w:tcPr>
          <w:p>
            <w:pPr>
              <w:spacing w:after="0"/>
              <w:rPr>
                <w:sz w:val="24"/>
                <w:szCs w:val="24"/>
                <w:color w:val="auto"/>
              </w:rPr>
            </w:pPr>
          </w:p>
        </w:tc>
        <w:tc>
          <w:tcPr>
            <w:tcW w:w="3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Term</w:t>
            </w:r>
          </w:p>
        </w:tc>
        <w:tc>
          <w:tcPr>
            <w:tcW w:w="3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Monthly Base Rent</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Annual Base Rent</w:t>
            </w:r>
          </w:p>
        </w:tc>
        <w:tc>
          <w:tcPr>
            <w:tcW w:w="840" w:type="dxa"/>
            <w:vAlign w:val="bottom"/>
          </w:tcPr>
          <w:p>
            <w:pPr>
              <w:spacing w:after="0"/>
              <w:rPr>
                <w:sz w:val="24"/>
                <w:szCs w:val="24"/>
                <w:color w:val="auto"/>
              </w:rPr>
            </w:pPr>
          </w:p>
        </w:tc>
      </w:tr>
      <w:tr>
        <w:trPr>
          <w:trHeight w:val="79"/>
        </w:trPr>
        <w:tc>
          <w:tcPr>
            <w:tcW w:w="920" w:type="dxa"/>
            <w:vAlign w:val="bottom"/>
            <w:tcBorders>
              <w:right w:val="single" w:sz="8" w:color="auto"/>
            </w:tcBorders>
          </w:tcPr>
          <w:p>
            <w:pPr>
              <w:spacing w:after="0"/>
              <w:rPr>
                <w:sz w:val="6"/>
                <w:szCs w:val="6"/>
                <w:color w:val="auto"/>
              </w:rPr>
            </w:pPr>
          </w:p>
        </w:tc>
        <w:tc>
          <w:tcPr>
            <w:tcW w:w="31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360" w:type="dxa"/>
            <w:vAlign w:val="bottom"/>
            <w:tcBorders>
              <w:bottom w:val="single" w:sz="8" w:color="auto"/>
              <w:right w:val="single" w:sz="8" w:color="auto"/>
            </w:tcBorders>
          </w:tcPr>
          <w:p>
            <w:pPr>
              <w:spacing w:after="0"/>
              <w:rPr>
                <w:sz w:val="6"/>
                <w:szCs w:val="6"/>
                <w:color w:val="auto"/>
              </w:rPr>
            </w:pPr>
          </w:p>
        </w:tc>
        <w:tc>
          <w:tcPr>
            <w:tcW w:w="840" w:type="dxa"/>
            <w:vAlign w:val="bottom"/>
          </w:tcPr>
          <w:p>
            <w:pPr>
              <w:spacing w:after="0"/>
              <w:rPr>
                <w:sz w:val="6"/>
                <w:szCs w:val="6"/>
                <w:color w:val="auto"/>
              </w:rPr>
            </w:pPr>
          </w:p>
        </w:tc>
      </w:tr>
      <w:tr>
        <w:trPr>
          <w:trHeight w:val="360"/>
        </w:trPr>
        <w:tc>
          <w:tcPr>
            <w:tcW w:w="920" w:type="dxa"/>
            <w:vAlign w:val="bottom"/>
            <w:tcBorders>
              <w:right w:val="single" w:sz="8" w:color="auto"/>
            </w:tcBorders>
          </w:tcPr>
          <w:p>
            <w:pPr>
              <w:spacing w:after="0"/>
              <w:rPr>
                <w:sz w:val="24"/>
                <w:szCs w:val="24"/>
                <w:color w:val="auto"/>
              </w:rPr>
            </w:pPr>
          </w:p>
        </w:tc>
        <w:tc>
          <w:tcPr>
            <w:tcW w:w="3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7"/>
              </w:rPr>
              <w:t>8/1/2025 - 7/31/2026</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$37,683.21</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$452,198.46</w:t>
            </w:r>
          </w:p>
        </w:tc>
        <w:tc>
          <w:tcPr>
            <w:tcW w:w="840" w:type="dxa"/>
            <w:vAlign w:val="bottom"/>
          </w:tcPr>
          <w:p>
            <w:pPr>
              <w:spacing w:after="0"/>
              <w:rPr>
                <w:sz w:val="24"/>
                <w:szCs w:val="24"/>
                <w:color w:val="auto"/>
              </w:rPr>
            </w:pPr>
          </w:p>
        </w:tc>
      </w:tr>
      <w:tr>
        <w:trPr>
          <w:trHeight w:val="110"/>
        </w:trPr>
        <w:tc>
          <w:tcPr>
            <w:tcW w:w="920" w:type="dxa"/>
            <w:vAlign w:val="bottom"/>
            <w:tcBorders>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r>
      <w:tr>
        <w:trPr>
          <w:trHeight w:val="356"/>
        </w:trPr>
        <w:tc>
          <w:tcPr>
            <w:tcW w:w="920" w:type="dxa"/>
            <w:vAlign w:val="bottom"/>
            <w:tcBorders>
              <w:right w:val="single" w:sz="8" w:color="auto"/>
            </w:tcBorders>
          </w:tcPr>
          <w:p>
            <w:pPr>
              <w:spacing w:after="0"/>
              <w:rPr>
                <w:sz w:val="24"/>
                <w:szCs w:val="24"/>
                <w:color w:val="auto"/>
              </w:rPr>
            </w:pPr>
          </w:p>
        </w:tc>
        <w:tc>
          <w:tcPr>
            <w:tcW w:w="3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7"/>
              </w:rPr>
              <w:t>8/1/2026 - 7/31/2027</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$38,434.93</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$461,219.15</w:t>
            </w:r>
          </w:p>
        </w:tc>
        <w:tc>
          <w:tcPr>
            <w:tcW w:w="840" w:type="dxa"/>
            <w:vAlign w:val="bottom"/>
          </w:tcPr>
          <w:p>
            <w:pPr>
              <w:spacing w:after="0"/>
              <w:rPr>
                <w:sz w:val="24"/>
                <w:szCs w:val="24"/>
                <w:color w:val="auto"/>
              </w:rPr>
            </w:pPr>
          </w:p>
        </w:tc>
      </w:tr>
      <w:tr>
        <w:trPr>
          <w:trHeight w:val="110"/>
        </w:trPr>
        <w:tc>
          <w:tcPr>
            <w:tcW w:w="920" w:type="dxa"/>
            <w:vAlign w:val="bottom"/>
            <w:tcBorders>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r>
      <w:tr>
        <w:trPr>
          <w:trHeight w:val="356"/>
        </w:trPr>
        <w:tc>
          <w:tcPr>
            <w:tcW w:w="920" w:type="dxa"/>
            <w:vAlign w:val="bottom"/>
            <w:tcBorders>
              <w:right w:val="single" w:sz="8" w:color="auto"/>
            </w:tcBorders>
          </w:tcPr>
          <w:p>
            <w:pPr>
              <w:spacing w:after="0"/>
              <w:rPr>
                <w:sz w:val="24"/>
                <w:szCs w:val="24"/>
                <w:color w:val="auto"/>
              </w:rPr>
            </w:pPr>
          </w:p>
        </w:tc>
        <w:tc>
          <w:tcPr>
            <w:tcW w:w="3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7"/>
              </w:rPr>
              <w:t>8/1/2027 - 7/31/2028</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$39,210.90</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$470,530.83</w:t>
            </w:r>
          </w:p>
        </w:tc>
        <w:tc>
          <w:tcPr>
            <w:tcW w:w="840" w:type="dxa"/>
            <w:vAlign w:val="bottom"/>
          </w:tcPr>
          <w:p>
            <w:pPr>
              <w:spacing w:after="0"/>
              <w:rPr>
                <w:sz w:val="24"/>
                <w:szCs w:val="24"/>
                <w:color w:val="auto"/>
              </w:rPr>
            </w:pPr>
          </w:p>
        </w:tc>
      </w:tr>
      <w:tr>
        <w:trPr>
          <w:trHeight w:val="110"/>
        </w:trPr>
        <w:tc>
          <w:tcPr>
            <w:tcW w:w="920" w:type="dxa"/>
            <w:vAlign w:val="bottom"/>
            <w:tcBorders>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r>
      <w:tr>
        <w:trPr>
          <w:trHeight w:val="356"/>
        </w:trPr>
        <w:tc>
          <w:tcPr>
            <w:tcW w:w="920" w:type="dxa"/>
            <w:vAlign w:val="bottom"/>
            <w:tcBorders>
              <w:right w:val="single" w:sz="8" w:color="auto"/>
            </w:tcBorders>
          </w:tcPr>
          <w:p>
            <w:pPr>
              <w:spacing w:after="0"/>
              <w:rPr>
                <w:sz w:val="24"/>
                <w:szCs w:val="24"/>
                <w:color w:val="auto"/>
              </w:rPr>
            </w:pPr>
          </w:p>
        </w:tc>
        <w:tc>
          <w:tcPr>
            <w:tcW w:w="3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7"/>
              </w:rPr>
              <w:t>8/1/2028 - 7/31/2029</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$39,986.88</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$479,842.51</w:t>
            </w:r>
          </w:p>
        </w:tc>
        <w:tc>
          <w:tcPr>
            <w:tcW w:w="840" w:type="dxa"/>
            <w:vAlign w:val="bottom"/>
          </w:tcPr>
          <w:p>
            <w:pPr>
              <w:spacing w:after="0"/>
              <w:rPr>
                <w:sz w:val="24"/>
                <w:szCs w:val="24"/>
                <w:color w:val="auto"/>
              </w:rPr>
            </w:pPr>
          </w:p>
        </w:tc>
      </w:tr>
      <w:tr>
        <w:trPr>
          <w:trHeight w:val="110"/>
        </w:trPr>
        <w:tc>
          <w:tcPr>
            <w:tcW w:w="920" w:type="dxa"/>
            <w:vAlign w:val="bottom"/>
            <w:tcBorders>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r>
      <w:tr>
        <w:trPr>
          <w:trHeight w:val="357"/>
        </w:trPr>
        <w:tc>
          <w:tcPr>
            <w:tcW w:w="920" w:type="dxa"/>
            <w:vAlign w:val="bottom"/>
            <w:tcBorders>
              <w:right w:val="single" w:sz="8" w:color="auto"/>
            </w:tcBorders>
          </w:tcPr>
          <w:p>
            <w:pPr>
              <w:spacing w:after="0"/>
              <w:rPr>
                <w:sz w:val="24"/>
                <w:szCs w:val="24"/>
                <w:color w:val="auto"/>
              </w:rPr>
            </w:pPr>
          </w:p>
        </w:tc>
        <w:tc>
          <w:tcPr>
            <w:tcW w:w="3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7"/>
              </w:rPr>
              <w:t>8/1/2029 - 7/31/2030</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$40,787.10</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$489,445.18</w:t>
            </w:r>
          </w:p>
        </w:tc>
        <w:tc>
          <w:tcPr>
            <w:tcW w:w="840" w:type="dxa"/>
            <w:vAlign w:val="bottom"/>
          </w:tcPr>
          <w:p>
            <w:pPr>
              <w:spacing w:after="0"/>
              <w:rPr>
                <w:sz w:val="24"/>
                <w:szCs w:val="24"/>
                <w:color w:val="auto"/>
              </w:rPr>
            </w:pPr>
          </w:p>
        </w:tc>
      </w:tr>
      <w:tr>
        <w:trPr>
          <w:trHeight w:val="109"/>
        </w:trPr>
        <w:tc>
          <w:tcPr>
            <w:tcW w:w="920" w:type="dxa"/>
            <w:vAlign w:val="bottom"/>
            <w:tcBorders>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r>
      <w:tr>
        <w:trPr>
          <w:trHeight w:val="357"/>
        </w:trPr>
        <w:tc>
          <w:tcPr>
            <w:tcW w:w="920" w:type="dxa"/>
            <w:vAlign w:val="bottom"/>
            <w:tcBorders>
              <w:right w:val="single" w:sz="8" w:color="auto"/>
            </w:tcBorders>
          </w:tcPr>
          <w:p>
            <w:pPr>
              <w:spacing w:after="0"/>
              <w:rPr>
                <w:sz w:val="24"/>
                <w:szCs w:val="24"/>
                <w:color w:val="auto"/>
              </w:rPr>
            </w:pPr>
          </w:p>
        </w:tc>
        <w:tc>
          <w:tcPr>
            <w:tcW w:w="3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7"/>
              </w:rPr>
              <w:t>8/1/2030 - 7/31/2031</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$41,611.57</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$499,338.84</w:t>
            </w:r>
          </w:p>
        </w:tc>
        <w:tc>
          <w:tcPr>
            <w:tcW w:w="840" w:type="dxa"/>
            <w:vAlign w:val="bottom"/>
          </w:tcPr>
          <w:p>
            <w:pPr>
              <w:spacing w:after="0"/>
              <w:rPr>
                <w:sz w:val="24"/>
                <w:szCs w:val="24"/>
                <w:color w:val="auto"/>
              </w:rPr>
            </w:pPr>
          </w:p>
        </w:tc>
      </w:tr>
      <w:tr>
        <w:trPr>
          <w:trHeight w:val="109"/>
        </w:trPr>
        <w:tc>
          <w:tcPr>
            <w:tcW w:w="920" w:type="dxa"/>
            <w:vAlign w:val="bottom"/>
            <w:tcBorders>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r>
      <w:tr>
        <w:trPr>
          <w:trHeight w:val="370"/>
        </w:trPr>
        <w:tc>
          <w:tcPr>
            <w:tcW w:w="920" w:type="dxa"/>
            <w:vAlign w:val="bottom"/>
            <w:tcBorders>
              <w:right w:val="single" w:sz="8" w:color="auto"/>
            </w:tcBorders>
          </w:tcPr>
          <w:p>
            <w:pPr>
              <w:spacing w:after="0"/>
              <w:rPr>
                <w:sz w:val="24"/>
                <w:szCs w:val="24"/>
                <w:color w:val="auto"/>
              </w:rPr>
            </w:pPr>
          </w:p>
        </w:tc>
        <w:tc>
          <w:tcPr>
            <w:tcW w:w="3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7"/>
              </w:rPr>
              <w:t>8/1/2031 - 7/31/2032</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$42,436.04</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$509,232.50</w:t>
            </w:r>
          </w:p>
        </w:tc>
        <w:tc>
          <w:tcPr>
            <w:tcW w:w="840" w:type="dxa"/>
            <w:vAlign w:val="bottom"/>
          </w:tcPr>
          <w:p>
            <w:pPr>
              <w:spacing w:after="0"/>
              <w:rPr>
                <w:sz w:val="24"/>
                <w:szCs w:val="24"/>
                <w:color w:val="auto"/>
              </w:rPr>
            </w:pPr>
          </w:p>
        </w:tc>
      </w:tr>
      <w:tr>
        <w:trPr>
          <w:trHeight w:val="110"/>
        </w:trPr>
        <w:tc>
          <w:tcPr>
            <w:tcW w:w="920" w:type="dxa"/>
            <w:vAlign w:val="bottom"/>
            <w:tcBorders>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r>
      <w:tr>
        <w:trPr>
          <w:trHeight w:val="1837"/>
        </w:trPr>
        <w:tc>
          <w:tcPr>
            <w:tcW w:w="9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u w:val="single" w:color="auto"/>
          <w:color w:val="auto"/>
        </w:rPr>
        <w:t>ASSIGNMENT AND ASSUMPTION OF LEASE</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Assignment and Assumption of Lease (“</w:t>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is made as of March 16, 2026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Bakotic Pathology Associates, L.L.C., as assignor (“</w:t>
      </w:r>
      <w:r>
        <w:rPr>
          <w:rFonts w:ascii="Times New Roman" w:cs="Times New Roman" w:eastAsia="Times New Roman" w:hAnsi="Times New Roman"/>
          <w:sz w:val="20"/>
          <w:szCs w:val="20"/>
          <w:b w:val="1"/>
          <w:bCs w:val="1"/>
          <w:color w:val="auto"/>
        </w:rPr>
        <w:t>Assignor</w:t>
      </w:r>
      <w:r>
        <w:rPr>
          <w:rFonts w:ascii="Times New Roman" w:cs="Times New Roman" w:eastAsia="Times New Roman" w:hAnsi="Times New Roman"/>
          <w:sz w:val="20"/>
          <w:szCs w:val="20"/>
          <w:color w:val="auto"/>
        </w:rPr>
        <w:t>”), and Inform Diagnostics, Inc., a Delaware corporation, as assignee (“</w:t>
      </w:r>
      <w:r>
        <w:rPr>
          <w:rFonts w:ascii="Times New Roman" w:cs="Times New Roman" w:eastAsia="Times New Roman" w:hAnsi="Times New Roman"/>
          <w:sz w:val="20"/>
          <w:szCs w:val="20"/>
          <w:b w:val="1"/>
          <w:bCs w:val="1"/>
          <w:color w:val="auto"/>
        </w:rPr>
        <w:t>Assignee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A. Greenleaf Investment Partners L060, LLC, as Landlord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Assignor, as “Tenant”, entered into that certain Commercial Lease Agreement dated July 21, 2015, as amended by that certain First Amendment to Commercial Lease Agreement dated January 11, 2016 and that certain Second Amendment to Lease dated September 23, 2024 (collectively,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concerning certain premises located at 6240 Shiloh Road, Alpharetta, GA 30005 (“</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the mutual covenants hereinafter set forth, and for other good and valuable consideration, the receipt and sufficiency of which are hereby acknowledged, Assignor and Assignee agree as follows:</w:t>
      </w:r>
    </w:p>
    <w:p>
      <w:pPr>
        <w:spacing w:after="0" w:line="159" w:lineRule="exact"/>
        <w:rPr>
          <w:sz w:val="20"/>
          <w:szCs w:val="20"/>
          <w:color w:val="auto"/>
        </w:rPr>
      </w:pPr>
    </w:p>
    <w:p>
      <w:pPr>
        <w:jc w:val="both"/>
        <w:ind w:firstLine="757"/>
        <w:spacing w:after="0" w:line="254" w:lineRule="auto"/>
        <w:tabs>
          <w:tab w:leader="none" w:pos="10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Effective as of the Effective Date, Assignor does hereby assign to Assignee all of its rights, title, and interest in and to the Lease including, without limitation, Assignor's right, title, and interest in and to all sums deposited with Landlord as security under the Lease.</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Assumption.</w:t>
      </w:r>
      <w:r>
        <w:rPr>
          <w:rFonts w:ascii="Times New Roman" w:cs="Times New Roman" w:eastAsia="Times New Roman" w:hAnsi="Times New Roman"/>
          <w:sz w:val="20"/>
          <w:szCs w:val="20"/>
          <w:color w:val="auto"/>
        </w:rPr>
        <w:t xml:space="preserve"> As of the Effective Date, Assignee hereby assumes all of the obligations of and the performance of all of the terms, conditions, covenants, and agreements on the part of Tenant to be performed under the Lease.</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If any term of this Assignment or the application of such term to a person or circumstance shall to any extent be declared invalid or unenforceable, the remainder of this Assignment, or the application of such term to persons or circumstances other than those to which it is invalid or unenforceable, shall not be affected by it, and each term of this Assignment shall remain valid and enforceable to the fullest extent permitted by law.</w:t>
      </w:r>
    </w:p>
    <w:p>
      <w:pPr>
        <w:spacing w:after="0" w:line="17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Assignment will be construed in accordance with, and be governed by, the laws of the state in which the Premises are located.</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Facsimile Signatures.</w:t>
      </w:r>
      <w:r>
        <w:rPr>
          <w:rFonts w:ascii="Times New Roman" w:cs="Times New Roman" w:eastAsia="Times New Roman" w:hAnsi="Times New Roman"/>
          <w:sz w:val="20"/>
          <w:szCs w:val="20"/>
          <w:color w:val="auto"/>
        </w:rPr>
        <w:t xml:space="preserve"> This Assignment may be executed in any number of counterparts, each of which shall be deemed an original and all of which together shall constitute one and the same instrument. Assignor and Assignee hereby acknowledge and agree that facsimile signatures or signatures transmitted by electronic mail in so-called “pdf' format may be used in place of original signatures on this Assignment. Assignor and Assignee intend to be bound by the signatures on any document sent by facsimile or electronic mail.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Assignment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BAKOTIC PATHOLOGY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ASSOCIATES,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Georgia limited liability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Daniel Spragle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-8255</wp:posOffset>
            </wp:positionV>
            <wp:extent cx="104330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Its: </w:t>
      </w:r>
      <w:r>
        <w:rPr>
          <w:rFonts w:ascii="Times New Roman" w:cs="Times New Roman" w:eastAsia="Times New Roman" w:hAnsi="Times New Roman"/>
          <w:sz w:val="20"/>
          <w:szCs w:val="20"/>
          <w:u w:val="single" w:color="auto"/>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1467485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67" w:name="page68"/>
    <w:bookmarkEnd w:id="67"/>
    <w:p>
      <w:pPr>
        <w:ind w:left="7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Assignment as of the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 DIAGNOSTIC,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Ming Hsieh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-10795</wp:posOffset>
            </wp:positionV>
            <wp:extent cx="5302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68" w:name="page69"/>
    <w:bookmarkEnd w:id="68"/>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LANDLORD'S CONSENT</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Greenleaf Investment Partners L060, LLC, as “Landlord” under the Lease, does hereby consent, pursuant to Section 20 of the Lease, to the foregoing Assignment and Assumption of Lease, dated of even date herewith, by and between Assignor and Assignee, and does hereby acknowledge and agree that Assignee is hereafter liable to Landlord for all obligations of the “Tenant” under the Lease and Assignor shall hereafter have no further obligations under the Lease. The consent granted herein should not be construed as consent to any further assignment or subletting.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GREENLEAF INVESTMENT PARTNERS L060, LLC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Mark Buchanan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-10795</wp:posOffset>
            </wp:positionV>
            <wp:extent cx="5302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3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4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40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3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4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195"/>
        </w:trPr>
        <w:tc>
          <w:tcPr>
            <w:tcW w:w="40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March 31, 2026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0" w:lineRule="exact"/>
        <w:rPr>
          <w:sz w:val="20"/>
          <w:szCs w:val="20"/>
          <w:color w:val="auto"/>
        </w:rPr>
      </w:pPr>
    </w:p>
    <w:p>
      <w:pPr>
        <w:ind w:left="900" w:hanging="35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11"/>
    </w:lvl>
  </w:abstractNum>
  <w:abstractNum w:abstractNumId="9">
    <w:nsid w:val="257130A3"/>
    <w:multiLevelType w:val="hybridMultilevel"/>
    <w:lvl w:ilvl="0">
      <w:lvlJc w:val="left"/>
      <w:lvlText w:val="%1."/>
      <w:numFmt w:val="decimal"/>
      <w:start w:val="14"/>
    </w:lvl>
  </w:abstractNum>
  <w:abstractNum w:abstractNumId="10">
    <w:nsid w:val="62BBD95A"/>
    <w:multiLevelType w:val="hybridMultilevel"/>
    <w:lvl w:ilvl="0">
      <w:lvlJc w:val="left"/>
      <w:lvlText w:val="%1."/>
      <w:numFmt w:val="decimal"/>
      <w:start w:val="18"/>
    </w:lvl>
  </w:abstractNum>
  <w:abstractNum w:abstractNumId="11">
    <w:nsid w:val="436C6125"/>
    <w:multiLevelType w:val="hybridMultilevel"/>
    <w:lvl w:ilvl="0">
      <w:lvlJc w:val="left"/>
      <w:lvlText w:val="%1."/>
      <w:numFmt w:val="decimal"/>
      <w:start w:val="22"/>
    </w:lvl>
  </w:abstractNum>
  <w:abstractNum w:abstractNumId="12">
    <w:nsid w:val="628C895D"/>
    <w:multiLevelType w:val="hybridMultilevel"/>
    <w:lvl w:ilvl="0">
      <w:lvlJc w:val="left"/>
      <w:lvlText w:val="%1."/>
      <w:numFmt w:val="decimal"/>
      <w:start w:val="23"/>
    </w:lvl>
  </w:abstractNum>
  <w:abstractNum w:abstractNumId="13">
    <w:nsid w:val="333AB105"/>
    <w:multiLevelType w:val="hybridMultilevel"/>
    <w:lvl w:ilvl="0">
      <w:lvlJc w:val="left"/>
      <w:lvlText w:val="%1."/>
      <w:numFmt w:val="decimal"/>
      <w:start w:val="27"/>
    </w:lvl>
  </w:abstractNum>
  <w:abstractNum w:abstractNumId="14">
    <w:nsid w:val="721DA317"/>
    <w:multiLevelType w:val="hybridMultilevel"/>
    <w:lvl w:ilvl="0">
      <w:lvlJc w:val="left"/>
      <w:lvlText w:val="%1."/>
      <w:numFmt w:val="decimal"/>
      <w:start w:val="31"/>
    </w:lvl>
  </w:abstractNum>
  <w:abstractNum w:abstractNumId="15">
    <w:nsid w:val="2443A858"/>
    <w:multiLevelType w:val="hybridMultilevel"/>
    <w:lvl w:ilvl="0">
      <w:lvlJc w:val="left"/>
      <w:lvlText w:val="%1."/>
      <w:numFmt w:val="decimal"/>
      <w:start w:val="38"/>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2"/>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5"/>
    </w:lvl>
  </w:abstractNum>
  <w:abstractNum w:abstractNumId="21">
    <w:nsid w:val="4353D0CD"/>
    <w:multiLevelType w:val="hybridMultilevel"/>
    <w:lvl w:ilvl="0">
      <w:lvlJc w:val="left"/>
      <w:lvlText w:val="%1."/>
      <w:numFmt w:val="decimal"/>
      <w:start w:val="11"/>
    </w:lvl>
  </w:abstractNum>
  <w:abstractNum w:abstractNumId="22">
    <w:nsid w:val="B03E0C6"/>
    <w:multiLevelType w:val="hybridMultilevel"/>
    <w:lvl w:ilvl="0">
      <w:lvlJc w:val="left"/>
      <w:lvlText w:val="%1."/>
      <w:numFmt w:val="decimal"/>
      <w:start w:val="12"/>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5">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7">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19" Type="http://schemas.openxmlformats.org/officeDocument/2006/relationships/hyperlink" Target="https://www.sec.gov/Archives/edgar/data/1674930/000119312525328747/flgt-ex10_1.htm" TargetMode="External"/><Relationship Id="rId320" Type="http://schemas.openxmlformats.org/officeDocument/2006/relationships/hyperlink" Target="https://www.sec.gov/Archives/edgar/data/1674930/000119312525328747/flgt-ex10_2.htm" TargetMode="External"/><Relationship Id="rId321" Type="http://schemas.openxmlformats.org/officeDocument/2006/relationships/hyperlink" Target="https://www.sec.gov/Archives/edgar/data/1674930/000119312516700733/d360404dex31.htm" TargetMode="External"/><Relationship Id="rId322" Type="http://schemas.openxmlformats.org/officeDocument/2006/relationships/hyperlink" Target="https://www.sec.gov/Archives/edgar/data/1674930/000119312516700733/d360404dex311.htm" TargetMode="External"/><Relationship Id="rId323" Type="http://schemas.openxmlformats.org/officeDocument/2006/relationships/hyperlink" Target="https://www.sec.gov/Archives/edgar/data/1674930/000156459017017670/flgt-ex312_342.htm" TargetMode="External"/><Relationship Id="rId324" Type="http://schemas.openxmlformats.org/officeDocument/2006/relationships/hyperlink" Target="https://www.sec.gov/Archives/edgar/data/1674930/000095017023038316/flgt-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2026-05-01T09:11:43Z</dcterms:created>
  <dcterms:modified xsi:type="dcterms:W3CDTF">2026-05-01T09:11:43Z</dcterms:modified>
</cp:coreProperties>
</file>