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b w:val="1"/>
          <w:bCs w:val="1"/>
          <w:color w:val="auto"/>
        </w:rPr>
        <w:t>f</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0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0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4399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0"/>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760" w:type="dxa"/>
            <w:vAlign w:val="bottom"/>
            <w:gridSpan w:val="5"/>
          </w:tcPr>
          <w:p>
            <w:pPr>
              <w:jc w:val="center"/>
              <w:ind w:left="33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362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4"/>
                <w:szCs w:val="14"/>
                <w:color w:val="auto"/>
              </w:rPr>
            </w:pPr>
          </w:p>
        </w:tc>
        <w:tc>
          <w:tcPr>
            <w:tcW w:w="3160" w:type="dxa"/>
            <w:vAlign w:val="bottom"/>
            <w:tcBorders>
              <w:right w:val="single" w:sz="8" w:color="auto"/>
            </w:tcBorders>
            <w:gridSpan w:val="2"/>
          </w:tcPr>
          <w:p>
            <w:pPr>
              <w:jc w:val="center"/>
              <w:ind w:right="880"/>
              <w:spacing w:after="0" w:line="167"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4"/>
                <w:szCs w:val="14"/>
                <w:color w:val="auto"/>
              </w:rPr>
            </w:pPr>
          </w:p>
        </w:tc>
        <w:tc>
          <w:tcPr>
            <w:tcW w:w="3480" w:type="dxa"/>
            <w:vAlign w:val="bottom"/>
            <w:tcBorders>
              <w:right w:val="single" w:sz="8" w:color="auto"/>
            </w:tcBorders>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13"/>
        </w:trPr>
        <w:tc>
          <w:tcPr>
            <w:tcW w:w="362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28, 2025, there were 30,609,044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47"/>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70"/>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5720" w:type="dxa"/>
            <w:vAlign w:val="bottom"/>
            <w:gridSpan w:val="8"/>
          </w:tcPr>
          <w:p>
            <w:pPr>
              <w:spacing w:after="0"/>
              <w:rPr>
                <w:sz w:val="23"/>
                <w:szCs w:val="23"/>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91"/>
        </w:trPr>
        <w:tc>
          <w:tcPr>
            <w:tcW w:w="29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940" w:type="dxa"/>
            <w:vAlign w:val="bottom"/>
            <w:gridSpan w:val="9"/>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91"/>
        </w:trPr>
        <w:tc>
          <w:tcPr>
            <w:tcW w:w="44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520" w:type="dxa"/>
            <w:vAlign w:val="bottom"/>
            <w:gridSpan w:val="4"/>
          </w:tcPr>
          <w:p>
            <w:pPr>
              <w:spacing w:after="0"/>
              <w:rPr>
                <w:sz w:val="24"/>
                <w:szCs w:val="24"/>
                <w:color w:val="auto"/>
              </w:rPr>
            </w:pP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91"/>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27</w:t>
            </w:r>
          </w:p>
        </w:tc>
      </w:tr>
      <w:tr>
        <w:trPr>
          <w:trHeight w:val="291"/>
        </w:trPr>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90"/>
        </w:trPr>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24"/>
                <w:szCs w:val="24"/>
                <w:color w:val="auto"/>
              </w:rPr>
            </w:pPr>
          </w:p>
        </w:tc>
        <w:tc>
          <w:tcPr>
            <w:tcW w:w="6560" w:type="dxa"/>
            <w:vAlign w:val="bottom"/>
            <w:gridSpan w:val="11"/>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91"/>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5960" w:type="dxa"/>
            <w:vAlign w:val="bottom"/>
            <w:gridSpan w:val="10"/>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0"/>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20" w:type="dxa"/>
            <w:vAlign w:val="bottom"/>
            <w:gridSpan w:val="1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1"/>
        </w:trPr>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320" w:type="dxa"/>
            <w:vAlign w:val="bottom"/>
            <w:gridSpan w:val="15"/>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1"/>
        </w:trPr>
        <w:tc>
          <w:tcPr>
            <w:tcW w:w="1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3020" w:type="dxa"/>
            <w:vAlign w:val="bottom"/>
            <w:tcBorders>
              <w:top w:val="single" w:sz="8" w:color="0000FF"/>
            </w:tcBorders>
            <w:gridSpan w:val="11"/>
          </w:tcPr>
          <w:p>
            <w:pPr>
              <w:spacing w:after="0"/>
              <w:rPr>
                <w:sz w:val="24"/>
                <w:szCs w:val="24"/>
                <w:color w:val="auto"/>
              </w:rPr>
            </w:pPr>
          </w:p>
        </w:tc>
        <w:tc>
          <w:tcPr>
            <w:tcW w:w="4020" w:type="dxa"/>
            <w:vAlign w:val="bottom"/>
            <w:gridSpan w:val="3"/>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36</w:t>
            </w:r>
          </w:p>
        </w:tc>
      </w:tr>
      <w:tr>
        <w:trPr>
          <w:trHeight w:val="290"/>
        </w:trPr>
        <w:tc>
          <w:tcPr>
            <w:tcW w:w="1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60" w:type="dxa"/>
            <w:vAlign w:val="bottom"/>
            <w:tcBorders>
              <w:top w:val="single" w:sz="8" w:color="0000FF"/>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37</w:t>
            </w:r>
          </w:p>
        </w:tc>
      </w:tr>
      <w:tr>
        <w:trPr>
          <w:trHeight w:val="290"/>
        </w:trPr>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87,880</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$21,416 as of June 30, 2025, and</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$20,458 as of December 31, 2024</w:t>
            </w: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428,727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353,571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100" w:type="dxa"/>
            <w:vAlign w:val="bottom"/>
          </w:tcPr>
          <w:p>
            <w:pPr>
              <w:spacing w:after="0"/>
              <w:rPr>
                <w:sz w:val="18"/>
                <w:szCs w:val="18"/>
                <w:color w:val="auto"/>
              </w:rPr>
            </w:pPr>
          </w:p>
        </w:tc>
      </w:tr>
      <w:tr>
        <w:trPr>
          <w:trHeight w:val="24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1,199,838</w:t>
            </w:r>
          </w:p>
        </w:tc>
        <w:tc>
          <w:tcPr>
            <w:tcW w:w="1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r>
      <w:tr>
        <w:trPr>
          <w:trHeight w:val="197"/>
        </w:trPr>
        <w:tc>
          <w:tcPr>
            <w:tcW w:w="7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current</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88,202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50,000 shares authorized, 34,028 shares issued and</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30,608 shares outstanding as of June 30, 2025, and 33,614 shares issued and 30,841 shares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98"/>
        </w:trPr>
        <w:tc>
          <w:tcPr>
            <w:tcW w:w="74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June 30, 2025, and December 31, 2024</w:t>
            </w: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590,467</w:t>
            </w:r>
          </w:p>
        </w:tc>
        <w:tc>
          <w:tcPr>
            <w:tcW w:w="100" w:type="dxa"/>
            <w:vAlign w:val="bottom"/>
          </w:tcPr>
          <w:p>
            <w:pPr>
              <w:spacing w:after="0"/>
              <w:rPr>
                <w:sz w:val="18"/>
                <w:szCs w:val="18"/>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1,116,580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1,133,228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(4,069)</w:t>
            </w: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1,111,636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1,199,838</w:t>
            </w: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-3668395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-3651250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-1979295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8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120" w:type="dxa"/>
            <w:vAlign w:val="bottom"/>
          </w:tcPr>
          <w:p>
            <w:pPr>
              <w:spacing w:after="0"/>
              <w:rPr>
                <w:sz w:val="18"/>
                <w:szCs w:val="18"/>
                <w:color w:val="auto"/>
              </w:rPr>
            </w:pPr>
          </w:p>
        </w:tc>
      </w:tr>
      <w:tr>
        <w:trPr>
          <w:trHeight w:val="210"/>
        </w:trPr>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and marketing</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8"/>
                <w:szCs w:val="18"/>
                <w:color w:val="auto"/>
              </w:rPr>
            </w:pPr>
          </w:p>
        </w:tc>
      </w:tr>
      <w:tr>
        <w:trPr>
          <w:trHeight w:val="209"/>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(18,906)</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(40,704)</w:t>
            </w: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(11,214)</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(33,242)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(25,387)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(2,124)</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r>
      <w:tr>
        <w:trPr>
          <w:trHeight w:val="20"/>
        </w:trPr>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(19,256)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(9,090)</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(22,936)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8"/>
                <w:szCs w:val="18"/>
                <w:color w:val="auto"/>
              </w:rPr>
            </w:pPr>
          </w:p>
        </w:tc>
      </w:tr>
      <w:tr>
        <w:trPr>
          <w:trHeight w:val="24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(18,957)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(8,710)</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(30,487)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(22,172)</w:t>
            </w:r>
          </w:p>
        </w:tc>
      </w:tr>
      <w:tr>
        <w:trPr>
          <w:trHeight w:val="197"/>
        </w:trPr>
        <w:tc>
          <w:tcPr>
            <w:tcW w:w="424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120" w:type="dxa"/>
            <w:vAlign w:val="bottom"/>
            <w:shd w:val="clear" w:color="auto" w:fill="CFF0FC"/>
          </w:tcPr>
          <w:p>
            <w:pPr>
              <w:spacing w:after="0"/>
              <w:rPr>
                <w:sz w:val="18"/>
                <w:szCs w:val="18"/>
                <w:color w:val="auto"/>
              </w:rPr>
            </w:pPr>
          </w:p>
        </w:tc>
      </w:tr>
      <w:tr>
        <w:trPr>
          <w:trHeight w:val="234"/>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-3525520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-3525520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-3525520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-3525520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-2685415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-2685415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-2685415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-2685415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-1854200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-1854200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-1854200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-1854200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-996950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-979805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-996950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-979805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-996950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-979805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(19,256)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(9,090)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(31,155)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(22,936)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gain (loss) on available-for-sale debt securities, net of tax</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r>
      <w:tr>
        <w:trPr>
          <w:trHeight w:val="20"/>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from consolidated operations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(17,830)</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(8,889)</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(24,996)</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(25,140)</w:t>
            </w: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r>
      <w:tr>
        <w:trPr>
          <w:trHeight w:val="216"/>
        </w:trPr>
        <w:tc>
          <w:tcPr>
            <w:tcW w:w="5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attributable to noncontrolling interest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(17,294)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(24,121)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(24,254)</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-316230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1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12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30,841</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543,126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(368)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590,467</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$ 1,133,228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(4,069)</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1,129,159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(1,887)</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05"/>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(7,886)</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(7,886)</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(7,886)</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(11,530)</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(11,530)</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(369)</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(11,899)</w:t>
            </w:r>
          </w:p>
        </w:tc>
        <w:tc>
          <w:tcPr>
            <w:tcW w:w="0" w:type="dxa"/>
            <w:vAlign w:val="bottom"/>
          </w:tcPr>
          <w:p>
            <w:pPr>
              <w:spacing w:after="0"/>
              <w:rPr>
                <w:sz w:val="1"/>
                <w:szCs w:val="1"/>
                <w:color w:val="auto"/>
              </w:rPr>
            </w:pPr>
          </w:p>
        </w:tc>
      </w:tr>
      <w:tr>
        <w:trPr>
          <w:trHeight w:val="20"/>
        </w:trPr>
        <w:tc>
          <w:tcPr>
            <w:tcW w:w="3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30,621</w:t>
            </w:r>
          </w:p>
        </w:tc>
        <w:tc>
          <w:tcPr>
            <w:tcW w:w="22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543,903</w:t>
            </w:r>
          </w:p>
        </w:tc>
        <w:tc>
          <w:tcPr>
            <w:tcW w:w="2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4,335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578,937</w:t>
            </w: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$ 1,127,178</w:t>
            </w: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(4,408)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1,122,770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(177)</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(237)</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(18,957)</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(18,957)</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(299)</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(19,256)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30,608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550,599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5,998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559,980</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$ 1,116,580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(4,944)</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1,111,636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-2150745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-2133600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-2150745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-2133600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-2150745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-2133600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-2150745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-2133600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-2150745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-2133600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-2150745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-2133600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-2150745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-2133600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-1224915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-1224915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-1224915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-1224915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-1224915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-1224915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-1224915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3260"/>
        <w:spacing w:after="0"/>
        <w:rPr>
          <w:sz w:val="20"/>
          <w:szCs w:val="20"/>
          <w:color w:val="auto"/>
        </w:rPr>
      </w:pPr>
      <w:r>
        <w:rPr>
          <w:rFonts w:ascii="Times New Roman" w:cs="Times New Roman" w:eastAsia="Times New Roman" w:hAnsi="Times New Roman"/>
          <w:sz w:val="14"/>
          <w:szCs w:val="14"/>
          <w:b w:val="1"/>
          <w:bCs w:val="1"/>
          <w:color w:val="auto"/>
        </w:rPr>
        <w:t>Fulgent Stockholders’</w:t>
      </w:r>
    </w:p>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Equity</w:t>
      </w:r>
    </w:p>
    <w:tbl>
      <w:tblPr>
        <w:tblLayout w:type="fixed"/>
        <w:tblInd w:w="0" w:type="dxa"/>
        <w:tblCellMar>
          <w:top w:w="0" w:type="dxa"/>
          <w:left w:w="0" w:type="dxa"/>
          <w:bottom w:w="0" w:type="dxa"/>
          <w:right w:w="0" w:type="dxa"/>
        </w:tblCellMar>
      </w:tblPr>
      <w:tr>
        <w:trPr>
          <w:trHeight w:val="117"/>
        </w:trPr>
        <w:tc>
          <w:tcPr>
            <w:tcW w:w="3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60"/>
              <w:spacing w:after="0" w:line="117"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8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sive</w:t>
            </w:r>
          </w:p>
        </w:tc>
        <w:tc>
          <w:tcPr>
            <w:tcW w:w="8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0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220" w:type="dxa"/>
            <w:vAlign w:val="bottom"/>
            <w:vMerge w:val="restart"/>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 Equity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633,175</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$ 1,136,101</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(2,815)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(1,682)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(13,462)</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(13,462)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(13,846)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(1,102)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619,713</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$ 1,129,943</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(3,297)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Equity-based compensation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withholding for employee tax</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obligations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9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in a business</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combination (1)</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(8,710)</w:t>
            </w: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(8,710)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(9,090)</w:t>
            </w:r>
          </w:p>
        </w:tc>
        <w:tc>
          <w:tcPr>
            <w:tcW w:w="0" w:type="dxa"/>
            <w:vAlign w:val="bottom"/>
          </w:tcPr>
          <w:p>
            <w:pPr>
              <w:spacing w:after="0"/>
              <w:rPr>
                <w:sz w:val="1"/>
                <w:szCs w:val="1"/>
                <w:color w:val="auto"/>
              </w:rPr>
            </w:pPr>
          </w:p>
        </w:tc>
      </w:tr>
      <w:tr>
        <w:trPr>
          <w:trHeight w:val="20"/>
        </w:trPr>
        <w:tc>
          <w:tcPr>
            <w:tcW w:w="3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30,262</w:t>
            </w:r>
          </w:p>
        </w:tc>
        <w:tc>
          <w:tcPr>
            <w:tcW w:w="22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522,420</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611,003</w:t>
            </w:r>
          </w:p>
        </w:tc>
        <w:tc>
          <w:tcPr>
            <w:tcW w:w="1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$ 1,132,549</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(3,701)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1,128,848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-2407920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-2390775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-2407920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-2390775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-2407920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-2390775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-2407920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-2390775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-2407920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-2390775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-2407920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-2390775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-2407920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-2390775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-1216660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-1199515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-1216660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-1199515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-1216660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-1199515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-1216660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-1199515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-1216660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-1199515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-1216660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-1199515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-1216660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-1199515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-162560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-162560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8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185,503 shares of the Company’s common stock were issued in May 2024 by the Company upon expiration of hold back provisions in connection with the business combination of Fulgent Pharma Holdings, Inc., or Fulgent Pharma, in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24"/>
              <w:spacing w:after="0" w:line="171" w:lineRule="exact"/>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760" w:type="dxa"/>
            <w:vAlign w:val="bottom"/>
          </w:tcPr>
          <w:p>
            <w:pPr>
              <w:spacing w:after="0"/>
              <w:rPr>
                <w:sz w:val="13"/>
                <w:szCs w:val="13"/>
                <w:color w:val="auto"/>
              </w:rPr>
            </w:pPr>
          </w:p>
        </w:tc>
        <w:tc>
          <w:tcPr>
            <w:tcW w:w="100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from consolidated operations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(31,155)</w:t>
            </w:r>
          </w:p>
        </w:tc>
        <w:tc>
          <w:tcPr>
            <w:tcW w:w="980" w:type="dxa"/>
            <w:vAlign w:val="bottom"/>
          </w:tcPr>
          <w:p>
            <w:pPr>
              <w:jc w:val="right"/>
              <w:ind w:right="8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(22,936)</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provided by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20,589</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23,153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11,973</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12,816</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 for credit losses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4,666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(4,157)</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712</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(Gain) loss on disposal of fixed asset</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Amortization of discount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(3,064)</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(2,670)</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Deferred taxes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(1,014)</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Unrecognized tax benefits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274</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realized loss on marketable securities</w:t>
            </w:r>
          </w:p>
        </w:tc>
        <w:tc>
          <w:tcPr>
            <w:tcW w:w="100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871</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Impairment loss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9,926</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Trade accounts receivable</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(12,781)</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(1,393)</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Income tax</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(33,032)</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3,312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current and long-term assets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(272)</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1,596</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Contract liabilities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(130)</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3,604</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liabilities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(2,282)</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(2,762)</w:t>
            </w:r>
          </w:p>
        </w:tc>
      </w:tr>
      <w:tr>
        <w:trPr>
          <w:trHeight w:val="162"/>
        </w:trPr>
        <w:tc>
          <w:tcPr>
            <w:tcW w:w="776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(709)</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(2,687)</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76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000" w:type="dxa"/>
            <w:vAlign w:val="bottom"/>
          </w:tcPr>
          <w:p>
            <w:pPr>
              <w:spacing w:after="0"/>
              <w:rPr>
                <w:sz w:val="13"/>
                <w:szCs w:val="13"/>
                <w:color w:val="auto"/>
              </w:rPr>
            </w:pPr>
          </w:p>
        </w:tc>
        <w:tc>
          <w:tcPr>
            <w:tcW w:w="8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(34,602)</w:t>
            </w:r>
          </w:p>
        </w:tc>
        <w:tc>
          <w:tcPr>
            <w:tcW w:w="98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11,551</w:t>
            </w: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Maturities of marketable securities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92,675</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160,073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75,599</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 of fixed assets</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275</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marketable securities</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(258,829)</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(11,544)</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(17,000)</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81,133</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(39,882)</w:t>
            </w:r>
          </w:p>
        </w:tc>
      </w:tr>
      <w:tr>
        <w:trPr>
          <w:trHeight w:val="155"/>
        </w:trPr>
        <w:tc>
          <w:tcPr>
            <w:tcW w:w="776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 from financing activities:</w:t>
            </w: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(10,884)</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(225)</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Common stock withholding for employee tax obligations</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(2,232)</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(2,226)</w:t>
            </w: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10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(471)</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(1,229)</w:t>
            </w: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Principal paid for finance lease</w:t>
            </w:r>
          </w:p>
        </w:tc>
        <w:tc>
          <w:tcPr>
            <w:tcW w:w="10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(223)</w:t>
            </w:r>
          </w:p>
        </w:tc>
        <w:tc>
          <w:tcPr>
            <w:tcW w:w="98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(273)</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0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(13,810)</w:t>
            </w:r>
          </w:p>
        </w:tc>
        <w:tc>
          <w:tcPr>
            <w:tcW w:w="9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(3,953)</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100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(78)</w:t>
            </w:r>
          </w:p>
        </w:tc>
      </w:tr>
      <w:tr>
        <w:trPr>
          <w:trHeight w:val="20"/>
        </w:trPr>
        <w:tc>
          <w:tcPr>
            <w:tcW w:w="7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32,736</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(32,362)</w:t>
            </w: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55,279</w:t>
            </w: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97,473</w:t>
            </w:r>
          </w:p>
        </w:tc>
        <w:tc>
          <w:tcPr>
            <w:tcW w:w="100" w:type="dxa"/>
            <w:vAlign w:val="bottom"/>
          </w:tcPr>
          <w:p>
            <w:pPr>
              <w:spacing w:after="0"/>
              <w:rPr>
                <w:sz w:val="14"/>
                <w:szCs w:val="14"/>
                <w:color w:val="auto"/>
              </w:rPr>
            </w:pPr>
          </w:p>
        </w:tc>
      </w:tr>
      <w:tr>
        <w:trPr>
          <w:trHeight w:val="195"/>
        </w:trPr>
        <w:tc>
          <w:tcPr>
            <w:tcW w:w="776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88,015</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65,111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76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87,880</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65,111</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00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95"/>
        </w:trPr>
        <w:tc>
          <w:tcPr>
            <w:tcW w:w="7760" w:type="dxa"/>
            <w:vAlign w:val="bottom"/>
            <w:tcBorders>
              <w:bottom w:val="single" w:sz="8" w:color="CFF0FC"/>
            </w:tcBorders>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1000" w:type="dxa"/>
            <w:vAlign w:val="bottom"/>
            <w:tcBorders>
              <w:top w:val="single" w:sz="8" w:color="auto"/>
              <w:bottom w:val="single" w:sz="8" w:color="auto"/>
            </w:tcBorders>
            <w:shd w:val="clear" w:color="auto" w:fill="CFF0FC"/>
          </w:tcPr>
          <w:p>
            <w:pPr>
              <w:jc w:val="right"/>
              <w:ind w:right="8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88,015</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ind w:right="8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65,111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760" w:type="dxa"/>
            <w:vAlign w:val="bottom"/>
          </w:tcPr>
          <w:p>
            <w:pPr>
              <w:ind w:left="140"/>
              <w:spacing w:after="0" w:line="143" w:lineRule="exact"/>
              <w:rPr>
                <w:sz w:val="20"/>
                <w:szCs w:val="20"/>
                <w:color w:val="auto"/>
              </w:rPr>
            </w:pPr>
            <w:r>
              <w:rPr>
                <w:rFonts w:ascii="Times New Roman" w:cs="Times New Roman" w:eastAsia="Times New Roman" w:hAnsi="Times New Roman"/>
                <w:sz w:val="15"/>
                <w:szCs w:val="15"/>
                <w:color w:val="auto"/>
              </w:rPr>
              <w:t>Income taxes paid</w:t>
            </w:r>
          </w:p>
        </w:tc>
        <w:tc>
          <w:tcPr>
            <w:tcW w:w="1000" w:type="dxa"/>
            <w:vAlign w:val="bottom"/>
          </w:tcPr>
          <w:p>
            <w:pPr>
              <w:jc w:val="right"/>
              <w:ind w:right="8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32,803</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1,903</w:t>
            </w:r>
          </w:p>
        </w:tc>
        <w:tc>
          <w:tcPr>
            <w:tcW w:w="100" w:type="dxa"/>
            <w:vAlign w:val="bottom"/>
          </w:tcPr>
          <w:p>
            <w:pPr>
              <w:spacing w:after="0"/>
              <w:rPr>
                <w:sz w:val="12"/>
                <w:szCs w:val="12"/>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disclosures of non-cash investing and financing activities: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fixed assets in accounts payable</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2,581</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4,783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obtained in exchange for lease liabilities</w:t>
            </w:r>
          </w:p>
        </w:tc>
        <w:tc>
          <w:tcPr>
            <w:tcW w:w="1000" w:type="dxa"/>
            <w:vAlign w:val="bottom"/>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1,146</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assets reduced due to lease modification and termination</w:t>
            </w:r>
          </w:p>
        </w:tc>
        <w:tc>
          <w:tcPr>
            <w:tcW w:w="1000" w:type="dxa"/>
            <w:vAlign w:val="bottom"/>
            <w:shd w:val="clear" w:color="auto" w:fill="CFF0FC"/>
          </w:tcPr>
          <w:p>
            <w:pPr>
              <w:jc w:val="right"/>
              <w:ind w:right="8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-3007995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-2159635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-1525270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-1088390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-1071245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-642620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-625475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includes technical laboratory services and testing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 The Company aims to transform from a genomic diagnostic business into a fully integrated precision medicine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2024, which are included in the Company’s annual report on Form 10-K filed with the Securities and Exchange Commission, or SEC, on February 28, 2025, or the 2024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2024,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2024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Consolidated Financial Statements included in the 2024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goodwill and indefinite-lived intangible assets at time of acquisition and on a recurring basis, and (vi) valuation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 roll-forward of the activity in the Company’s allowance for credit losses for the six months ended June 30, 2025, dollars in thousands,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w:t>
            </w:r>
          </w:p>
        </w:tc>
        <w:tc>
          <w:tcPr>
            <w:tcW w:w="14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146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as of June 30, 2025</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three to 14 years. See Note 14,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are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&amp; development, or IPR&amp;D, costs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carrying amount exceeds its fair value.</w:t>
      </w:r>
    </w:p>
    <w:p>
      <w:pPr>
        <w:spacing w:after="0" w:line="180"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weighted-average cost of capital. Under the income-based approach, it requires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assumptions and judgments regarding economic conditions in the markets in which the company operates and conditions in the capital markets, many of which are outside of management</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control. The market-based fair value methodology looks at the guideline public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restricted cash, a redeemable preferred stock investment, preferred stock investments,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the redeemable preferred stock investment, and the preferred stock investments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As of June 30, 2025, substantially all of the Company’s cash and cash equivalents were deposited in accounts at financial institutions, and amounts typically exceed federally insured limits. Management believes that the Company is not exposed to significant credit risk due to the financial strength of the depository institutions in which its cash and cash equivalents are held.</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segment, aggregating customers under common control, one customer comprised of $17.6 million, or 22%, of total revenue in the three months ended June 30, 2025, and $35.2 million, or 23%, of the Company’s revenue in the six months ended June 30, 2025. The same customer comprised of $16.9 million, or 24%, of total revenue in the three months ended June 30, 2024, and $29.6 million, or 22%, of the Company’s revenue in the six months ended June 30, 2024. The same customer comprised 29% of total accounts receivable, net, as of June 30, 2025, and 15% of total accounts receivable, net, as of December 31, 2024. For the therapeutic development segment, the Company does not have customers or revenue as it does not have any commercialized or approved drug candidates.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therapeutic development business relies on ANP Technologies, Inc., or ANP, for certain laboratory services, equipment, tools, and drug intermediates in connection with research and development efforts. In July 2025, the Company completed an acquisition of 100% of ANP. See more details in Note 17.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The Company also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it is unable to procure items needed for its therapeutic development activities. The Company believes there are currently only a few other manufacturers that are capable of supplying and servicing some of the equipment and other materials necessary for its laboratory operations, including sequencers and various associated reagents.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Reportable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reports its business in two segments, a laboratory services business and a therapeutic development business. For further financial information about these segments, including 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 and Geographic Information,</w:t>
      </w:r>
      <w:r>
        <w:rPr>
          <w:rFonts w:ascii="Times New Roman" w:cs="Times New Roman" w:eastAsia="Times New Roman" w:hAnsi="Times New Roman"/>
          <w:sz w:val="18"/>
          <w:szCs w:val="18"/>
          <w:color w:val="auto"/>
        </w:rPr>
        <w:t xml:space="preserve"> to the accompanying condensed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effect during the period. Gains and losses from these translations are recognized in foreign currency translation gain (loss) included in the accompanying Condensed Consolidated Statements of Comprehensive Loss.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that use the U.S. dollar as their functional currency remeasure monetary assets and liabilities at exchange rates in effect at the end of each period, and reagents and supplies, property, and nonmonetary assets and liabilities at historical rates. Gains and losses from these measurements are included in other income, net, in the accompanying Condensed Consolidated Statements of Operations. Gains and losses from foreign currency exchange were not significant for the three and six months ended June 30,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Comprehensive loss is comprised of net loss and other comprehensive income or loss. Other comprehensive income or loss consists of net unrealized gain or loss on available-for-sale debt securities, net of tax, and foreign currency translation adjustments from the Company’s subsidiaries not using the U.S. dollar as their functional currency. There was no reclassification from other comprehensive income or loss to net loss in the three and six months ended June 30, 2025. Reclassifications from other comprehensive loss to net loss were $0.3 million and $0.9 million in the three and six months ended June 30, 2024, respectively. The tax effect related to net unrealized gain or loss on the available-for-sale debt securities was zero in each of the three and six months ended June 30, 2025, and 2024, due to the valuation allowance that precludes the Company from recognizing the deferred tax benefit.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Institutional, including hospitals, medical institutions, other laboratories, governmental bodies, municipalities, and large corporations, (ii) Insurance,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six months ended June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r>
      <w:tr>
        <w:trPr>
          <w:trHeight w:val="210"/>
        </w:trPr>
        <w:tc>
          <w:tcPr>
            <w:tcW w:w="3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r>
      <w:tr>
        <w:trPr>
          <w:trHeight w:val="223"/>
        </w:trPr>
        <w:tc>
          <w:tcPr>
            <w:tcW w:w="3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payor</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Institutional</w:t>
            </w:r>
          </w:p>
        </w:tc>
        <w:tc>
          <w:tcPr>
            <w:tcW w:w="25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45,619</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38,950</w:t>
            </w: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72,554</w:t>
            </w:r>
          </w:p>
        </w:tc>
        <w:tc>
          <w:tcPr>
            <w:tcW w:w="120" w:type="dxa"/>
            <w:vAlign w:val="bottom"/>
          </w:tcPr>
          <w:p>
            <w:pPr>
              <w:spacing w:after="0"/>
              <w:rPr>
                <w:sz w:val="18"/>
                <w:szCs w:val="18"/>
                <w:color w:val="auto"/>
              </w:rPr>
            </w:pPr>
          </w:p>
        </w:tc>
      </w:tr>
      <w:tr>
        <w:trPr>
          <w:trHeight w:val="216"/>
        </w:trPr>
        <w:tc>
          <w:tcPr>
            <w:tcW w:w="3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34,385</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61,143</w:t>
            </w:r>
          </w:p>
        </w:tc>
        <w:tc>
          <w:tcPr>
            <w:tcW w:w="120" w:type="dxa"/>
            <w:vAlign w:val="bottom"/>
            <w:shd w:val="clear" w:color="auto" w:fill="CFF0FC"/>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w:t>
            </w:r>
          </w:p>
        </w:tc>
        <w:tc>
          <w:tcPr>
            <w:tcW w:w="17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18"/>
                <w:szCs w:val="18"/>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81,803</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20" w:type="dxa"/>
            <w:vAlign w:val="bottom"/>
            <w:shd w:val="clear" w:color="auto" w:fill="CFF0FC"/>
          </w:tcPr>
          <w:p>
            <w:pPr>
              <w:spacing w:after="0"/>
              <w:rPr>
                <w:sz w:val="19"/>
                <w:szCs w:val="19"/>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experienced a change in estimate related to variable consideration, leading to the recognition of $0.6 million and $1.8 million variable consideration, respectively, that related to COVID-19 test services completed in the prior periods due to collection efforts. This was included as revenue from insurance in the table above. There was zero such variable consideration recognized in each of the three and six months ended June 30, 2025. The Company estimates variable consideration using the expected value method. Any changes in variable consideration estimates that affect transactions are accounted for on a cumulative catch-up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Receivables from Insurance and Institutional customers represented 38% and 62%, respectively, as of June 30, 2025, and 44% and 56%, respectively, as of December 31, 2024.</w:t>
      </w:r>
    </w:p>
    <w:p>
      <w:pPr>
        <w:spacing w:after="0" w:line="17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$0.3 million and $0.2 million were recognized for the three and six months ended June 30, 2025, respectively, and $0.4 million and $1.2 million were recognized for the three and six months ended June 30, 2024, respectively, related to contract liabilities at the beginning of the respective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Period Reclassifications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Certain amounts reported in the prior period have been reclassified to conform with the current period presentation. In the Condensed Consolidated Statements of Cash Flow, the Company has separated income taxes from its previous inclusion in other current and long-term assets. In the Condensed Consolidated Statements of Operations, the Company has also separated interest income, and interest expenses from its previous inclusion in other income (expense), net. In Note 6. </w:t>
      </w:r>
      <w:r>
        <w:rPr>
          <w:rFonts w:ascii="Times New Roman" w:cs="Times New Roman" w:eastAsia="Times New Roman" w:hAnsi="Times New Roman"/>
          <w:sz w:val="18"/>
          <w:szCs w:val="18"/>
          <w:i w:val="1"/>
          <w:iCs w:val="1"/>
          <w:color w:val="auto"/>
        </w:rPr>
        <w:t>Other Significant Balance Sheet Accounts</w:t>
      </w:r>
      <w:r>
        <w:rPr>
          <w:rFonts w:ascii="Times New Roman" w:cs="Times New Roman" w:eastAsia="Times New Roman" w:hAnsi="Times New Roman"/>
          <w:sz w:val="18"/>
          <w:szCs w:val="18"/>
          <w:color w:val="auto"/>
        </w:rPr>
        <w:t>, the Company has combined accrued legal liabilities with other accrued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This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This update is intended to result in enhanced income tax disclosures, and the Company does not expect any impact to income tax expense.</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disclosure in the notes to financial statements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Amendments in this update are effective for annual periods beginning after December 15, 2026, and interim reporting periods beginning after December 15, 2027. Early adoption is permitted. The Company is currently evaluating the impacts of this amendment on its consolidated financial statements and related disclosure.</w:t>
      </w:r>
    </w:p>
    <w:p>
      <w:pPr>
        <w:spacing w:after="0" w:line="18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condensed consolidated financial statements.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293"/>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116,307</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64,933</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(54,559)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(54,559)</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205,047</w:t>
            </w:r>
          </w:p>
        </w:tc>
        <w:tc>
          <w:tcPr>
            <w:tcW w:w="100" w:type="dxa"/>
            <w:vAlign w:val="bottom"/>
          </w:tcPr>
          <w:p>
            <w:pPr>
              <w:spacing w:after="0"/>
              <w:rPr>
                <w:sz w:val="18"/>
                <w:szCs w:val="18"/>
                <w:color w:val="auto"/>
              </w:rPr>
            </w:pPr>
          </w:p>
        </w:tc>
      </w:tr>
      <w:tr>
        <w:trPr>
          <w:trHeight w:val="210"/>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362,816</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79,232</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484,471</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689,518</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704,519</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-3599815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-3599815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-3599815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-2211070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-2211070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-2211070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-1370965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-1370965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-1370965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-1079500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-1079500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4"/>
        </w:trPr>
        <w:tc>
          <w:tcPr>
            <w:tcW w:w="4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right"/>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right"/>
              <w:ind w:right="5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2"/>
              <w:spacing w:after="0" w:line="124"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0"/>
                <w:szCs w:val="10"/>
                <w:color w:val="auto"/>
              </w:rPr>
            </w:pPr>
          </w:p>
        </w:tc>
      </w:tr>
      <w:tr>
        <w:trPr>
          <w:trHeight w:val="173"/>
        </w:trPr>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75,165</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19,139</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Cash equivalents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(24,697)</w:t>
            </w: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00" w:type="dxa"/>
            <w:vAlign w:val="bottom"/>
          </w:tcPr>
          <w:p>
            <w:pPr>
              <w:spacing w:after="0"/>
              <w:rPr>
                <w:sz w:val="18"/>
                <w:szCs w:val="18"/>
                <w:color w:val="auto"/>
              </w:rPr>
            </w:pPr>
          </w:p>
        </w:tc>
      </w:tr>
      <w:tr>
        <w:trPr>
          <w:trHeight w:val="209"/>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377,342</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Yankee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shd w:val="clear" w:color="auto" w:fill="CFF0FC"/>
          </w:tcPr>
          <w:p>
            <w:pPr>
              <w:spacing w:after="0"/>
              <w:rPr>
                <w:sz w:val="18"/>
                <w:szCs w:val="18"/>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773,313</w:t>
            </w:r>
          </w:p>
        </w:tc>
        <w:tc>
          <w:tcPr>
            <w:tcW w:w="1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798,240</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-2828290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-2828290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-2828290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-1439545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-1439545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-1439545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-316865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-316865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$0.7 million and $4.1 million as of June 30, 2025, and December 31, 2024, respectively.</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There was no sale of available-for-sale securities for each of the three and six months ended June 30, 2025. Proceeds from sale of available-for-sale securities were $18.7 million and $75.6 million for the three and six months ended June 30, 2024, respectively. Gross realized losses on the Company’s available-for-sale securities were $0.3 million and $0.9 million for the three and six months ended June 30, 2024, respectively, and the gross realized income was insignificant for each of the three and six months ended June 30, 2024. The cost of any marketable securities sold is based on the specific-identification method.</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credit losses for its marketable available-for-sale debt securities during the three and six months ended June 30,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00" w:right="420" w:hanging="1025"/>
        <w:spacing w:after="0" w:line="282" w:lineRule="auto"/>
        <w:tabs>
          <w:tab w:leader="none" w:pos="15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5" w:name="page16"/>
    <w:bookmarkEnd w:id="15"/>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360" w:lineRule="exact"/>
        <w:rPr>
          <w:sz w:val="20"/>
          <w:szCs w:val="20"/>
          <w:color w:val="auto"/>
        </w:rPr>
      </w:pPr>
    </w:p>
    <w:p>
      <w:pPr>
        <w:ind w:left="580"/>
        <w:spacing w:after="0"/>
        <w:tabs>
          <w:tab w:leader="none" w:pos="15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unobservable for the asset or liability.</w:t>
      </w:r>
    </w:p>
    <w:p>
      <w:pPr>
        <w:spacing w:after="0" w:line="30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195,539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195,539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759,078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689,518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shd w:val="clear" w:color="auto" w:fill="CFF0FC"/>
          </w:tcPr>
          <w:p>
            <w:pPr>
              <w:spacing w:after="0"/>
              <w:rPr>
                <w:sz w:val="19"/>
                <w:szCs w:val="19"/>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2"/>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6"/>
        </w:trPr>
        <w:tc>
          <w:tcPr>
            <w:tcW w:w="5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r>
      <w:tr>
        <w:trPr>
          <w:trHeight w:val="209"/>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of privately-held companies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Yankee debt securities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822,937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64,103</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733,907</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-1979295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-1962785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-1979295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-1962785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-1979295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-1962785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preferred stock of two privately-held companies, which were included in other long-term assets in the accompanying Condensed Consolidated Balance Sheets, that were measured using unobservable (Level 3) inputs. For the value of the investment in private equity securities, the Company elected to measure them at cost minus impairment, as the preferred stock of the privately-held companies did not have a readily determinable fair value.</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performed a qualitative assessment to determine if any of its equity investments measured at cost minus impairment were impaired. Indicators considered included significant declines in the investee’s operating performance, adverse changes in industry conditions, and deterioration in the investee’s financial condition. As part of this review, the Company identified that Helio Genomics, Inc., or Helio Genomics, an investee in which the Company holds a non-marketable equity investment, exhibited several adverse conditions, including a deterioration in financial condition and the inability to secure sufficient financing to support future operations. Given these developments and their impact on Helio Genomics’ ability to continue funding its operations, management concluded that the Company’s investment in Helio Genomics was impaired. To estimate the fair value of the investment, the Company employed a discounted cash flow analysis, using assumptions including projected revenues and expenses, discount rates, and a terminal value multiple. The resulting estimated fair value was deemed insignificant.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carrying amount of the investment was $9.9 million. Accordingly, the Company recognized an impairment loss of $9.9 million. The impairment is reflected in “Other Expenses” within the Condensed Consolidated Statement of Operations for the three and six months ended June 30, 2025. The carrying amount of the investment in Helio Genomics on the Condensed Consolidated Balance Sheet was reduced to its fair value of an insignificant amount, which now represents its new cost basis. In accordance with Accounting Standards Codification 321, no subsequent increases in the fair value will be recognized in net income for this investment.</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its investments for changes in facts and circumstances that may indicate further impairments or observable price changes in orderly transactions.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impairment loss recorded as of June 30, 2025 for the other preferred stock investment.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2025, and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3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6"/>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lab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5 months to 13 Years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61,118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57,541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27,924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8"/>
              </w:rPr>
              <w:t>25 to 39 Years</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1 to 5 Years</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7,328</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10 Years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7,214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3,323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1 to 11 Years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4,109</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w w:val="99"/>
              </w:rPr>
              <w:t>5 to 15 Years</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44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3 to 8 Years</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equipment</w:t>
            </w:r>
          </w:p>
        </w:tc>
        <w:tc>
          <w:tcPr>
            <w:tcW w:w="4420" w:type="dxa"/>
            <w:vAlign w:val="bottom"/>
            <w:shd w:val="clear" w:color="auto" w:fill="CFF0FC"/>
          </w:tcPr>
          <w:p>
            <w:pPr>
              <w:jc w:val="center"/>
              <w:ind w:left="572"/>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17,347</w:t>
            </w:r>
          </w:p>
        </w:tc>
      </w:tr>
      <w:tr>
        <w:trPr>
          <w:trHeight w:val="21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157,260</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(58,736)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(51,711)</w:t>
            </w:r>
          </w:p>
        </w:tc>
      </w:tr>
      <w:tr>
        <w:trPr>
          <w:trHeight w:val="20"/>
        </w:trPr>
        <w:tc>
          <w:tcPr>
            <w:tcW w:w="3280" w:type="dxa"/>
            <w:vAlign w:val="bottom"/>
            <w:shd w:val="clear" w:color="auto" w:fill="CFF0FC"/>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110,223</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105,549</w:t>
            </w:r>
          </w:p>
        </w:tc>
      </w:tr>
      <w:tr>
        <w:trPr>
          <w:trHeight w:val="20"/>
        </w:trPr>
        <w:tc>
          <w:tcPr>
            <w:tcW w:w="3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-454025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fixed assets totaled $3.9 million and $7.7 million for the three and six months ended June 30, 2025, respectively, and $4.0 million and $8.6 million for the three and six months ended June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3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36,454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Reagents and supplies</w:t>
            </w: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3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5,793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3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58,610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1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Other accrued liabilities as of December 31, 2024, included $1.0 million in connection with the SEC investigation, as further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This amount has now been released after the SEC investigation was closed without any enforcement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Other accrued liabilities also included short-term finance lease liabilities, health insurance liabilities,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7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320" w:type="dxa"/>
            <w:vAlign w:val="bottom"/>
            <w:shd w:val="clear" w:color="auto" w:fill="CFF0FC"/>
          </w:tcPr>
          <w:p>
            <w:pPr>
              <w:jc w:val="right"/>
              <w:ind w:right="11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3,765</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1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ind w:right="11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5,905</w:t>
            </w:r>
          </w:p>
        </w:tc>
        <w:tc>
          <w:tcPr>
            <w:tcW w:w="100" w:type="dxa"/>
            <w:vAlign w:val="bottom"/>
          </w:tcPr>
          <w:p>
            <w:pPr>
              <w:spacing w:after="0"/>
              <w:rPr>
                <w:sz w:val="18"/>
                <w:szCs w:val="18"/>
                <w:color w:val="auto"/>
              </w:rPr>
            </w:pPr>
          </w:p>
        </w:tc>
        <w:tc>
          <w:tcPr>
            <w:tcW w:w="10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0"/>
        </w:trPr>
        <w:tc>
          <w:tcPr>
            <w:tcW w:w="7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has two distinct reportable segments. The laboratory services operating segment offers technical laboratory and testing services and professional interpretation of laboratory results by licensed physicians who specialize in pathology and oncology. The therapeutic development operating segment is a pharmaceutical research and development entity.</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Company’s Chief Executive Officer serves as its Chief Operating Decision Maker, or CODM. The CODM oversees the Company’s operations and evaluates financial data for its two operating segments separately to make resource allocation decisions. The financial information regularly provided to the CODM includes various performance metrics by reportable segment, such as gross profit, operating income or loss, income or loss before income taxes, net income or loss from consolidated operations, and net income or loss attributable to Fulgent, all presented in accordance with U.S. GAAP. Additionally, the CODM receives these metrics on a non-GAAP basis, which excludes the impact of equity-based compensation expenses, goodwill impairment losses, amortization of intangible assets, and restructuring costs, if applicable. Although multiple financial metrics are provided, the CODM primarily relies on adjusted operating income or loss, on a non-GAAP basis, to evaluate segment performance and allocate resources as this measure enhances the CODM's ability to compare past financial performance with current performance and analyze underlying business performance and trends. The balance sheet is presented on a consolidated basis, as the CODM does not use asset or liability information, including fixed assets, to assess segment performance. As a result, segment asset and liability details are not disclosed. The non-GAAP financial measures disclosed below should not be considered a substitute for, or superior to, financial measures determined or calculated in accordance with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 The Company did not allocate income tax by segment. Information regarding the Company’s operations and assets for its reportable segments as well as geographic information are as follows, all dollars are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5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5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Adjusted general and administrative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4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8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-1130935</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-856615</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-582295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-307975</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Adjusted general and administrative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adjusted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500" w:type="dxa"/>
            <w:vAlign w:val="bottom"/>
            <w:gridSpan w:val="2"/>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180" w:type="dxa"/>
            <w:vAlign w:val="bottom"/>
          </w:tcPr>
          <w:p>
            <w:pPr>
              <w:spacing w:after="0"/>
              <w:rPr>
                <w:sz w:val="24"/>
                <w:szCs w:val="24"/>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-1130935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-856615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-582295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-307975</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460" w:space="720"/>
            <w:col w:w="506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Laboratory Services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Therapeutic</w:t>
            </w:r>
          </w:p>
        </w:tc>
        <w:tc>
          <w:tcPr>
            <w:tcW w:w="320" w:type="dxa"/>
            <w:vAlign w:val="bottom"/>
          </w:tcPr>
          <w:p>
            <w:pPr>
              <w:spacing w:after="0"/>
              <w:rPr>
                <w:sz w:val="13"/>
                <w:szCs w:val="13"/>
                <w:color w:val="auto"/>
              </w:rPr>
            </w:pPr>
          </w:p>
        </w:tc>
        <w:tc>
          <w:tcPr>
            <w:tcW w:w="12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5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2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selling and marketing</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20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operating loss</w:t>
            </w:r>
          </w:p>
        </w:tc>
        <w:tc>
          <w:tcPr>
            <w:tcW w:w="25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5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3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loss” to “loss before income taxes”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(7,684)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(13,571)</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(add):</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(8,091)</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(7,706)</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(15,091)</w:t>
            </w: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(25,387)</w:t>
            </w:r>
          </w:p>
        </w:tc>
      </w:tr>
      <w:tr>
        <w:trPr>
          <w:trHeight w:val="20"/>
        </w:trPr>
        <w:tc>
          <w:tcPr>
            <w:tcW w:w="5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-170815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by segment excluded from the adjusted operating (loss)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7"/>
                <w:szCs w:val="17"/>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Precision diagnostics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47,292</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91,389</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Anatomic pathology</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BioPharma services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COVID-19</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 by segment:</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7"/>
                <w:szCs w:val="17"/>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 and expense by segment:</w:t>
            </w:r>
          </w:p>
        </w:tc>
        <w:tc>
          <w:tcPr>
            <w:tcW w:w="1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7"/>
                <w:szCs w:val="17"/>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22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-5305425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-5305425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-5305425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-3899535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-3899535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-3899535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-3616960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-3616960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-3616960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-2476500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-2459355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-2459355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-2459355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-933450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-916305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-916305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-933450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-916305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Total assets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1,111,177</w:t>
            </w:r>
          </w:p>
        </w:tc>
        <w:tc>
          <w:tcPr>
            <w:tcW w:w="6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88,661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1,199,838</w:t>
            </w:r>
          </w:p>
        </w:tc>
        <w:tc>
          <w:tcPr>
            <w:tcW w:w="6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1,219,964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4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7"/>
                <w:szCs w:val="17"/>
                <w:color w:val="auto"/>
              </w:rPr>
            </w:pPr>
          </w:p>
        </w:tc>
        <w:tc>
          <w:tcPr>
            <w:tcW w:w="27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76,207</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64,194</w:t>
            </w:r>
          </w:p>
        </w:tc>
        <w:tc>
          <w:tcPr>
            <w:tcW w:w="80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144,033</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foreign</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8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155,266</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68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countries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110,223</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-2785110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-2767965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-1550670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-1550670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-1550670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Notes payable as of June 30, 2025, consisted of $2.4 million of notes payable related to an installment sale contract the Company entered in February 2022 for a building. The notes payable related to the installment sale are due in February 2030, and carry an interest rate of 1.08%. The current portion and noncurrent portion are $0.5 million and $2.0 million, respectively, and the noncurrent portion is included in the other long-term liabilities in the accompanying Condensed Consolidated Balance Sheets. The interest expenses for the three and six months ended June 30, 2025, and 2024, were not significant.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periodic reports filed pursuant to the Securities Exchange Act of 1934, as amended, or the Exchange Act, the Company has received a Civil Investigative Demand, or CID, issued by the U.S. Department of Justice, or the DOJ, pursuant to the False Claims Act related to its investigation of allegations of medically unnecessary laboratory testing, improper billing for laboratory testing, and remuneration received or provided in violation of the Anti-Kickback Statute and the Stark Law. Among other things, this CID requests information and records relating to certain of the Company’s customers named in this CID.</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Similar to other laboratories in the industry, the Company has been subject to an audit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ended December 31, 2022, 2021, and 2020. There is uncertainty with respect to the methodology HRSA will use in its audit and whether and how HRSA will extrapolate audit results. The Company has provided HRSA’s auditors with requested information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connection with its audit in an effort to resolve any issues related to its audit, including any reimbursed amounts that may need to be returned to HRSA. The Company has also received a CID issued by the DOJ pursuant to the False Claims Act related to the DOJ’s investigation as to whether the Company submitted or caused to be submitted false claims to the Uninsured Program.</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fully cooperating with the DOJ in connection with the CIDs that it has received. The Company cannot currently predict when these CIDs and HRSA audit matters will be resolved, the reasonable or likely outcome of these matters, or their potential impact, which may materially and adversely affect the Company’s business, prospects, and financial condition. These matters are not formal claims, and discussions and investigations remain ongoing. As such, 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CIDs or audit matters.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and as previously disclosed, the SEC was conducting a non-public formal investigation, which related to (i) the matters raised in the requests for the CID regarding allegations of medically unnecessary laboratory testing, improper billing for laboratory testing, and remuneration received or provided in violation of the Anti-Kickback Statute and the Stark Law and (ii) the Company’s Exchange Act reports filed for 2018 through 2020. On May 6, 2024, the SEC staff advised the Company that the SEC staff made a preliminary determination to recommend that the SEC file an enforcement action against the Company based on a corporate negligence theory, which, if authorized, would have alleged violations of the Exchange Act. In April 2025, the SEC advised the Company that it had concluded this investigation, with no enforcement action recommended. The Company previously recorded a $1.0 million potential liability with respect to this matter and is no longer recording any potential liability in connection with this matter.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party as a lessee to various non-cancelable operating leases with varying terms through March 2034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of which some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Coppell, Texas; Needham, Massachusetts; Phoenix, Arizona; and Alpharetta, Georgia. The Company is also in the process of obtaining NATA accreditation in Dulwich, Australia.</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June 30, 2025, and December 31, 2024,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4220" w:type="dxa"/>
            <w:vAlign w:val="bottom"/>
            <w:gridSpan w:val="2"/>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4,809</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5,395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422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4220" w:type="dxa"/>
            <w:vAlign w:val="bottom"/>
            <w:gridSpan w:val="2"/>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3,765</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4,120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422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4220" w:type="dxa"/>
            <w:vAlign w:val="bottom"/>
            <w:gridSpan w:val="2"/>
            <w:shd w:val="clear" w:color="auto" w:fill="CFF0FC"/>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422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630"/>
        </w:trPr>
        <w:tc>
          <w:tcPr>
            <w:tcW w:w="4100" w:type="dxa"/>
            <w:vAlign w:val="bottom"/>
          </w:tcPr>
          <w:p>
            <w:pPr>
              <w:spacing w:after="0"/>
              <w:rPr>
                <w:sz w:val="24"/>
                <w:szCs w:val="24"/>
                <w:color w:val="auto"/>
              </w:rPr>
            </w:pPr>
          </w:p>
        </w:tc>
        <w:tc>
          <w:tcPr>
            <w:tcW w:w="2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following was operating and finance lease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r>
      <w:tr>
        <w:trPr>
          <w:trHeight w:val="196"/>
        </w:trPr>
        <w:tc>
          <w:tcPr>
            <w:tcW w:w="4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1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7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gridSpan w:val="2"/>
          </w:tcPr>
          <w:p>
            <w:pPr>
              <w:jc w:val="right"/>
              <w:ind w:right="78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1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8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leases was the following:</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operating leases</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5.91 years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operating leases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finance lease</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 years</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finance lease</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-1279525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-1279525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-1279525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-1279525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5"/>
                <w:szCs w:val="15"/>
                <w:color w:val="auto"/>
              </w:rPr>
            </w:pPr>
          </w:p>
        </w:tc>
      </w:tr>
      <w:tr>
        <w:trPr>
          <w:trHeight w:val="209"/>
        </w:trPr>
        <w:tc>
          <w:tcPr>
            <w:tcW w:w="6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6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7747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r>
      <w:tr>
        <w:trPr>
          <w:trHeight w:val="196"/>
        </w:trPr>
        <w:tc>
          <w:tcPr>
            <w:tcW w:w="3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3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3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Pr>
          <w:p>
            <w:pPr>
              <w:spacing w:after="0"/>
              <w:rPr>
                <w:sz w:val="18"/>
                <w:szCs w:val="18"/>
                <w:color w:val="auto"/>
              </w:rPr>
            </w:pPr>
          </w:p>
        </w:tc>
      </w:tr>
      <w:tr>
        <w:trPr>
          <w:trHeight w:val="24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2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23,153</w:t>
            </w:r>
          </w:p>
        </w:tc>
        <w:tc>
          <w:tcPr>
            <w:tcW w:w="100" w:type="dxa"/>
            <w:vAlign w:val="bottom"/>
            <w:shd w:val="clear" w:color="auto" w:fill="CFF0FC"/>
          </w:tcPr>
          <w:p>
            <w:pPr>
              <w:spacing w:after="0"/>
              <w:rPr>
                <w:sz w:val="21"/>
                <w:szCs w:val="21"/>
                <w:color w:val="auto"/>
              </w:rPr>
            </w:pPr>
          </w:p>
        </w:tc>
      </w:tr>
      <w:tr>
        <w:trPr>
          <w:trHeight w:val="629"/>
        </w:trPr>
        <w:tc>
          <w:tcPr>
            <w:tcW w:w="314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-933450</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-916305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-933450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-916305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-933450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-916305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$2.3 million and $2.1 million for the three and six months ended June 30, 2025, respectively, compared to $2.1 million and $2.5 million for the three and six months ended June 30, 2024, respectively. The Company’s effective tax rates were 11% and 6% for the three and six months ended June 30, 2025, respectively, compared to 19% and 10% for the three and six months ended June 30, 2024, respectively. The change in the effective tax rate compared to prior periods is due to the valuation allowance that precludes the Company from recognizing the benefit from net operating losses.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and 2023 tax years. While the timing of the conclusion of the examination is uncertain, the Company believes that adequate amounts have been reserved for adjustments that may result. During 2025, the statutes of limitations will lapse on the Company’s 2021 federal tax year and certain 2020 and 2021 state tax years. The Company does not believe the federal or state statute lapses or any other event will significantly impact the balance of unrecognized tax benefits in the next 12 months.</w:t>
      </w:r>
    </w:p>
    <w:p>
      <w:pPr>
        <w:spacing w:after="0" w:line="180"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The Company received an insignificant amount and $1.7 million in income tax refunds in the three and six months ended June 30, 2025, respectively, and $0.7 million and $7.0 million in the three and six months ended June 30, 2024, respectively. The income tax refunds received were not netted in the income tax paid amounts included in the supplemental disclosure in the accompanying Condensed Consolidated Statements of Cash Flows.</w:t>
      </w:r>
    </w:p>
    <w:p>
      <w:pPr>
        <w:spacing w:after="0" w:line="15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the Company purchased $33.8 million of Investment Tax Credits under the transferability provisions of the Inflation Reduction Act of 2022 for $31.7 million in cash. The $2.1 million difference between the purchase price and the face value of the credits has been recorded as an increase to the Company’s income tax benefit for the period. The Company will not utilize any of the acquired credits on its 2024 tax return. Instead, the Company will carry back the credits to its 2021 tax year and file a request for a refund. As such, the entire $33.8 million is reflected as an increase in the Company’s prepaid income tax in other current assets in the accompanying Condensed Consolidated Balance Sheets as of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and six months ended June 30,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5"/>
                <w:szCs w:val="15"/>
                <w:color w:val="auto"/>
              </w:rPr>
            </w:pPr>
          </w:p>
        </w:tc>
        <w:tc>
          <w:tcPr>
            <w:tcW w:w="27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r>
      <w:tr>
        <w:trPr>
          <w:trHeight w:val="223"/>
        </w:trPr>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(18,957)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(8,710)</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(30,487)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(22,172)</w:t>
            </w:r>
          </w:p>
        </w:tc>
      </w:tr>
      <w:tr>
        <w:trPr>
          <w:trHeight w:val="197"/>
        </w:trPr>
        <w:tc>
          <w:tcPr>
            <w:tcW w:w="446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5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4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6"/>
        </w:trPr>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30,544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30,098</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30,687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29,933</w:t>
            </w:r>
          </w:p>
        </w:tc>
        <w:tc>
          <w:tcPr>
            <w:tcW w:w="12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4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r>
      <w:tr>
        <w:trPr>
          <w:trHeight w:val="234"/>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-1048385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-1031240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-1048385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-1031240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-1048385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-1031240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-1048385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-1031240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-748030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-730885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-748030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-730885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-748030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-730885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-748030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r>
      <w:tr>
        <w:trPr>
          <w:trHeight w:val="210"/>
        </w:trPr>
        <w:tc>
          <w:tcPr>
            <w:tcW w:w="4800" w:type="dxa"/>
            <w:vAlign w:val="bottom"/>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23"/>
        </w:trPr>
        <w:tc>
          <w:tcPr>
            <w:tcW w:w="4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2025, and 2024, the Company had outstanding stock options and restricted stock units that were excluded from the weighted-average share calculation for continuing operations due to the Company’s net loss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13. Related Party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Ming Hsieh, the Chief Executive Officer and Chairperson of the Board of Directors, was on the board of directors and an approximately 20% owner of ANP prior to April 25, 2025, with which the Company entered into certain drug-related licensing and development service agreements. The Chief Executive Officer of Fulgent Pharma, Ray Yin, is the Founder, President and Chief Technology Officer of ANP. The Company incurred $0.1 million and $0.6 million related to the licensing and development services in the three and six months ended June 30, 2025, prior to April 25, 2025, respectively, and $0.3 million and $1.0 million in the three and six months ended June 30, 2024, respectively. As of April 25, 2025, and December 31, 2024, the Company owed $0.3 million and $0.2 million, respectively, to ANP in connection with these relationships. The Company also entered into an employee service agreement with ANP in April 2023 and recognized insignificant amounts in the three and six months ended June 30, 2025, and 2024. Insignificant amounts were owed to the Company by ANP in connection with the employee service agreement as of April 25, 2025, and December 31, 2024. In July 2025, the Company completed an acquisition of 100% of ANP. See more details in Note 17. </w:t>
      </w:r>
      <w:r>
        <w:rPr>
          <w:rFonts w:ascii="Times New Roman" w:cs="Times New Roman" w:eastAsia="Times New Roman" w:hAnsi="Times New Roman"/>
          <w:sz w:val="18"/>
          <w:szCs w:val="18"/>
          <w:i w:val="1"/>
          <w:iCs w:val="1"/>
          <w:color w:val="auto"/>
        </w:rPr>
        <w:t>Subsequent Events.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the carrying amount in the six months ended June 30, 2025. Goodwill as of June 30, 2025, and December 31, 2024, was $22.1 million, all of which was related to the therapeutic development business.</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operating segments represented the two reporting units.</w:t>
      </w:r>
    </w:p>
    <w:p>
      <w:pPr>
        <w:spacing w:after="0" w:line="162" w:lineRule="exact"/>
        <w:rPr>
          <w:sz w:val="20"/>
          <w:szCs w:val="20"/>
          <w:color w:val="auto"/>
        </w:rPr>
      </w:pPr>
    </w:p>
    <w:p>
      <w:pPr>
        <w:ind w:right="98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December 31, 2024, the Company concluded that the fair values of the therapeutic development reporting unit and the IPR&amp;D asset at December 31, 2024, were greater than the carrying values and that there was no impairment. There have been no significant changes in the six months ended June 30, 2025.</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drug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drug candidate is safe and effective. In addition, the availability and extent of coverage and reimbursement from insurance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color w:val="auto"/>
        </w:rPr>
        <w:t>Summaries of intangible assets balances as of June 30, 2025, and December 31,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240" w:type="dxa"/>
            <w:vAlign w:val="bottom"/>
          </w:tcPr>
          <w:p>
            <w:pPr>
              <w:spacing w:after="0"/>
              <w:rPr>
                <w:sz w:val="16"/>
                <w:szCs w:val="16"/>
                <w:color w:val="auto"/>
              </w:rPr>
            </w:pPr>
          </w:p>
        </w:tc>
        <w:tc>
          <w:tcPr>
            <w:tcW w:w="14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4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40" w:type="dxa"/>
            <w:vAlign w:val="bottom"/>
            <w:gridSpan w:val="6"/>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83,108</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(22,351)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60,757</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Royalty-free technology</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Trade name,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Purchased patent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Purchased patent, net</w:t>
            </w:r>
          </w:p>
        </w:tc>
        <w:tc>
          <w:tcPr>
            <w:tcW w:w="37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131,060</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-3805555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-3248025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-2691130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-2133600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-1576705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-1019175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acquisition of Fulgent Pharma in 2022 and has an indefinite life until research and development efforts are completed or abandoned. All other finite-lived acquisition-related intangibles related to the business combinations are amortized on a straight-line basis over their estimated lives, which approximates the pattern in which the economic benefits of the intangible assets are expected to be realized.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$2.0 million and $4.0 million in each of the three and six months ended June 30, 2025, and 2024, respectively.</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intangible assets recorded as of June 30, 2025, and assuming no subsequent impairment of the underlying assets, the annual amortization expense for intangible assets is expected to be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42"/>
        </w:trPr>
        <w:tc>
          <w:tcPr>
            <w:tcW w:w="48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right"/>
              <w:ind w:right="12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35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In March 2022, the Company’s Board of Directors authorized a $250.0 million stock repurchase program. Under the stock repurchase program, the Company may repurchase shares from time to time in the open market or in privately negotiated transactions. The stock repurchase program has no expiration from the date of authorization.</w:t>
      </w:r>
    </w:p>
    <w:p>
      <w:pPr>
        <w:spacing w:after="0" w:line="176" w:lineRule="exact"/>
        <w:rPr>
          <w:sz w:val="20"/>
          <w:szCs w:val="20"/>
          <w:color w:val="auto"/>
        </w:rPr>
      </w:pPr>
    </w:p>
    <w:p>
      <w:pPr>
        <w:ind w:right="220"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repurchased 0.2 million and 0.6 million shares of its common stock, respectively, at an aggregate cost of $3.0 million and $10.9 million, respectively, under the stock repurchase program. During the three and six months ended June 30, 2024, the Company repurchased zero and 10,000 shares of its common stock, respectively, at an aggregate cost of zero and $0.2 million, respectively. As of June 30, 2025, a total of approximately $139.6 million remained available for future repurchases of its common stock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4% of an employee’s compensation that the employee contributes to their 401(k) Plan account. Total Company matching contributions to the 401(k) Plan were $1.0 million and $2.2 million for the three and six months ended June 30, 2025, respectively, and $1.0 million and $1.9 million for the three and six months ended June 30, 2024,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July 9, 2025, the Company completed an acquisition of 100% of ANP, an innovation-driven company, which has developed multiple proprietary product platforms. The acquisition was structured as a combination of cash and stock, with a preliminary consideration of $4.2 million, net of cash received. The consideration includes a contingent consideration of approximately $5.7 million worth of the Company’s common stock based on ANP’s achievement of certain milestones as described in the acquisition agreement. The Company has not yet completed the purchase accounting due to the timing of the acquisition, and it continues to evaluate the estimated fair values of the assets acquired and the liabilities assumed. Accordingly, the fair value of the assets and liabilities acquired, including goodwill and other intangible assets, is not yet available.</w:t>
      </w:r>
    </w:p>
    <w:p>
      <w:pPr>
        <w:spacing w:after="0" w:line="18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This acquisition enables the Company to secure ownership of the patents previously licensed from ANP, which are currently utilized in ongoing clinical studies. By securing full ownership of these intellectual property rights, the Company aims to enhance its control over the development and commercialization of related therapeutic candidates, thereby aligning with its strategic objectives to advance clinical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July 4, 2025, President Trump signed into law the One Big Beautiful Bill Act, or OBBBA. The OBBBA makes permanent key elements of the Tax Cuts and Jobs Act, including 100% bonus depreciation and domestic research cost expensing. ASC 740,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requires the effects of changes in tax laws to be recognized in the period in which the legislation is enacted.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the enactment of the OBBBA occurred after the balance sheet date of June 30, 2025, the consolidated financial statements for the three and six months ended June 30, 2025, do not reflect any adjustments related to the OBBBA. The Company is still evaluating the full impact of the OBBBA. Any changes resulting from this evaluation will be reflected in the period in which the legislation was enacted.</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1"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2024, filed with the SEC on February 28, 2025, or the 2024 Annual Report. As used in this discussion and analysis and elsewhere in this report, unless the context otherwise requires, the terms “Fulgent,” the “Company,” “we,” “us” and “our” refer to Fulgent Genetics, Inc. and its consolidated subsidiaries.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2024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includes technical laboratory services and testing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of new and existing cancer drugs.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as described below and in the 2024 Annual Report. For more information,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 of the 2024 Annual Report and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Part II of our Quarterly Report for the quarter ended March 31, 2025, filed with the SEC on May 2, 2025, or our Q1 2025 Quarterly Report. In addition, our performance in any period is affected by a number of other factors. See the description of some of the material factors affecting our performance in “</w:t>
      </w:r>
      <w:r>
        <w:rPr>
          <w:rFonts w:ascii="Times New Roman" w:cs="Times New Roman" w:eastAsia="Times New Roman" w:hAnsi="Times New Roman"/>
          <w:sz w:val="18"/>
          <w:szCs w:val="18"/>
          <w:i w:val="1"/>
          <w:iCs w:val="1"/>
          <w:color w:val="auto"/>
        </w:rPr>
        <w:t>Item 7. 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Business Risks and Uncertainties and Other Factors Affecting Our Performance</w:t>
      </w:r>
      <w:r>
        <w:rPr>
          <w:rFonts w:ascii="Times New Roman" w:cs="Times New Roman" w:eastAsia="Times New Roman" w:hAnsi="Times New Roman"/>
          <w:sz w:val="18"/>
          <w:szCs w:val="18"/>
          <w:color w:val="auto"/>
        </w:rPr>
        <w:t>” of the 2024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and in “</w:t>
      </w:r>
      <w:r>
        <w:rPr>
          <w:rFonts w:ascii="Times New Roman" w:cs="Times New Roman" w:eastAsia="Times New Roman" w:hAnsi="Times New Roman"/>
          <w:sz w:val="18"/>
          <w:szCs w:val="18"/>
          <w:i w:val="1"/>
          <w:iCs w:val="1"/>
          <w:color w:val="auto"/>
        </w:rPr>
        <w:t>Item 2 Management’s Discussion and Analysis of Financial Condition and Results of Operations- Factors Affecting Our Performance</w:t>
      </w:r>
      <w:r>
        <w:rPr>
          <w:rFonts w:ascii="Times New Roman" w:cs="Times New Roman" w:eastAsia="Times New Roman" w:hAnsi="Times New Roman"/>
          <w:sz w:val="18"/>
          <w:szCs w:val="18"/>
          <w:color w:val="auto"/>
        </w:rPr>
        <w:t>” in our Q1 2025 Quarterly Report. In particular and as previously mentioned, we continue to be subject to audits and investigations by government agencies, including audits from applicable tax authorities, and continue to navigate changes and the effects of recent international trade policies and tax legislation. The final results of these matters are uncertain and could materially affect our business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 data, see “Item 7. Management’s Discussion and Analysis of Financial Condition and Results of Operations” of the 2024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0"/>
                <w:szCs w:val="10"/>
                <w:color w:val="auto"/>
              </w:rPr>
            </w:pPr>
          </w:p>
        </w:tc>
        <w:tc>
          <w:tcPr>
            <w:tcW w:w="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00" w:type="dxa"/>
            <w:vAlign w:val="bottom"/>
            <w:vMerge w:val="restart"/>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9"/>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 Data</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81,803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120" w:type="dxa"/>
            <w:vAlign w:val="bottom"/>
          </w:tcPr>
          <w:p>
            <w:pPr>
              <w:spacing w:after="0"/>
              <w:rPr>
                <w:sz w:val="18"/>
                <w:szCs w:val="18"/>
                <w:color w:val="auto"/>
              </w:rPr>
            </w:pP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47,368</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34,435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12,286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17,584</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54,148</w:t>
            </w:r>
          </w:p>
        </w:tc>
        <w:tc>
          <w:tcPr>
            <w:tcW w:w="1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20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102,289</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89,299</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(18,906)</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(40,704)</w:t>
            </w: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8,091</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(9,926)</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(9,926)</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5600%</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(9,498)</w:t>
            </w:r>
          </w:p>
        </w:tc>
        <w:tc>
          <w:tcPr>
            <w:tcW w:w="940" w:type="dxa"/>
            <w:vAlign w:val="bottom"/>
            <w:tcBorders>
              <w:right w:val="single" w:sz="8" w:color="CFF0FC"/>
            </w:tcBorders>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(9,051)</w:t>
            </w: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(10,305)</w:t>
            </w: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(25,387)</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(7,855)</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(10,166)</w:t>
            </w: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(22,936)</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(8,219)</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tcBorders>
              <w:right w:val="single" w:sz="8" w:color="CFF0FC"/>
            </w:tcBorders>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940" w:type="dxa"/>
            <w:vAlign w:val="bottom"/>
            <w:tcBorders>
              <w:right w:val="single" w:sz="8" w:color="CFF0FC"/>
            </w:tcBorders>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tcBorders>
              <w:right w:val="single" w:sz="8" w:color="CFF0FC"/>
            </w:tcBorders>
            <w:vMerge w:val="continue"/>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(8,710)</w:t>
            </w:r>
          </w:p>
        </w:tc>
        <w:tc>
          <w:tcPr>
            <w:tcW w:w="3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(10,247)</w:t>
            </w: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(8,315)</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not meaningful</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0"/>
                <w:szCs w:val="10"/>
                <w:color w:val="auto"/>
              </w:rPr>
            </w:pPr>
          </w:p>
        </w:tc>
        <w:tc>
          <w:tcPr>
            <w:tcW w:w="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laboratory services</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Precision diagnostics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120" w:type="dxa"/>
            <w:vAlign w:val="bottom"/>
          </w:tcPr>
          <w:p>
            <w:pPr>
              <w:spacing w:after="0"/>
              <w:rPr>
                <w:sz w:val="18"/>
                <w:szCs w:val="18"/>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91,389</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Anatomic pathology</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2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BioPharma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COVID-19</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(705)</w:t>
            </w:r>
          </w:p>
        </w:tc>
        <w:tc>
          <w:tcPr>
            <w:tcW w:w="940" w:type="dxa"/>
            <w:vAlign w:val="bottom"/>
            <w:tcBorders>
              <w:right w:val="single" w:sz="8" w:color="CFF0FC"/>
            </w:tcBorders>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(1,981)</w:t>
            </w: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laboratory services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71,028</w:t>
            </w:r>
          </w:p>
        </w:tc>
        <w:tc>
          <w:tcPr>
            <w:tcW w:w="120" w:type="dxa"/>
            <w:vAlign w:val="bottom"/>
          </w:tcPr>
          <w:p>
            <w:pPr>
              <w:spacing w:after="0"/>
              <w:rPr>
                <w:sz w:val="18"/>
                <w:szCs w:val="18"/>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200" w:type="dxa"/>
            <w:vAlign w:val="bottom"/>
          </w:tcPr>
          <w:p>
            <w:pPr>
              <w:spacing w:after="0"/>
              <w:rPr>
                <w:sz w:val="18"/>
                <w:szCs w:val="18"/>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2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-4731385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-4731385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-4731385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-4731385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-4731385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-4731385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-3891280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-3891280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-3891280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-3891280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-3891280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-3891280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-2767965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-2767965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-2767965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-2767965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-2767965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-2767965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-2485390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-2485390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-2485390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-2485390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-2485390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-2485390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-2073910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-2073910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-2073910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-2073910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-2073910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-2073910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-170815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-170815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$10.8 million, or 15%, from $71.0 million in the three months ended June 30, 2024, to $81.8 million in the three months ended June 30, 2025. The increase in revenue between periods was driven by increases of $4.1 million in precision diagnostics, $4.7 million in anatomic pathology, and $2.6 million in BioPharma services, partially offset by a decrease of $0.7 million in COVID-19 testing.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by $19.8 million, or 15%, from $135.5 million in the six months ended June 30, 2024, to $155.3 million in the six months ended June 30, 2025. The increase in revenue between periods was driven by increases of $10.8 million in precision diagnostics, $6.9 million in anatomic pathology, and $4.1 million in BioPharma services, partially offset by a decrease of $2.0 million in COVID-19 testing.</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increase in precision diagnostics revenue was driven by growth in our reproductive health services and continued strength in legacy diagnostic offerings. Anatomic pathology services revenue increased primarily due to the absence of weather-related disruptions and client losses that had affected the prior year; in addition, the investment that we have made in digital pathology is starting to show return. BioPharma services revenue increased largely as a result of the timing of service projects, though this revenue is expected to remain variable due to the long sale cycles and fluctuations in project timing. Additionally, COVID-19 related revenue recognized in 2024 was due to variable consideration recognized for services completed in prior periods. We do not expect future material revenues from our COVID-19 testing services.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insurance payors; 2) the concentration of our payor base; 3) the competitive advantage we have due to our broad and flexible test menu, detection rate, and turnaround times; and 4) growth in size of an addressable market. Estimated collection amounts from insurance payors are subject to the complexities and ambiguities of billing, reimbursement regulations and claims processing, as well as considerations unique to Medicare and Medicaid programs. Because our proprietary technology platform 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segment, aggregating customers that are under common control, one customer comprised $17.6 million, or 22%, of our revenue in the three months ended June 30, 2025, and contributed $35.2 million, or 23%, of total revenue in the six months ended June 30, 2025. The same customer contributed $16.9 million, or 24%, of our revenue in the three months ended June 30, 2024, and contributed $29.6 million, or 22%, of total revenue in the six months ended June 30, 2024. To reduce this revenue risk, we will focus on increasing the number of customers and thereby reducing the concentration.</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Revenue from non-U.S. sources decreased by $1.2 million, or 18%, from $6.8 million in the three months ended June 30, 2024, to $5.6 million in the three months ended June 30, 2025. Revenue from non-U.S. sources decreased by $2.2 million, or 17%, from $13.5 million in the six months ended June 30, 2024, to $11.2 million in the six months ended June 30, 2025. The decrease was primarily due to a one-time licensing arrangement recognized in the prior period that did not recur in the current period. Additionally, the Company started to group revenue from Puerto Rico and the U.S. Virgin Islands as United States geographic revenue beginning in the third quarter of 2024. These revenues had historically been grouped as non-U.S.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78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60" w:type="dxa"/>
            <w:vAlign w:val="bottom"/>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7"/>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47,368</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92,485</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increased by $2.8 million, or 6%, from $44.5 million in the three months ended June 30, 2024, to $47.4 million in the three months ended June 30, 2025. The increase was primarily due to increases of $1.9 million in personnel expenses, $0.7 million in reagent and supply costs, $0.6 million in consulting and outside labor costs, $0.5 million in depreciation expenses, and partially offset by decreases of $0.6 million in facility expenses, $0.2 million in shipping and handling expenses, and $0.1 million in software and software licensing.</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consolidated cost of revenue increased by $5.6 million, or 6%, from $86.9 million in the six months ended June 30, 2024, to $92.5 million in the six months ended June 30, 2025. The increase was primarily due to increases of $3.0 million in personnel costs due to increased headcount, $1.6 million in reagent and supply costs, $0.5 million in depreciation expenses, $0.4 million in office expenses, $0.4 million in consulting and outside labor costs, $0.3 million in facility expenses, $0.3 million in software and software licensing, and partially offset by a decrease of $1.0 million in shipping and handling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63% in the three months ended June 30, 2024, to 58% in the three months ended June 30, 2025. Our consolidated cost of revenues as a percentage of revenue decreased from 64% in the six months ended June 30, 2024, to 60% in the six months ended June 30, 2025.</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gross profit increased by $7.9 million, or 30%, from $26.5 million in the three months ended June 30, 2024, to $34.4 million in the three months ended June 30, 2025, and increased $14.2 million, or 29%, from $48.6 million in the six months ended June 30, 2024, to $62.8 million in the six months ended June 30, 2025. Our gross profit as a percentage of revenue, or gross margin, increased from 37% in the three months ended June 30, 2024, to 42% in the three months ended June 30, 2025, and 36% in the six months ended June 30, 2024, to 40% in the six months ended June 30, 2025. This is driven by the increased revenue and efforts of optimizing cost structures.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0"/>
                <w:szCs w:val="10"/>
                <w:color w:val="auto"/>
              </w:rPr>
            </w:pPr>
          </w:p>
        </w:tc>
        <w:tc>
          <w:tcPr>
            <w:tcW w:w="56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0"/>
                <w:szCs w:val="10"/>
                <w:color w:val="auto"/>
              </w:rPr>
            </w:pPr>
          </w:p>
        </w:tc>
        <w:tc>
          <w:tcPr>
            <w:tcW w:w="58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 development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-170815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-170815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-170815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2025, research and development expenses for our laboratory services segment remained largely in line with prior-year periods. This consistent spending supports advancing our core technology and expanding future testing services. Personnel costs, including bonuses and equity-based compensation, were the primary driver, totaling approximately $6.8 million and $6.4 million in the three months ended June 30, 2025, and 2024, respectively, and $13.1 million in each of the six months ended June 30, 2025, and 2024. Reagent and supply costs were $0.3 million for each of the three months ended June 30, 2025, and 2024 and $0.7 million for each of the six months ended June 30, 2025, and 2024. All other expense categories including facilities, depreciation, software and software licensing, are not individually significant and have remained stable. We expect research and development expenses for our laboratory services segment continue to remain consistent for the remainder of 2025.</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the three months ended June 30, 2025, consisted of $3.1 million in contract research organizations, or CRO, costs, $2.6 million in personnel costs, including equity-based compensation, and $0.2 million in depreciation expenses. In the three months ended June 30, 2024, these expenses comprised $3.3 million in CRO costs, $2.6 million of personnel costs, including equity-based compensation, and $0.2 million in depreciation expenses.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the therapeutic development segment, the research and development expenses in the six months ended June 30, 2025, consisted of $5.7 million in CRO costs, $5.1 million in personnel costs, including equity-based compensation, and $0.3 million in depreciation expenses. In the six months ended June 30, 2024, these expenses comprised $5.6 million in CRO costs, $4.2 million of personnel expenses, including equity-based compensation, and $0.3 million in depreciation expenses.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segment remained flat for each of the three months ended June 30, 2025, and 2024. Research and development expenses for the therapeutic development segment increased by $1.1 million, or 11%, from $10.3 million in the six months ended June 30, 2024, to $11.3 million in the six months ended June 30, 2025. The increase was primarily driven by increases of $0.9 million in personnel costs, including equity-based compensation expense, and $0.1 million in CRO costs. The overall increase was attributed to the advancement and continuation of the clinical study of FID-007, along with FID-022. In the three and six months ended June 30, 2025, approximately $0.6 million and $1.6 million, respectively, was incurred for the preclinical development of FID-022, whereas related costs in the three and six months ended June 30, 2024, were minimal. Expenses for our therapeutic development segment will be influenced by our ability to progress our therapeutic candidates through development with the Food and Drug Administration, or the FDA, the timing of which can be uncertain and delayed due to a variety of factors beyond our control, including recently announced staff reductions at the FDA which may affect the FDA’s ability to provide any required approvals or review in a timely manner or in the timelines expected.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Looking ahead, we expect research and development expenses to continue increasing as clinical trials progress for FID-007, FID-022, and other preclinical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$3.7 million, or 43%, from $8.6 million in the three months ended June 30, 2024, to $12.3 million in the three months ended June 30, 2025. The increase in consolidated selling and marketing expenses was due to increases of $1.6 million in personnel costs, $1.5 million in advertising and marketing expenses, $0.3 million in software and software licensing, and $0.2 million in consulting and outside labor.</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consolidated selling and marketing expenses increased by $3.2 million, or 18%, from $17.6 million in the six months ended June 30, 2024, to $20.8 million in the six months ended June 30, 2025. The increase in consolidated selling and marketing expenses was due to increases of $1.3 million in personnel costs, $1.3 million in advertising and marketing expenses, $0.3 million in consulting and outside labor, and $0.2 million in software and software licensing.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$5.1 million, or 24%, from $21.3 million in the three months ended June 30, 2024, to $26.4 million in the three months ended June 30, 2025. The increase in consolidated general and administrative expenses was due to increases of $4.3 million in provision for credit losses, $0.7 million in personnel costs, $0.5 million in software and software licensing fees, $0.5 million in consulting and outside labor costs, $0.4 million in insurance charges, and partially offset by decreases of $0.9 million in facility expenses and $0.5 million in depreciation expenses.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consolidated general and administrative expenses increased by $8.9 million, or 21%, from $42.8 million in the six months ended June 30, 2024, to $51.7 million in the six months ended June 30, 2025. The increase in consolidated general and administrative expenses was due to increases of $8.8 million in provision for credit losses, $1.7 million in personnel costs, $0.7 million in software and software licensing fees, $0.7 million in consulting and outside labor costs, $0.6 million in insurance charges, $0.3 million in bank charges, $0.3 million in office expenses, and partially offset by decreases of $2.0 million in facility expenses, $1.3 million in depreciation expenses, $0.5 million in legal and professional fees, and $0.3 million in accounting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Our consolidated amortization of intangible assets represents amortization expenses on the intangible assets that arose from the business combinations in 2022 and 2021, and a patent purchased in 2021. The Company did not have any new business combinations in the current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is primarily comprised of interest income, which was $8.1 million and $16.1 million in the three and six months ended June 30, 2025, respectively, $7.7 million and $15.1 million in the three and six months ended June 30, 2024, respectively. This interest income included interest earned on marketable securities and realized gain or loss on sale of marketable securities. The change in interest income was primarily due to net loss realized from sale of marketable securities in prior year. Other expenses primarily consisted of a one-time, non-cash impairment of a prior investment as discussed further in Note 4 of the financial statements included in this quarterly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Benefit from income taxes was $2.3 million and $2.1 million for the three and six months ended June 30, 2025, respectively, compared with $2.1 million and $2.5 million for the three and six months ended June 30, 2024, respectively. The Company’s effective tax rate was 11% and 6% the three and six months ended June 30, 2025, respectively, compared to 19% and 10% for the three and six months ended June 30, 2024, respectively. The change in the effective tax rate compared to prior period is due to the valuation allowance that precludes us from recognizing the benefit from our net operating losses.</w:t>
      </w:r>
    </w:p>
    <w:p>
      <w:pPr>
        <w:spacing w:after="0" w:line="1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OBBBA. The OBBBA makes permanent key elements of the Tax Cuts and Jobs Act, including 100% bonus depreciation and domestic research cost expensing. ASC 740, “Income Taxes,” requires the effects of changes in tax laws to be recognized in the period in which the legislation is enacted.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the enactment of the OBBBA occurred after the balance sheet date of June 30, 2025, the consolidated financial statements for the three and six months ended June 30, 2025, do not reflect any adjustments related to the OBBBA. We are still evaluating the full impact of the OBBBA. Any changes resulting from this evaluation will be reflected in the period in which the legislation was enacted.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minority shareholders from entities not wholly owned.</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had $777.5 million and $828.6 million in cash, cash equivalents, restricted cash, and marketable securities as of June 30, 2025, and December 31, 2024, respectively. Our marketable securities primarily consist of U.S. government and U.S. agency debt securities, U.S. treasury bills, corporate bonds, municipal bonds, and Yankee debt securities as of June 30, 2025, and December 31, 2024.</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main uses of cash are for capital expenditures, primarily in buildings, building improvements, and medical laboratory equipment, as well as for stock repurchases, supporting our operations, and to fund strategic acquisitions as we continue to invest in and seek to grow our business. Cash used to cover operating expenses is impacted by the timing of our expense payments, as reflected in the changes in our outstanding accounts payable and accrued expenses.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expect our existing cash, cash equivalents, restricted cash, and short-term marketable securities will continue to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We intend to improve our profitability by improving margins and expanding in new markets for our tests, but these efforts are subject to risks, including those described in Item 1A of the 2024 Annual Report, and may not be successful.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ind w:right="180"/>
        <w:spacing w:after="0" w:line="282" w:lineRule="auto"/>
        <w:rPr>
          <w:sz w:val="20"/>
          <w:szCs w:val="20"/>
          <w:color w:val="auto"/>
        </w:rPr>
      </w:pPr>
      <w:r>
        <w:rPr>
          <w:rFonts w:ascii="Times New Roman" w:cs="Times New Roman" w:eastAsia="Times New Roman" w:hAnsi="Times New Roman"/>
          <w:sz w:val="18"/>
          <w:szCs w:val="18"/>
          <w:color w:val="auto"/>
        </w:rPr>
        <w:t>which could lower the economic value to us of these tests, programs or initiatives. Any such outcome could significantly harm our business, performance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each of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(34,602)</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18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(39,882)</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(13,810)</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our operations used $34.6 million of cash, as compared to $11.6 million provided in the six months ended June 30, 2024. The decrease in cash from operating activities in the six months ended June 30, 2025, as compared with the corresponding period in 2024, was primarily due to the purchase of IRA tax credits of $33.8 million and timing of cash receipts from customers and cash payments for operating expenses. We expect to incur more operating expenses and use more cash in operating activities in the coming quarters as a result of our planned and ongoing clinical trials for FID-007 and FID-022, and as we continue to invest resources to grow our laboratory services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 the six months ended June 30, 2025 was $81.1 million, which primarily represents $92.7 million in the maturities of marketable securities, partially offset by $11.5 million related to the purchase of fixed assets consisting mainly of building improvement, medical laboratory equipment, and computer hardware.</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2024, was $39.9 million, which primarily represents $258.8 million in purchase of marketable securities and $17.0 million related to the purchase of fixed assets, including real estate, partially offset by $160.1 million related to maturities of marketable securities and $75.6 million related to proceeds from the sale of marketable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2025, was $13.8 million, which primarily related to $10.9 million used in the repurchase of common stock and $2.2 million used in common stock withholding for employee tax obligations.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2024, was $4.0 million, which primarily related to $2.2 million used in common stock withholding for employee tax obligations, $1.2 million used in the repayment of notes payable, and $0.2 million for repurchase of common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expect to use any credit facilities due to the strong cash position as of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76"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we repurchased 0.2 million and 0.6 million shares of our common stock, respectively, at an aggregate cost of $3.0 million and $10.9 million, respectively, under the stock repurchase program. During the three and six months ended June 30, 2024, we repurchased zero and 10,000 shares of our common stock, respectively, at an aggregate cost of zero and $0.2 million, respectively, under the stock repurchase program. As of June 30, 2025, a total of approximately $139.6 million remained available for future repurchases of our common stock under our stock repurchase program.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2024 Annual Report.</w:t>
      </w: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2024 Annual Report. There were no material changes during the six months ended June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principal executive officer and principal financial officer, conducted an evaluation of the effectiveness of our disclosure controls and procedures as of June 30, 2025. Based on this evaluation, our principal executive officer and principal financial officer concluded that our disclosure controls and procedures were effective as of June 30, 2025.</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three and six months ended June 30, 2025, that have materially affected or are reasonably likely to materially affect our internal control over financial reporting.</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we are engaged in certain legal investigations, audits, and 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processes, and the disclosure set forth in Note 8 relating to these certain legal matters is incorporated herein by reference.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these matters are inherently uncertain, and there can be no assurances that favorable outcomes will be obtained.</w:t>
      </w:r>
    </w:p>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Part I, “Item 1A, Risk Factors,” of the 2024 Annual Report and as set forth in Part II, “Item 1A. Risk Factors” of our Form 10-Q for the quarter ended March 31, 2025, filed with the SEC on May 2,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date, we have used $267.9 million of the net proceeds from sales of our common stock to fund the Company’s operations and business combinations.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applicable prospectus.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the Company may repurchase shares from time to time in the open market or in privately negotiated transactions. All purchases listed below were made in the open market at prevailing market prices and were executed pursuant to trading plans we adopted pursuant to Rule 10b5-1 under the Exchange Act.</w:t>
      </w:r>
    </w:p>
    <w:p>
      <w:pPr>
        <w:spacing w:after="0" w:line="180"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for the three months ended June 30, 2025, are as follows:</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4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 Total Number of</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76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restart"/>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Shares Repurchased</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jc w:val="right"/>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Per Share (1)</w:t>
            </w: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2025 (4/1/2025-4/30/2025)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139,493,000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May 2025 (5/1/2025-5/31/2025)</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2025 (6/1/2025-6/30/2025)</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139,493,000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-156845</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-156845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-10795</wp:posOffset>
            </wp:positionV>
            <wp:extent cx="9086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-10795</wp:posOffset>
            </wp:positionV>
            <wp:extent cx="8915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-127635</wp:posOffset>
            </wp:positionV>
            <wp:extent cx="9086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-127635</wp:posOffset>
            </wp:positionV>
            <wp:extent cx="8915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60" w:firstLine="509"/>
        <w:spacing w:after="0" w:line="219" w:lineRule="exact"/>
        <w:rPr>
          <w:sz w:val="20"/>
          <w:szCs w:val="20"/>
          <w:color w:val="auto"/>
        </w:rPr>
      </w:pPr>
      <w:r>
        <w:rPr>
          <w:rFonts w:ascii="Times New Roman" w:cs="Times New Roman" w:eastAsia="Times New Roman" w:hAnsi="Times New Roman"/>
          <w:sz w:val="18"/>
          <w:szCs w:val="18"/>
          <w:color w:val="auto"/>
        </w:rPr>
        <w:t>During the three months ended June 30, 2025, none of our directors or officers adopted or terminated “Rule 10b5-1 trading arrangement” as defined in Item 408 of Regulation S-K. However, Ming Hsieh, our Chief Executive Officer, terminated a prepaid variable forward agreement, or the Prepaid Agreement, dated as of September 14, 2022, with an unaffiliated bank, which constitutes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as defined in Item 408 of Regulation S-K. Under the Prepaid Agreement, Mr. Hsieh pledged up to 0.8 million shares of our common stock, or the Pledged Shares. On June 9, 2025, Mr. Hsieh elected to terminate the arrangement. Upon the payment of $16.4 million, the Pledged Shares were no longer subject to the Prepaid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immediately preceding the signature page of this report and is incorporated herein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tbl>
      <w:tblPr>
        <w:tblLayout w:type="fixed"/>
        <w:tblInd w:w="0" w:type="dxa"/>
        <w:tblCellMar>
          <w:top w:w="0" w:type="dxa"/>
          <w:left w:w="0" w:type="dxa"/>
          <w:bottom w:w="0" w:type="dxa"/>
          <w:right w:w="0" w:type="dxa"/>
        </w:tblCellMar>
      </w:tblPr>
      <w:tr>
        <w:trPr>
          <w:trHeight w:val="155"/>
        </w:trPr>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60" w:type="dxa"/>
            <w:vAlign w:val="bottom"/>
            <w:gridSpan w:val="8"/>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6060" w:type="dxa"/>
            <w:vAlign w:val="bottom"/>
            <w:gridSpan w:val="8"/>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12">
              <w:r>
                <w:rPr>
                  <w:rFonts w:ascii="Times New Roman" w:cs="Times New Roman" w:eastAsia="Times New Roman" w:hAnsi="Times New Roman"/>
                  <w:sz w:val="14"/>
                  <w:szCs w:val="14"/>
                  <w:color w:val="0000FF"/>
                </w:rPr>
                <w:t>Certificate of Incorporation of the registrant, as amended.</w:t>
              </w:r>
            </w:hyperlink>
          </w:p>
        </w:tc>
        <w:tc>
          <w:tcPr>
            <w:tcW w:w="1260" w:type="dxa"/>
            <w:vAlign w:val="bottom"/>
          </w:tcPr>
          <w:p>
            <w:pPr>
              <w:spacing w:after="0"/>
              <w:rPr>
                <w:sz w:val="23"/>
                <w:szCs w:val="23"/>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13">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278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14">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060" w:type="dxa"/>
            <w:vAlign w:val="bottom"/>
            <w:gridSpan w:val="8"/>
          </w:tcPr>
          <w:p>
            <w:pPr>
              <w:spacing w:after="0"/>
              <w:rPr>
                <w:rFonts w:ascii="Times New Roman" w:cs="Times New Roman" w:eastAsia="Times New Roman" w:hAnsi="Times New Roman"/>
                <w:sz w:val="14"/>
                <w:szCs w:val="14"/>
                <w:color w:val="0000FF"/>
              </w:rPr>
            </w:pPr>
            <w:hyperlink r:id="rId415">
              <w:r>
                <w:rPr>
                  <w:rFonts w:ascii="Times New Roman" w:cs="Times New Roman" w:eastAsia="Times New Roman" w:hAnsi="Times New Roman"/>
                  <w:sz w:val="14"/>
                  <w:szCs w:val="14"/>
                  <w:color w:val="0000FF"/>
                </w:rPr>
                <w:t>Amended and Restated Bylaws of the registrant.</w:t>
              </w:r>
            </w:hyperlink>
          </w:p>
        </w:tc>
        <w:tc>
          <w:tcPr>
            <w:tcW w:w="126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60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440" w:type="dxa"/>
            <w:vAlign w:val="bottom"/>
            <w:tcBorders>
              <w:bottom w:val="single" w:sz="8" w:color="0000FF"/>
            </w:tcBorders>
          </w:tcPr>
          <w:p>
            <w:pPr>
              <w:jc w:val="right"/>
              <w:spacing w:after="0" w:line="129" w:lineRule="exact"/>
              <w:rPr>
                <w:sz w:val="20"/>
                <w:szCs w:val="20"/>
                <w:color w:val="auto"/>
              </w:rPr>
            </w:pPr>
            <w:r>
              <w:rPr>
                <w:rFonts w:ascii="Times New Roman" w:cs="Times New Roman" w:eastAsia="Times New Roman" w:hAnsi="Times New Roman"/>
                <w:sz w:val="14"/>
                <w:szCs w:val="14"/>
                <w:color w:val="0000FF"/>
                <w:w w:val="89"/>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5540" w:type="dxa"/>
            <w:vAlign w:val="bottom"/>
            <w:tcBorders>
              <w:top w:val="single" w:sz="8" w:color="0000FF"/>
              <w:bottom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500" w:type="dxa"/>
            <w:vAlign w:val="bottom"/>
            <w:tcBorders>
              <w:bottom w:val="single" w:sz="8" w:color="0000FF"/>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0000FF"/>
              </w:rPr>
              <w:t>of 2002.</w:t>
            </w: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44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1620" w:type="dxa"/>
            <w:vAlign w:val="bottom"/>
            <w:tcBorders>
              <w:top w:val="single" w:sz="8" w:color="0000FF"/>
            </w:tcBorders>
            <w:gridSpan w:val="5"/>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60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X</w:t>
            </w:r>
          </w:p>
        </w:tc>
        <w:tc>
          <w:tcPr>
            <w:tcW w:w="6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912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00" w:hanging="292"/>
        <w:spacing w:after="0"/>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708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191"/>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Ming Hsieh</w:t>
            </w:r>
          </w:p>
        </w:tc>
      </w:tr>
      <w:tr>
        <w:trPr>
          <w:trHeight w:val="214"/>
        </w:trPr>
        <w:tc>
          <w:tcPr>
            <w:tcW w:w="4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191"/>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Paul Kim</w:t>
            </w:r>
          </w:p>
        </w:tc>
      </w:tr>
      <w:tr>
        <w:trPr>
          <w:trHeight w:val="234"/>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9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41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41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95"/>
        </w:trPr>
        <w:tc>
          <w:tcPr>
            <w:tcW w:w="4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June 30, 2025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Ming Hsieh</w:t>
            </w:r>
          </w:p>
        </w:tc>
      </w:tr>
      <w:tr>
        <w:trPr>
          <w:trHeight w:val="187"/>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Ming Hsieh</w:t>
            </w:r>
          </w:p>
        </w:tc>
      </w:tr>
      <w:tr>
        <w:trPr>
          <w:trHeight w:val="220"/>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4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Kim</w:t>
            </w:r>
          </w:p>
        </w:tc>
      </w:tr>
      <w:tr>
        <w:trPr>
          <w:trHeight w:val="187"/>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Paul Kim</w:t>
            </w:r>
          </w:p>
        </w:tc>
      </w:tr>
      <w:tr>
        <w:trPr>
          <w:trHeight w:val="220"/>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4"/>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12" Type="http://schemas.openxmlformats.org/officeDocument/2006/relationships/hyperlink" Target="https://www.sec.gov/Archives/edgar/data/1674930/000119312516700733/d360404dex31.htm" TargetMode="External"/><Relationship Id="rId413" Type="http://schemas.openxmlformats.org/officeDocument/2006/relationships/hyperlink" Target="https://www.sec.gov/Archives/edgar/data/1674930/000119312516700733/d360404dex311.htm" TargetMode="External"/><Relationship Id="rId414" Type="http://schemas.openxmlformats.org/officeDocument/2006/relationships/hyperlink" Target="https://www.sec.gov/Archives/edgar/data/1674930/000156459017017670/flgt-ex312_342.htm" TargetMode="External"/><Relationship Id="rId415"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2025-08-01T06:13:11Z</dcterms:created>
  <dcterms:modified xsi:type="dcterms:W3CDTF">2025-08-01T06:13:11Z</dcterms:modified>
</cp:coreProperties>
</file>