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 One)</w:t>
      </w:r>
    </w:p>
    <w:p>
      <w:pPr>
        <w:spacing w:after="0" w:line="24" w:lineRule="exact"/>
        <w:rPr>
          <w:sz w:val="24"/>
          <w:szCs w:val="24"/>
          <w:color w:val="auto"/>
        </w:rPr>
      </w:pPr>
    </w:p>
    <w:p>
      <w:pPr>
        <w:ind w:right="300" w:firstLine="8"/>
        <w:spacing w:after="0" w:line="243" w:lineRule="auto"/>
        <w:tabs>
          <w:tab w:leader="none" w:pos="405"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right="300" w:firstLine="8"/>
        <w:spacing w:after="0" w:line="245" w:lineRule="auto"/>
        <w:tabs>
          <w:tab w:leader="none" w:pos="405"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8" w:lineRule="exact"/>
        <w:rPr>
          <w:sz w:val="24"/>
          <w:szCs w:val="24"/>
          <w:color w:val="auto"/>
        </w:rPr>
      </w:pPr>
    </w:p>
    <w:p>
      <w:pPr>
        <w:ind w:left="30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3448685</wp:posOffset>
            </wp:positionH>
            <wp:positionV relativeFrom="paragraph">
              <wp:posOffset>-5080</wp:posOffset>
            </wp:positionV>
            <wp:extent cx="8001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FULGENT GENETICS,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8"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500" w:type="dxa"/>
            <w:vAlign w:val="bottom"/>
            <w:gridSpan w:val="2"/>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jc w:val="right"/>
              <w:ind w:right="2300"/>
              <w:spacing w:after="0"/>
              <w:rPr>
                <w:sz w:val="20"/>
                <w:szCs w:val="20"/>
                <w:color w:val="auto"/>
              </w:rPr>
            </w:pPr>
            <w:r>
              <w:rPr>
                <w:rFonts w:ascii="Times New Roman" w:cs="Times New Roman" w:eastAsia="Times New Roman" w:hAnsi="Times New Roman"/>
                <w:sz w:val="18"/>
                <w:szCs w:val="18"/>
                <w:b w:val="1"/>
                <w:bCs w:val="1"/>
                <w:color w:val="auto"/>
              </w:rPr>
              <w:t>81-2621304</w:t>
            </w:r>
          </w:p>
        </w:tc>
        <w:tc>
          <w:tcPr>
            <w:tcW w:w="0" w:type="dxa"/>
            <w:vAlign w:val="bottom"/>
          </w:tcPr>
          <w:p>
            <w:pPr>
              <w:spacing w:after="0"/>
              <w:rPr>
                <w:sz w:val="1"/>
                <w:szCs w:val="1"/>
                <w:color w:val="auto"/>
              </w:rPr>
            </w:pPr>
          </w:p>
        </w:tc>
      </w:tr>
      <w:tr>
        <w:trPr>
          <w:trHeight w:val="148"/>
        </w:trPr>
        <w:tc>
          <w:tcPr>
            <w:tcW w:w="4500" w:type="dxa"/>
            <w:vAlign w:val="bottom"/>
            <w:gridSpan w:val="2"/>
          </w:tcPr>
          <w:p>
            <w:pPr>
              <w:jc w:val="center"/>
              <w:ind w:left="105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80" w:type="dxa"/>
            <w:vAlign w:val="bottom"/>
          </w:tcPr>
          <w:p>
            <w:pPr>
              <w:jc w:val="center"/>
              <w:ind w:right="20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8"/>
        </w:trPr>
        <w:tc>
          <w:tcPr>
            <w:tcW w:w="4500" w:type="dxa"/>
            <w:vAlign w:val="bottom"/>
            <w:gridSpan w:val="2"/>
          </w:tcPr>
          <w:p>
            <w:pPr>
              <w:jc w:val="center"/>
              <w:ind w:left="1038"/>
              <w:spacing w:after="0"/>
              <w:rPr>
                <w:sz w:val="20"/>
                <w:szCs w:val="20"/>
                <w:color w:val="auto"/>
              </w:rPr>
            </w:pPr>
            <w:r>
              <w:rPr>
                <w:rFonts w:ascii="Times New Roman" w:cs="Times New Roman" w:eastAsia="Times New Roman" w:hAnsi="Times New Roman"/>
                <w:sz w:val="18"/>
                <w:szCs w:val="18"/>
                <w:b w:val="1"/>
                <w:bCs w:val="1"/>
                <w:color w:val="auto"/>
                <w:w w:val="99"/>
              </w:rPr>
              <w:t>4399 Santa Anita Avenue</w:t>
            </w:r>
          </w:p>
        </w:tc>
        <w:tc>
          <w:tcPr>
            <w:tcW w:w="2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500" w:type="dxa"/>
            <w:vAlign w:val="bottom"/>
            <w:gridSpan w:val="2"/>
          </w:tcPr>
          <w:p>
            <w:pPr>
              <w:jc w:val="center"/>
              <w:ind w:left="1038"/>
              <w:spacing w:after="0"/>
              <w:rPr>
                <w:sz w:val="20"/>
                <w:szCs w:val="20"/>
                <w:color w:val="auto"/>
              </w:rPr>
            </w:pPr>
            <w:r>
              <w:rPr>
                <w:rFonts w:ascii="Times New Roman" w:cs="Times New Roman" w:eastAsia="Times New Roman" w:hAnsi="Times New Roman"/>
                <w:sz w:val="18"/>
                <w:szCs w:val="18"/>
                <w:b w:val="1"/>
                <w:bCs w:val="1"/>
                <w:color w:val="auto"/>
                <w:w w:val="99"/>
              </w:rPr>
              <w:t>El Monte, CA</w:t>
            </w: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jc w:val="right"/>
              <w:ind w:right="2500"/>
              <w:spacing w:after="0"/>
              <w:rPr>
                <w:sz w:val="20"/>
                <w:szCs w:val="20"/>
                <w:color w:val="auto"/>
              </w:rPr>
            </w:pPr>
            <w:r>
              <w:rPr>
                <w:rFonts w:ascii="Times New Roman" w:cs="Times New Roman" w:eastAsia="Times New Roman" w:hAnsi="Times New Roman"/>
                <w:sz w:val="18"/>
                <w:szCs w:val="18"/>
                <w:b w:val="1"/>
                <w:bCs w:val="1"/>
                <w:color w:val="auto"/>
              </w:rPr>
              <w:t>91731</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0"/>
        </w:trPr>
        <w:tc>
          <w:tcPr>
            <w:tcW w:w="3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(626) 350-0537</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760" w:type="dxa"/>
            <w:vAlign w:val="bottom"/>
            <w:gridSpan w:val="5"/>
          </w:tcPr>
          <w:p>
            <w:pPr>
              <w:jc w:val="center"/>
              <w:ind w:left="33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4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4500" w:type="dxa"/>
            <w:vAlign w:val="bottom"/>
            <w:gridSpan w:val="2"/>
            <w:vMerge w:val="continue"/>
          </w:tcPr>
          <w:p>
            <w:pPr>
              <w:spacing w:after="0"/>
              <w:rPr>
                <w:sz w:val="23"/>
                <w:szCs w:val="23"/>
                <w:color w:val="auto"/>
              </w:rPr>
            </w:pPr>
          </w:p>
        </w:tc>
        <w:tc>
          <w:tcPr>
            <w:tcW w:w="2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
        </w:trPr>
        <w:tc>
          <w:tcPr>
            <w:tcW w:w="36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16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80" w:type="dxa"/>
            <w:vAlign w:val="bottom"/>
            <w:tcBorders>
              <w:bottom w:val="single" w:sz="8" w:color="auto"/>
            </w:tcBorders>
          </w:tcPr>
          <w:p>
            <w:pPr>
              <w:spacing w:after="0"/>
              <w:rPr>
                <w:sz w:val="24"/>
                <w:szCs w:val="24"/>
                <w:color w:val="auto"/>
              </w:rPr>
            </w:pPr>
          </w:p>
        </w:tc>
        <w:tc>
          <w:tcPr>
            <w:tcW w:w="3160" w:type="dxa"/>
            <w:vAlign w:val="bottom"/>
            <w:tcBorders>
              <w:bottom w:val="single" w:sz="8" w:color="auto"/>
              <w:right w:val="single" w:sz="8" w:color="auto"/>
            </w:tcBorders>
            <w:gridSpan w:val="2"/>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00" w:type="dxa"/>
            <w:vAlign w:val="bottom"/>
            <w:tcBorders>
              <w:bottom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67"/>
        </w:trPr>
        <w:tc>
          <w:tcPr>
            <w:tcW w:w="3620" w:type="dxa"/>
            <w:vAlign w:val="bottom"/>
            <w:tcBorders>
              <w:left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rPr>
              <w:t>Common Stock, par value $0.0001 per share</w:t>
            </w:r>
          </w:p>
        </w:tc>
        <w:tc>
          <w:tcPr>
            <w:tcW w:w="880" w:type="dxa"/>
            <w:vAlign w:val="bottom"/>
          </w:tcPr>
          <w:p>
            <w:pPr>
              <w:spacing w:after="0"/>
              <w:rPr>
                <w:sz w:val="14"/>
                <w:szCs w:val="14"/>
                <w:color w:val="auto"/>
              </w:rPr>
            </w:pPr>
          </w:p>
        </w:tc>
        <w:tc>
          <w:tcPr>
            <w:tcW w:w="3160" w:type="dxa"/>
            <w:vAlign w:val="bottom"/>
            <w:tcBorders>
              <w:right w:val="single" w:sz="8" w:color="auto"/>
            </w:tcBorders>
            <w:gridSpan w:val="2"/>
          </w:tcPr>
          <w:p>
            <w:pPr>
              <w:jc w:val="center"/>
              <w:ind w:right="880"/>
              <w:spacing w:after="0" w:line="167" w:lineRule="exact"/>
              <w:rPr>
                <w:sz w:val="20"/>
                <w:szCs w:val="20"/>
                <w:color w:val="auto"/>
              </w:rPr>
            </w:pPr>
            <w:r>
              <w:rPr>
                <w:rFonts w:ascii="Times New Roman" w:cs="Times New Roman" w:eastAsia="Times New Roman" w:hAnsi="Times New Roman"/>
                <w:sz w:val="16"/>
                <w:szCs w:val="16"/>
                <w:color w:val="auto"/>
                <w:w w:val="99"/>
              </w:rPr>
              <w:t>FLGT</w:t>
            </w:r>
          </w:p>
        </w:tc>
        <w:tc>
          <w:tcPr>
            <w:tcW w:w="100" w:type="dxa"/>
            <w:vAlign w:val="bottom"/>
          </w:tcPr>
          <w:p>
            <w:pPr>
              <w:spacing w:after="0"/>
              <w:rPr>
                <w:sz w:val="14"/>
                <w:szCs w:val="14"/>
                <w:color w:val="auto"/>
              </w:rPr>
            </w:pPr>
          </w:p>
        </w:tc>
        <w:tc>
          <w:tcPr>
            <w:tcW w:w="3480" w:type="dxa"/>
            <w:vAlign w:val="bottom"/>
            <w:tcBorders>
              <w:right w:val="single" w:sz="8" w:color="auto"/>
            </w:tcBorders>
          </w:tcPr>
          <w:p>
            <w:pPr>
              <w:jc w:val="center"/>
              <w:ind w:right="100"/>
              <w:spacing w:after="0" w:line="167" w:lineRule="exact"/>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r>
        <w:trPr>
          <w:trHeight w:val="213"/>
        </w:trPr>
        <w:tc>
          <w:tcPr>
            <w:tcW w:w="362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color w:val="auto"/>
              </w:rPr>
              <w:t>(Nasdaq Global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0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8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8" w:lineRule="exact"/>
        <w:rPr>
          <w:sz w:val="24"/>
          <w:szCs w:val="24"/>
          <w:color w:val="auto"/>
        </w:rPr>
      </w:pPr>
    </w:p>
    <w:p>
      <w:pPr>
        <w:jc w:val="both"/>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right="214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3, 2025, there were 30,912,392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934085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20" w:type="dxa"/>
            <w:vAlign w:val="bottom"/>
            <w:gridSpan w:val="4"/>
          </w:tcPr>
          <w:p>
            <w:pPr>
              <w:ind w:left="4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260" w:type="dxa"/>
            <w:vAlign w:val="bottom"/>
          </w:tcPr>
          <w:p>
            <w:pPr>
              <w:spacing w:after="0"/>
              <w:rPr>
                <w:sz w:val="24"/>
                <w:szCs w:val="24"/>
                <w:color w:val="auto"/>
              </w:rPr>
            </w:pPr>
          </w:p>
        </w:tc>
      </w:tr>
      <w:tr>
        <w:trPr>
          <w:trHeight w:val="447"/>
        </w:trPr>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6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70"/>
        </w:trPr>
        <w:tc>
          <w:tcPr>
            <w:tcW w:w="32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5720" w:type="dxa"/>
            <w:vAlign w:val="bottom"/>
            <w:gridSpan w:val="8"/>
          </w:tcPr>
          <w:p>
            <w:pPr>
              <w:spacing w:after="0"/>
              <w:rPr>
                <w:sz w:val="23"/>
                <w:szCs w:val="23"/>
                <w:color w:val="auto"/>
              </w:rPr>
            </w:pP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91"/>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91"/>
        </w:trPr>
        <w:tc>
          <w:tcPr>
            <w:tcW w:w="29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5940" w:type="dxa"/>
            <w:vAlign w:val="bottom"/>
            <w:gridSpan w:val="9"/>
          </w:tcPr>
          <w:p>
            <w:pPr>
              <w:spacing w:after="0"/>
              <w:rPr>
                <w:sz w:val="24"/>
                <w:szCs w:val="24"/>
                <w:color w:val="auto"/>
              </w:rPr>
            </w:pP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4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w:t>
            </w:r>
          </w:p>
        </w:tc>
        <w:tc>
          <w:tcPr>
            <w:tcW w:w="4520" w:type="dxa"/>
            <w:vAlign w:val="bottom"/>
            <w:gridSpan w:val="4"/>
          </w:tcPr>
          <w:p>
            <w:pPr>
              <w:spacing w:after="0"/>
              <w:rPr>
                <w:sz w:val="24"/>
                <w:szCs w:val="24"/>
                <w:color w:val="auto"/>
              </w:rPr>
            </w:pP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3</w:t>
            </w: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4</w:t>
            </w:r>
          </w:p>
        </w:tc>
      </w:tr>
      <w:tr>
        <w:trPr>
          <w:trHeight w:val="291"/>
        </w:trPr>
        <w:tc>
          <w:tcPr>
            <w:tcW w:w="44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520" w:type="dxa"/>
            <w:vAlign w:val="bottom"/>
            <w:gridSpan w:val="4"/>
          </w:tcPr>
          <w:p>
            <w:pPr>
              <w:spacing w:after="0"/>
              <w:rPr>
                <w:sz w:val="24"/>
                <w:szCs w:val="24"/>
                <w:color w:val="auto"/>
              </w:rPr>
            </w:pP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30</w:t>
            </w:r>
          </w:p>
        </w:tc>
      </w:tr>
      <w:tr>
        <w:trPr>
          <w:trHeight w:val="291"/>
        </w:trPr>
        <w:tc>
          <w:tcPr>
            <w:tcW w:w="492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Borders>
              <w:top w:val="single" w:sz="8" w:color="0000FF"/>
            </w:tcBorders>
          </w:tcPr>
          <w:p>
            <w:pPr>
              <w:spacing w:after="0"/>
              <w:rPr>
                <w:sz w:val="24"/>
                <w:szCs w:val="24"/>
                <w:color w:val="auto"/>
              </w:rPr>
            </w:pPr>
          </w:p>
        </w:tc>
        <w:tc>
          <w:tcPr>
            <w:tcW w:w="1900" w:type="dxa"/>
            <w:vAlign w:val="bottom"/>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37</w:t>
            </w:r>
          </w:p>
        </w:tc>
      </w:tr>
      <w:tr>
        <w:trPr>
          <w:trHeight w:val="290"/>
        </w:trPr>
        <w:tc>
          <w:tcPr>
            <w:tcW w:w="2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20" w:type="dxa"/>
            <w:vAlign w:val="bottom"/>
            <w:tcBorders>
              <w:bottom w:val="single" w:sz="8" w:color="0000EE"/>
            </w:tcBorders>
          </w:tcPr>
          <w:p>
            <w:pPr>
              <w:spacing w:after="0"/>
              <w:rPr>
                <w:sz w:val="24"/>
                <w:szCs w:val="24"/>
                <w:color w:val="auto"/>
              </w:rPr>
            </w:pPr>
          </w:p>
        </w:tc>
        <w:tc>
          <w:tcPr>
            <w:tcW w:w="6560" w:type="dxa"/>
            <w:vAlign w:val="bottom"/>
            <w:gridSpan w:val="11"/>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38</w:t>
            </w:r>
          </w:p>
        </w:tc>
      </w:tr>
      <w:tr>
        <w:trPr>
          <w:trHeight w:val="291"/>
        </w:trPr>
        <w:tc>
          <w:tcPr>
            <w:tcW w:w="29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rPr>
              <w:t>PART II—OTHER INFORMATION</w:t>
            </w:r>
          </w:p>
        </w:tc>
        <w:tc>
          <w:tcPr>
            <w:tcW w:w="5960" w:type="dxa"/>
            <w:vAlign w:val="bottom"/>
            <w:gridSpan w:val="10"/>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39</w:t>
            </w:r>
          </w:p>
        </w:tc>
      </w:tr>
      <w:tr>
        <w:trPr>
          <w:trHeight w:val="290"/>
        </w:trPr>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7020" w:type="dxa"/>
            <w:vAlign w:val="bottom"/>
            <w:gridSpan w:val="13"/>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39</w:t>
            </w:r>
          </w:p>
        </w:tc>
      </w:tr>
      <w:tr>
        <w:trPr>
          <w:trHeight w:val="291"/>
        </w:trPr>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7320" w:type="dxa"/>
            <w:vAlign w:val="bottom"/>
            <w:gridSpan w:val="15"/>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39</w:t>
            </w: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39</w:t>
            </w:r>
          </w:p>
        </w:tc>
      </w:tr>
      <w:tr>
        <w:trPr>
          <w:trHeight w:val="291"/>
        </w:trPr>
        <w:tc>
          <w:tcPr>
            <w:tcW w:w="18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3020" w:type="dxa"/>
            <w:vAlign w:val="bottom"/>
            <w:tcBorders>
              <w:top w:val="single" w:sz="8" w:color="0000FF"/>
            </w:tcBorders>
            <w:gridSpan w:val="11"/>
          </w:tcPr>
          <w:p>
            <w:pPr>
              <w:spacing w:after="0"/>
              <w:rPr>
                <w:sz w:val="24"/>
                <w:szCs w:val="24"/>
                <w:color w:val="auto"/>
              </w:rPr>
            </w:pPr>
          </w:p>
        </w:tc>
        <w:tc>
          <w:tcPr>
            <w:tcW w:w="4020" w:type="dxa"/>
            <w:vAlign w:val="bottom"/>
            <w:gridSpan w:val="3"/>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39</w:t>
            </w: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39</w:t>
            </w:r>
          </w:p>
        </w:tc>
      </w:tr>
      <w:tr>
        <w:trPr>
          <w:trHeight w:val="290"/>
        </w:trPr>
        <w:tc>
          <w:tcPr>
            <w:tcW w:w="10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160" w:type="dxa"/>
            <w:vAlign w:val="bottom"/>
            <w:tcBorders>
              <w:top w:val="single" w:sz="8" w:color="0000FF"/>
            </w:tcBorders>
          </w:tcPr>
          <w:p>
            <w:pPr>
              <w:spacing w:after="0"/>
              <w:rPr>
                <w:sz w:val="24"/>
                <w:szCs w:val="24"/>
                <w:color w:val="auto"/>
              </w:rPr>
            </w:pPr>
          </w:p>
        </w:tc>
        <w:tc>
          <w:tcPr>
            <w:tcW w:w="7760" w:type="dxa"/>
            <w:vAlign w:val="bottom"/>
            <w:gridSpan w:val="16"/>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40</w:t>
            </w: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2"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117,641</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55,144</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202,962</w:t>
            </w:r>
          </w:p>
        </w:tc>
        <w:tc>
          <w:tcPr>
            <w:tcW w:w="100" w:type="dxa"/>
            <w:vAlign w:val="bottom"/>
          </w:tcPr>
          <w:p>
            <w:pPr>
              <w:spacing w:after="0"/>
              <w:rPr>
                <w:sz w:val="18"/>
                <w:szCs w:val="18"/>
                <w:color w:val="auto"/>
              </w:rPr>
            </w:pPr>
          </w:p>
        </w:tc>
      </w:tr>
      <w:tr>
        <w:trPr>
          <w:trHeight w:val="198"/>
        </w:trPr>
        <w:tc>
          <w:tcPr>
            <w:tcW w:w="74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Trade accounts receivable, net of allowance for credit losses of $21,528 as of September 30,</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2025, and $20,458 as of December 31, 2024</w:t>
            </w:r>
          </w:p>
        </w:tc>
        <w:tc>
          <w:tcPr>
            <w:tcW w:w="16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71,187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69,021</w:t>
            </w:r>
          </w:p>
        </w:tc>
        <w:tc>
          <w:tcPr>
            <w:tcW w:w="100" w:type="dxa"/>
            <w:vAlign w:val="bottom"/>
            <w:shd w:val="clear" w:color="auto" w:fill="CFF0FC"/>
          </w:tcPr>
          <w:p>
            <w:pPr>
              <w:spacing w:after="0"/>
              <w:rPr>
                <w:sz w:val="20"/>
                <w:szCs w:val="20"/>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26,444</w:t>
            </w:r>
          </w:p>
        </w:tc>
        <w:tc>
          <w:tcPr>
            <w:tcW w:w="100" w:type="dxa"/>
            <w:vAlign w:val="bottom"/>
          </w:tcPr>
          <w:p>
            <w:pPr>
              <w:spacing w:after="0"/>
              <w:rPr>
                <w:sz w:val="18"/>
                <w:szCs w:val="18"/>
                <w:color w:val="auto"/>
              </w:rPr>
            </w:pP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507,374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353,571</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570,351</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135,255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134,978</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105,549</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100" w:type="dxa"/>
            <w:vAlign w:val="bottom"/>
          </w:tcPr>
          <w:p>
            <w:pPr>
              <w:spacing w:after="0"/>
              <w:rPr>
                <w:sz w:val="18"/>
                <w:szCs w:val="18"/>
                <w:color w:val="auto"/>
              </w:rPr>
            </w:pPr>
          </w:p>
        </w:tc>
      </w:tr>
      <w:tr>
        <w:trPr>
          <w:trHeight w:val="24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1,214,563</w:t>
            </w:r>
          </w:p>
        </w:tc>
        <w:tc>
          <w:tcPr>
            <w:tcW w:w="1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1,219,964</w:t>
            </w:r>
          </w:p>
        </w:tc>
        <w:tc>
          <w:tcPr>
            <w:tcW w:w="100" w:type="dxa"/>
            <w:vAlign w:val="bottom"/>
            <w:shd w:val="clear" w:color="auto" w:fill="CFF0FC"/>
          </w:tcPr>
          <w:p>
            <w:pPr>
              <w:spacing w:after="0"/>
              <w:rPr>
                <w:sz w:val="21"/>
                <w:szCs w:val="21"/>
                <w:color w:val="auto"/>
              </w:rPr>
            </w:pPr>
          </w:p>
        </w:tc>
      </w:tr>
      <w:tr>
        <w:trPr>
          <w:trHeight w:val="197"/>
        </w:trPr>
        <w:tc>
          <w:tcPr>
            <w:tcW w:w="74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18,088</w:t>
            </w:r>
          </w:p>
        </w:tc>
        <w:tc>
          <w:tcPr>
            <w:tcW w:w="1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18,364</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24,279</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deposit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27,610</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payable, current</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8"/>
                <w:szCs w:val="18"/>
                <w:color w:val="auto"/>
              </w:rPr>
            </w:pP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72,426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72,899</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100" w:type="dxa"/>
            <w:vAlign w:val="bottom"/>
          </w:tcPr>
          <w:p>
            <w:pPr>
              <w:spacing w:after="0"/>
              <w:rPr>
                <w:sz w:val="18"/>
                <w:szCs w:val="18"/>
                <w:color w:val="auto"/>
              </w:rPr>
            </w:pPr>
          </w:p>
        </w:tc>
      </w:tr>
      <w:tr>
        <w:trPr>
          <w:trHeight w:val="209"/>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93,806</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4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50,000 shares authorized, 34,274 shares issued and</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30,854 shares outstanding as of September 30, 2025, and 33,614 shares issued and 30,841 shares</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198"/>
        </w:trPr>
        <w:tc>
          <w:tcPr>
            <w:tcW w:w="74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 shares authorized, no shares issued or</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as of September 30, 2025, and December 31, 2024</w:t>
            </w:r>
          </w:p>
        </w:tc>
        <w:tc>
          <w:tcPr>
            <w:tcW w:w="16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543,126</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553,372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590,467</w:t>
            </w:r>
          </w:p>
        </w:tc>
        <w:tc>
          <w:tcPr>
            <w:tcW w:w="100" w:type="dxa"/>
            <w:vAlign w:val="bottom"/>
          </w:tcPr>
          <w:p>
            <w:pPr>
              <w:spacing w:after="0"/>
              <w:rPr>
                <w:sz w:val="18"/>
                <w:szCs w:val="18"/>
                <w:color w:val="auto"/>
              </w:rPr>
            </w:pP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Fulgent stockholders’ equity</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1,125,888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1,133,228</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(4,069)</w:t>
            </w:r>
          </w:p>
        </w:tc>
      </w:tr>
      <w:tr>
        <w:trPr>
          <w:trHeight w:val="209"/>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1,120,757</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1,129,159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1,214,563</w:t>
            </w:r>
          </w:p>
        </w:tc>
        <w:tc>
          <w:tcPr>
            <w:tcW w:w="1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1,219,964</w:t>
            </w:r>
          </w:p>
        </w:tc>
        <w:tc>
          <w:tcPr>
            <w:tcW w:w="100" w:type="dxa"/>
            <w:vAlign w:val="bottom"/>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-3668395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-3651250</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-3668395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-1979930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-1979930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8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84,069</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71,743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239,335</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207,256</w:t>
            </w: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131,890</w:t>
            </w:r>
          </w:p>
        </w:tc>
        <w:tc>
          <w:tcPr>
            <w:tcW w:w="120" w:type="dxa"/>
            <w:vAlign w:val="bottom"/>
          </w:tcPr>
          <w:p>
            <w:pPr>
              <w:spacing w:after="0"/>
              <w:rPr>
                <w:sz w:val="18"/>
                <w:szCs w:val="18"/>
                <w:color w:val="auto"/>
              </w:rPr>
            </w:pPr>
          </w:p>
        </w:tc>
      </w:tr>
      <w:tr>
        <w:trPr>
          <w:trHeight w:val="210"/>
        </w:trPr>
        <w:tc>
          <w:tcPr>
            <w:tcW w:w="42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35,512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98,293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75,366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36,703</w:t>
            </w: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and marketing</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26,708</w:t>
            </w:r>
          </w:p>
        </w:tc>
        <w:tc>
          <w:tcPr>
            <w:tcW w:w="120" w:type="dxa"/>
            <w:vAlign w:val="bottom"/>
          </w:tcPr>
          <w:p>
            <w:pPr>
              <w:spacing w:after="0"/>
              <w:rPr>
                <w:sz w:val="18"/>
                <w:szCs w:val="18"/>
                <w:color w:val="auto"/>
              </w:rPr>
            </w:pPr>
          </w:p>
        </w:tc>
      </w:tr>
      <w:tr>
        <w:trPr>
          <w:trHeight w:val="216"/>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75,018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63,765</w:t>
            </w: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20" w:type="dxa"/>
            <w:vAlign w:val="bottom"/>
          </w:tcPr>
          <w:p>
            <w:pPr>
              <w:spacing w:after="0"/>
              <w:rPr>
                <w:sz w:val="18"/>
                <w:szCs w:val="18"/>
                <w:color w:val="auto"/>
              </w:rPr>
            </w:pPr>
          </w:p>
        </w:tc>
      </w:tr>
      <w:tr>
        <w:trPr>
          <w:trHeight w:val="209"/>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50,862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153,151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133,149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(17,079)</w:t>
            </w:r>
          </w:p>
        </w:tc>
        <w:tc>
          <w:tcPr>
            <w:tcW w:w="2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(57,783)</w:t>
            </w: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23,181</w:t>
            </w:r>
          </w:p>
        </w:tc>
        <w:tc>
          <w:tcPr>
            <w:tcW w:w="120" w:type="dxa"/>
            <w:vAlign w:val="bottom"/>
          </w:tcPr>
          <w:p>
            <w:pPr>
              <w:spacing w:after="0"/>
              <w:rPr>
                <w:sz w:val="18"/>
                <w:szCs w:val="18"/>
                <w:color w:val="auto"/>
              </w:rPr>
            </w:pPr>
          </w:p>
        </w:tc>
      </w:tr>
      <w:tr>
        <w:trPr>
          <w:trHeight w:val="216"/>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loss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(10,073)</w:t>
            </w:r>
          </w:p>
        </w:tc>
        <w:tc>
          <w:tcPr>
            <w:tcW w:w="2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(10,073)</w:t>
            </w:r>
          </w:p>
        </w:tc>
      </w:tr>
      <w:tr>
        <w:trPr>
          <w:trHeight w:val="216"/>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shd w:val="clear" w:color="auto" w:fill="CFF0FC"/>
          </w:tcPr>
          <w:p>
            <w:pPr>
              <w:spacing w:after="0"/>
              <w:rPr>
                <w:sz w:val="18"/>
                <w:szCs w:val="18"/>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(1,453)</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13,872</w:t>
            </w:r>
          </w:p>
        </w:tc>
        <w:tc>
          <w:tcPr>
            <w:tcW w:w="12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(7,509)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(18,532)</w:t>
            </w: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(40,751)</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(43,911)</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(3,838)</w:t>
            </w:r>
          </w:p>
        </w:tc>
        <w:tc>
          <w:tcPr>
            <w:tcW w:w="2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(6,281)</w:t>
            </w:r>
          </w:p>
        </w:tc>
      </w:tr>
      <w:tr>
        <w:trPr>
          <w:trHeight w:val="20"/>
        </w:trPr>
        <w:tc>
          <w:tcPr>
            <w:tcW w:w="4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from consolidated operations</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(6,826)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(14,694)</w:t>
            </w: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(37,981)</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(37,630)</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18"/>
                <w:szCs w:val="18"/>
                <w:color w:val="auto"/>
              </w:rPr>
            </w:pPr>
          </w:p>
        </w:tc>
      </w:tr>
      <w:tr>
        <w:trPr>
          <w:trHeight w:val="24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(6,608)</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(14,648)</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(37,095)</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(36,820)</w:t>
            </w:r>
          </w:p>
        </w:tc>
      </w:tr>
      <w:tr>
        <w:trPr>
          <w:trHeight w:val="197"/>
        </w:trPr>
        <w:tc>
          <w:tcPr>
            <w:tcW w:w="4240" w:type="dxa"/>
            <w:vAlign w:val="bottom"/>
            <w:tcBorders>
              <w:top w:val="single" w:sz="8" w:color="CFF0FC"/>
            </w:tcBorders>
          </w:tcPr>
          <w:p>
            <w:pPr>
              <w:spacing w:after="0"/>
              <w:rPr>
                <w:sz w:val="17"/>
                <w:szCs w:val="17"/>
                <w:color w:val="auto"/>
              </w:rPr>
            </w:pPr>
          </w:p>
        </w:tc>
        <w:tc>
          <w:tcPr>
            <w:tcW w:w="6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attributable to Fulgent</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(0.48)</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30,095</w:t>
            </w:r>
          </w:p>
        </w:tc>
        <w:tc>
          <w:tcPr>
            <w:tcW w:w="120" w:type="dxa"/>
            <w:vAlign w:val="bottom"/>
            <w:shd w:val="clear" w:color="auto" w:fill="CFF0FC"/>
          </w:tcPr>
          <w:p>
            <w:pPr>
              <w:spacing w:after="0"/>
              <w:rPr>
                <w:sz w:val="18"/>
                <w:szCs w:val="18"/>
                <w:color w:val="auto"/>
              </w:rPr>
            </w:pPr>
          </w:p>
        </w:tc>
      </w:tr>
      <w:tr>
        <w:trPr>
          <w:trHeight w:val="234"/>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30,095</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-3525520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-3525520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-3525520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-3525520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-2685415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-2685415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-2685415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-2685415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-1854200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-1854200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-1854200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-1854200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-996950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-979805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-996950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-979805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-996950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-979805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-996950</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-979805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258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from consolidated operations</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(6,826)</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(14,694)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(37,981)</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(37,630)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income</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gain on available-for-sale debt securities, net of tax</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comprehensive loss from consolidated operations</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(5,970)</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(4,439)</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(30,966)</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(29,579)</w:t>
            </w: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2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Foreign currency translation (gain) loss attributable to noncontrolling</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FF0FC"/>
          </w:tcPr>
          <w:p>
            <w:pPr>
              <w:spacing w:after="0"/>
              <w:rPr>
                <w:sz w:val="17"/>
                <w:szCs w:val="17"/>
                <w:color w:val="auto"/>
              </w:rPr>
            </w:pPr>
          </w:p>
        </w:tc>
        <w:tc>
          <w:tcPr>
            <w:tcW w:w="11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1"/>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 attributable to noncontrolling interest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Fulgent</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(5,783)</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(4,593)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(29,904)</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(28,847)</w:t>
            </w: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-316865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-316865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-316865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-25400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-25400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1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Fulgent Stockholders’ Equity</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Fulgent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sive</w:t>
            </w:r>
          </w:p>
        </w:tc>
        <w:tc>
          <w:tcPr>
            <w:tcW w:w="8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92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40" w:type="dxa"/>
            <w:vAlign w:val="bottom"/>
          </w:tcPr>
          <w:p>
            <w:pPr>
              <w:spacing w:after="0"/>
              <w:rPr>
                <w:sz w:val="15"/>
                <w:szCs w:val="15"/>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 Equity</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ing Interest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30,841</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543,126</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(368)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590,467</w:t>
            </w: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$ 1,133,228</w:t>
            </w:r>
          </w:p>
        </w:tc>
        <w:tc>
          <w:tcPr>
            <w:tcW w:w="140" w:type="dxa"/>
            <w:vAlign w:val="bottom"/>
            <w:shd w:val="clear" w:color="auto" w:fill="CFF0FC"/>
          </w:tcPr>
          <w:p>
            <w:pPr>
              <w:spacing w:after="0"/>
              <w:rPr>
                <w:sz w:val="20"/>
                <w:szCs w:val="20"/>
                <w:color w:val="auto"/>
              </w:rPr>
            </w:pPr>
          </w:p>
        </w:tc>
        <w:tc>
          <w:tcPr>
            <w:tcW w:w="2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(4,069)</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1,129,159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awards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withholding for employee</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tax obligations</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(1,887)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(1,887)</w:t>
            </w:r>
          </w:p>
        </w:tc>
        <w:tc>
          <w:tcPr>
            <w:tcW w:w="0" w:type="dxa"/>
            <w:vAlign w:val="bottom"/>
          </w:tcPr>
          <w:p>
            <w:pPr>
              <w:spacing w:after="0"/>
              <w:rPr>
                <w:sz w:val="1"/>
                <w:szCs w:val="1"/>
                <w:color w:val="auto"/>
              </w:rPr>
            </w:pPr>
          </w:p>
        </w:tc>
      </w:tr>
      <w:tr>
        <w:trPr>
          <w:trHeight w:val="205"/>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(469)</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(7,886)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(7,886)</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(7,886)</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(11,530)</w:t>
            </w:r>
          </w:p>
        </w:tc>
        <w:tc>
          <w:tcPr>
            <w:tcW w:w="10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(11,530)</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(369)</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(11,899)</w:t>
            </w:r>
          </w:p>
        </w:tc>
        <w:tc>
          <w:tcPr>
            <w:tcW w:w="0" w:type="dxa"/>
            <w:vAlign w:val="bottom"/>
          </w:tcPr>
          <w:p>
            <w:pPr>
              <w:spacing w:after="0"/>
              <w:rPr>
                <w:sz w:val="1"/>
                <w:szCs w:val="1"/>
                <w:color w:val="auto"/>
              </w:rPr>
            </w:pPr>
          </w:p>
        </w:tc>
      </w:tr>
      <w:tr>
        <w:trPr>
          <w:trHeight w:val="20"/>
        </w:trPr>
        <w:tc>
          <w:tcPr>
            <w:tcW w:w="30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30,621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543,903</w:t>
            </w:r>
          </w:p>
        </w:tc>
        <w:tc>
          <w:tcPr>
            <w:tcW w:w="140" w:type="dxa"/>
            <w:vAlign w:val="bottom"/>
          </w:tcPr>
          <w:p>
            <w:pPr>
              <w:spacing w:after="0"/>
              <w:rPr>
                <w:sz w:val="17"/>
                <w:szCs w:val="17"/>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4,335</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578,937</w:t>
            </w:r>
          </w:p>
        </w:tc>
        <w:tc>
          <w:tcPr>
            <w:tcW w:w="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$ 1,127,178</w:t>
            </w:r>
          </w:p>
        </w:tc>
        <w:tc>
          <w:tcPr>
            <w:tcW w:w="140" w:type="dxa"/>
            <w:vAlign w:val="bottom"/>
          </w:tcPr>
          <w:p>
            <w:pPr>
              <w:spacing w:after="0"/>
              <w:rPr>
                <w:sz w:val="17"/>
                <w:szCs w:val="17"/>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(4,408)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1,122,770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10,039</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awards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withholding for employee</w:t>
            </w:r>
          </w:p>
        </w:tc>
        <w:tc>
          <w:tcPr>
            <w:tcW w:w="9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obligations</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(345)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(2,998)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(2,998)</w:t>
            </w:r>
          </w:p>
        </w:tc>
        <w:tc>
          <w:tcPr>
            <w:tcW w:w="0" w:type="dxa"/>
            <w:vAlign w:val="bottom"/>
          </w:tcPr>
          <w:p>
            <w:pPr>
              <w:spacing w:after="0"/>
              <w:rPr>
                <w:sz w:val="1"/>
                <w:szCs w:val="1"/>
                <w:color w:val="auto"/>
              </w:rPr>
            </w:pPr>
          </w:p>
        </w:tc>
      </w:tr>
      <w:tr>
        <w:trPr>
          <w:trHeight w:val="203"/>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 (loss), net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(237)</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(18,957)</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(18,957)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(19,256)</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30,608</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550,599</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5,998</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559,980</w:t>
            </w: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$ 1,116,580</w:t>
            </w:r>
          </w:p>
        </w:tc>
        <w:tc>
          <w:tcPr>
            <w:tcW w:w="140" w:type="dxa"/>
            <w:vAlign w:val="bottom"/>
            <w:shd w:val="clear" w:color="auto" w:fill="CFF0FC"/>
          </w:tcPr>
          <w:p>
            <w:pPr>
              <w:spacing w:after="0"/>
              <w:rPr>
                <w:sz w:val="20"/>
                <w:szCs w:val="20"/>
                <w:color w:val="auto"/>
              </w:rPr>
            </w:pPr>
          </w:p>
        </w:tc>
        <w:tc>
          <w:tcPr>
            <w:tcW w:w="2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(4,944)</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1,111,636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9,717</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9,717</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9,717</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awards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withholding for employee</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tax obligations</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192"/>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Contingently issuable shares in a business</w:t>
            </w:r>
          </w:p>
        </w:tc>
        <w:tc>
          <w:tcPr>
            <w:tcW w:w="9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combination (1)</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(6,608)</w:t>
            </w:r>
          </w:p>
        </w:tc>
        <w:tc>
          <w:tcPr>
            <w:tcW w:w="10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(6,608)</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(6,826)</w:t>
            </w:r>
          </w:p>
        </w:tc>
        <w:tc>
          <w:tcPr>
            <w:tcW w:w="0" w:type="dxa"/>
            <w:vAlign w:val="bottom"/>
          </w:tcPr>
          <w:p>
            <w:pPr>
              <w:spacing w:after="0"/>
              <w:rPr>
                <w:sz w:val="1"/>
                <w:szCs w:val="1"/>
                <w:color w:val="auto"/>
              </w:rPr>
            </w:pPr>
          </w:p>
        </w:tc>
      </w:tr>
      <w:tr>
        <w:trPr>
          <w:trHeight w:val="20"/>
        </w:trPr>
        <w:tc>
          <w:tcPr>
            <w:tcW w:w="30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30,854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565,690</w:t>
            </w:r>
          </w:p>
        </w:tc>
        <w:tc>
          <w:tcPr>
            <w:tcW w:w="140" w:type="dxa"/>
            <w:vAlign w:val="bottom"/>
          </w:tcPr>
          <w:p>
            <w:pPr>
              <w:spacing w:after="0"/>
              <w:rPr>
                <w:sz w:val="17"/>
                <w:szCs w:val="17"/>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6,823</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553,372</w:t>
            </w:r>
          </w:p>
        </w:tc>
        <w:tc>
          <w:tcPr>
            <w:tcW w:w="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$ 1,125,888</w:t>
            </w:r>
          </w:p>
        </w:tc>
        <w:tc>
          <w:tcPr>
            <w:tcW w:w="140" w:type="dxa"/>
            <w:vAlign w:val="bottom"/>
          </w:tcPr>
          <w:p>
            <w:pPr>
              <w:spacing w:after="0"/>
              <w:rPr>
                <w:sz w:val="17"/>
                <w:szCs w:val="17"/>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(5,131)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1,120,757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-3342640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-3325495</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-3342640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-3325495</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-3342640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-3325495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-3342640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-3325495</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-3342640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-3325495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-3342640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-3325495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-3342640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-3325495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-3342640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-2416810</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-2416810</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-2416810</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-2416810</wp:posOffset>
            </wp:positionV>
            <wp:extent cx="77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-2416810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-2416810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-2416810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-1216660</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-1199515</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-1216660</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-1199515</wp:posOffset>
            </wp:positionV>
            <wp:extent cx="76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-1216660</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-1199515</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-1216660</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-1199515</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-1216660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-1199515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-1216660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-1199515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-1216660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-1199515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-162560</wp:posOffset>
            </wp:positionV>
            <wp:extent cx="768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-162560</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-162560</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-162560</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-162560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-162560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-162560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right="20" w:firstLine="8"/>
        <w:spacing w:after="0" w:line="281" w:lineRule="auto"/>
        <w:tabs>
          <w:tab w:leader="none" w:pos="22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agreed to issue up to 292,682 shares of the Company’s common stock in the acquisition of ANP Technologies, Inc., or ANP, upon achieving certain cash receipts. $5.7 million represented the fair value of the shares on the acquisition date. As of September 30, 2025, no common stock has been issued as the milestones have not been met. See details in Note 15.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4"/>
          <w:szCs w:val="14"/>
          <w:b w:val="1"/>
          <w:bCs w:val="1"/>
          <w:color w:val="auto"/>
        </w:rPr>
        <w:t>Fulgent Stockholders’</w:t>
      </w:r>
    </w:p>
    <w:p>
      <w:pPr>
        <w:jc w:val="center"/>
        <w:ind w:right="3220"/>
        <w:spacing w:after="0"/>
        <w:rPr>
          <w:sz w:val="20"/>
          <w:szCs w:val="20"/>
          <w:color w:val="auto"/>
        </w:rPr>
      </w:pPr>
      <w:r>
        <w:rPr>
          <w:rFonts w:ascii="Times New Roman" w:cs="Times New Roman" w:eastAsia="Times New Roman" w:hAnsi="Times New Roman"/>
          <w:sz w:val="14"/>
          <w:szCs w:val="14"/>
          <w:b w:val="1"/>
          <w:bCs w:val="1"/>
          <w:color w:val="auto"/>
        </w:rPr>
        <w:t>Equity</w:t>
      </w:r>
    </w:p>
    <w:tbl>
      <w:tblPr>
        <w:tblLayout w:type="fixed"/>
        <w:tblInd w:w="0" w:type="dxa"/>
        <w:tblCellMar>
          <w:top w:w="0" w:type="dxa"/>
          <w:left w:w="0" w:type="dxa"/>
          <w:bottom w:w="0" w:type="dxa"/>
          <w:right w:w="0" w:type="dxa"/>
        </w:tblCellMar>
      </w:tblPr>
      <w:tr>
        <w:trPr>
          <w:trHeight w:val="117"/>
        </w:trPr>
        <w:tc>
          <w:tcPr>
            <w:tcW w:w="31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Accumulat</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Fulgent</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sive</w:t>
            </w:r>
          </w:p>
        </w:tc>
        <w:tc>
          <w:tcPr>
            <w:tcW w:w="8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8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Shares (1)</w:t>
            </w:r>
          </w:p>
        </w:tc>
        <w:tc>
          <w:tcPr>
            <w:tcW w:w="220" w:type="dxa"/>
            <w:vAlign w:val="bottom"/>
            <w:vMerge w:val="restart"/>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120" w:type="dxa"/>
            <w:vAlign w:val="bottom"/>
          </w:tcPr>
          <w:p>
            <w:pPr>
              <w:spacing w:after="0"/>
              <w:rPr>
                <w:sz w:val="12"/>
                <w:szCs w:val="12"/>
                <w:color w:val="auto"/>
              </w:rPr>
            </w:pPr>
          </w:p>
        </w:tc>
        <w:tc>
          <w:tcPr>
            <w:tcW w:w="8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ling</w:t>
            </w: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 Equity</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29,653</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501,718</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1,205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633,175</w:t>
            </w: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$ 1,136,101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(2,815)</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1,133,286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obligations</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(1,682)</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(1,682)</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(1,682)</w:t>
            </w:r>
          </w:p>
        </w:tc>
        <w:tc>
          <w:tcPr>
            <w:tcW w:w="0" w:type="dxa"/>
            <w:vAlign w:val="bottom"/>
          </w:tcPr>
          <w:p>
            <w:pPr>
              <w:spacing w:after="0"/>
              <w:rPr>
                <w:sz w:val="1"/>
                <w:szCs w:val="1"/>
                <w:color w:val="auto"/>
              </w:rPr>
            </w:pPr>
          </w:p>
        </w:tc>
      </w:tr>
      <w:tr>
        <w:trPr>
          <w:trHeight w:val="20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03"/>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 net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(2,307)</w:t>
            </w: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(2,307)</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(98)</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(2,405)</w:t>
            </w:r>
          </w:p>
        </w:tc>
        <w:tc>
          <w:tcPr>
            <w:tcW w:w="0" w:type="dxa"/>
            <w:vAlign w:val="bottom"/>
          </w:tcPr>
          <w:p>
            <w:pPr>
              <w:spacing w:after="0"/>
              <w:rPr>
                <w:sz w:val="1"/>
                <w:szCs w:val="1"/>
                <w:color w:val="auto"/>
              </w:rPr>
            </w:pPr>
          </w:p>
        </w:tc>
      </w:tr>
      <w:tr>
        <w:trPr>
          <w:trHeight w:val="20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(13,462)</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(13,462)</w:t>
            </w: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(384)</w:t>
            </w:r>
          </w:p>
        </w:tc>
        <w:tc>
          <w:tcPr>
            <w:tcW w:w="2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(13,846)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29,890</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511,329</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(1,102)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619,713</w:t>
            </w: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$ 1,129,943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(3,297)</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1,126,646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awards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obligations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w:t>
            </w: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(544)</w:t>
            </w:r>
          </w:p>
        </w:tc>
        <w:tc>
          <w:tcPr>
            <w:tcW w:w="0" w:type="dxa"/>
            <w:vAlign w:val="bottom"/>
          </w:tcPr>
          <w:p>
            <w:pPr>
              <w:spacing w:after="0"/>
              <w:rPr>
                <w:sz w:val="1"/>
                <w:szCs w:val="1"/>
                <w:color w:val="auto"/>
              </w:rPr>
            </w:pPr>
          </w:p>
        </w:tc>
      </w:tr>
      <w:tr>
        <w:trPr>
          <w:trHeight w:val="192"/>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issued in a business</w:t>
            </w: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combination (1)</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(8,710)</w:t>
            </w:r>
          </w:p>
        </w:tc>
        <w:tc>
          <w:tcPr>
            <w:tcW w:w="11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(8,710)</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(380)</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(9,090)</w:t>
            </w:r>
          </w:p>
        </w:tc>
        <w:tc>
          <w:tcPr>
            <w:tcW w:w="0" w:type="dxa"/>
            <w:vAlign w:val="bottom"/>
          </w:tcPr>
          <w:p>
            <w:pPr>
              <w:spacing w:after="0"/>
              <w:rPr>
                <w:sz w:val="1"/>
                <w:szCs w:val="1"/>
                <w:color w:val="auto"/>
              </w:rPr>
            </w:pPr>
          </w:p>
        </w:tc>
      </w:tr>
      <w:tr>
        <w:trPr>
          <w:trHeight w:val="20"/>
        </w:trPr>
        <w:tc>
          <w:tcPr>
            <w:tcW w:w="31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30,262</w:t>
            </w:r>
          </w:p>
        </w:tc>
        <w:tc>
          <w:tcPr>
            <w:tcW w:w="220" w:type="dxa"/>
            <w:vAlign w:val="bottom"/>
          </w:tcPr>
          <w:p>
            <w:pPr>
              <w:spacing w:after="0"/>
              <w:rPr>
                <w:sz w:val="17"/>
                <w:szCs w:val="17"/>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522,420</w:t>
            </w:r>
          </w:p>
        </w:tc>
        <w:tc>
          <w:tcPr>
            <w:tcW w:w="2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(877)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611,003</w:t>
            </w:r>
          </w:p>
        </w:tc>
        <w:tc>
          <w:tcPr>
            <w:tcW w:w="1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$ 1,132,549</w:t>
            </w:r>
          </w:p>
        </w:tc>
        <w:tc>
          <w:tcPr>
            <w:tcW w:w="2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(3,701)</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1,128,848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obligations</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0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10,055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(14,648)</w:t>
            </w:r>
          </w:p>
        </w:tc>
        <w:tc>
          <w:tcPr>
            <w:tcW w:w="11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(14,648)</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(46)</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(14,694)</w:t>
            </w:r>
          </w:p>
        </w:tc>
        <w:tc>
          <w:tcPr>
            <w:tcW w:w="0" w:type="dxa"/>
            <w:vAlign w:val="bottom"/>
          </w:tcPr>
          <w:p>
            <w:pPr>
              <w:spacing w:after="0"/>
              <w:rPr>
                <w:sz w:val="1"/>
                <w:szCs w:val="1"/>
                <w:color w:val="auto"/>
              </w:rPr>
            </w:pPr>
          </w:p>
        </w:tc>
      </w:tr>
      <w:tr>
        <w:trPr>
          <w:trHeight w:val="20"/>
        </w:trPr>
        <w:tc>
          <w:tcPr>
            <w:tcW w:w="31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30,537</w:t>
            </w:r>
          </w:p>
        </w:tc>
        <w:tc>
          <w:tcPr>
            <w:tcW w:w="220" w:type="dxa"/>
            <w:vAlign w:val="bottom"/>
          </w:tcPr>
          <w:p>
            <w:pPr>
              <w:spacing w:after="0"/>
              <w:rPr>
                <w:sz w:val="17"/>
                <w:szCs w:val="17"/>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532,909</w:t>
            </w:r>
          </w:p>
        </w:tc>
        <w:tc>
          <w:tcPr>
            <w:tcW w:w="2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9,178</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596,355</w:t>
            </w:r>
          </w:p>
        </w:tc>
        <w:tc>
          <w:tcPr>
            <w:tcW w:w="1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$ 1,138,445</w:t>
            </w:r>
          </w:p>
        </w:tc>
        <w:tc>
          <w:tcPr>
            <w:tcW w:w="2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(3,547)</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1,134,898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-3342640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-3325495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-3342640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-3325495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-3342640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-3325495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-3342640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-3325495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-3342640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-3325495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-3342640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-3325495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-3342640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-3325495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-3342640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-2150745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-2133600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-2150745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-2133600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-2150745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-2133600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-2150745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-2133600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-2150745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-2133600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-2150745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-2133600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-2150745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-2133600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-1096645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-1096645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-1096645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-1096645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-1096645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-1096645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-1096645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-161925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-161925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-161925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-161925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-161925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-161925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-161925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80" w:firstLine="8"/>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185,503 shares of the Company’s common stock were issued in May 2024 by the Company upon expiration of hold back provisions in connection with the business combination of Fulgent Pharma Holdings, Inc., or Fulgent Pharma, in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60" w:type="dxa"/>
            <w:vAlign w:val="bottom"/>
          </w:tcPr>
          <w:p>
            <w:pPr>
              <w:spacing w:after="0"/>
              <w:rPr>
                <w:sz w:val="12"/>
                <w:szCs w:val="12"/>
                <w:color w:val="auto"/>
              </w:rPr>
            </w:pPr>
          </w:p>
        </w:tc>
        <w:tc>
          <w:tcPr>
            <w:tcW w:w="980" w:type="dxa"/>
            <w:vAlign w:val="bottom"/>
            <w:tcBorders>
              <w:bottom w:val="single" w:sz="8" w:color="auto"/>
            </w:tcBorders>
          </w:tcPr>
          <w:p>
            <w:pPr>
              <w:jc w:val="right"/>
              <w:ind w:right="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7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 from operating activities:</w:t>
            </w: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from consolidated operations</w:t>
            </w:r>
          </w:p>
        </w:tc>
        <w:tc>
          <w:tcPr>
            <w:tcW w:w="980" w:type="dxa"/>
            <w:vAlign w:val="bottom"/>
          </w:tcPr>
          <w:p>
            <w:pPr>
              <w:jc w:val="right"/>
              <w:ind w:right="861"/>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(37,981)</w:t>
            </w:r>
          </w:p>
        </w:tc>
        <w:tc>
          <w:tcPr>
            <w:tcW w:w="1000" w:type="dxa"/>
            <w:vAlign w:val="bottom"/>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(37,630)</w:t>
            </w:r>
          </w:p>
        </w:tc>
      </w:tr>
      <w:tr>
        <w:trPr>
          <w:trHeight w:val="148"/>
        </w:trPr>
        <w:tc>
          <w:tcPr>
            <w:tcW w:w="77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Equity-based compensation</w:t>
            </w:r>
          </w:p>
        </w:tc>
        <w:tc>
          <w:tcPr>
            <w:tcW w:w="9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30,306</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34,073</w:t>
            </w:r>
          </w:p>
        </w:tc>
        <w:tc>
          <w:tcPr>
            <w:tcW w:w="100" w:type="dxa"/>
            <w:vAlign w:val="bottom"/>
          </w:tcPr>
          <w:p>
            <w:pPr>
              <w:spacing w:after="0"/>
              <w:rPr>
                <w:sz w:val="12"/>
                <w:szCs w:val="12"/>
                <w:color w:val="auto"/>
              </w:rPr>
            </w:pPr>
          </w:p>
        </w:tc>
      </w:tr>
      <w:tr>
        <w:trPr>
          <w:trHeight w:val="148"/>
        </w:trPr>
        <w:tc>
          <w:tcPr>
            <w:tcW w:w="77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18,011</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18,736</w:t>
            </w:r>
          </w:p>
        </w:tc>
        <w:tc>
          <w:tcPr>
            <w:tcW w:w="100" w:type="dxa"/>
            <w:vAlign w:val="bottom"/>
            <w:shd w:val="clear" w:color="auto" w:fill="CFF0FC"/>
          </w:tcPr>
          <w:p>
            <w:pPr>
              <w:spacing w:after="0"/>
              <w:rPr>
                <w:sz w:val="12"/>
                <w:szCs w:val="12"/>
                <w:color w:val="auto"/>
              </w:rPr>
            </w:pPr>
          </w:p>
        </w:tc>
      </w:tr>
      <w:tr>
        <w:trPr>
          <w:trHeight w:val="148"/>
        </w:trPr>
        <w:tc>
          <w:tcPr>
            <w:tcW w:w="77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Adjustment for credit losses</w:t>
            </w:r>
          </w:p>
        </w:tc>
        <w:tc>
          <w:tcPr>
            <w:tcW w:w="9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5,794</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(3,210)</w:t>
            </w:r>
          </w:p>
        </w:tc>
      </w:tr>
      <w:tr>
        <w:trPr>
          <w:trHeight w:val="149"/>
        </w:trPr>
        <w:tc>
          <w:tcPr>
            <w:tcW w:w="77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1,197</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3,283</w:t>
            </w:r>
          </w:p>
        </w:tc>
        <w:tc>
          <w:tcPr>
            <w:tcW w:w="100" w:type="dxa"/>
            <w:vAlign w:val="bottom"/>
            <w:shd w:val="clear" w:color="auto" w:fill="CFF0FC"/>
          </w:tcPr>
          <w:p>
            <w:pPr>
              <w:spacing w:after="0"/>
              <w:rPr>
                <w:sz w:val="12"/>
                <w:szCs w:val="12"/>
                <w:color w:val="auto"/>
              </w:rPr>
            </w:pPr>
          </w:p>
        </w:tc>
      </w:tr>
      <w:tr>
        <w:trPr>
          <w:trHeight w:val="148"/>
        </w:trPr>
        <w:tc>
          <w:tcPr>
            <w:tcW w:w="77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(Gain) loss on disposal of fixed asset</w:t>
            </w:r>
          </w:p>
        </w:tc>
        <w:tc>
          <w:tcPr>
            <w:tcW w:w="9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2"/>
                <w:szCs w:val="12"/>
                <w:color w:val="auto"/>
              </w:rPr>
            </w:pPr>
          </w:p>
        </w:tc>
      </w:tr>
      <w:tr>
        <w:trPr>
          <w:trHeight w:val="148"/>
        </w:trPr>
        <w:tc>
          <w:tcPr>
            <w:tcW w:w="77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Amortization of discount of marketable securities</w:t>
            </w:r>
          </w:p>
        </w:tc>
        <w:tc>
          <w:tcPr>
            <w:tcW w:w="9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(4,161)</w:t>
            </w:r>
          </w:p>
        </w:tc>
        <w:tc>
          <w:tcPr>
            <w:tcW w:w="10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(4,005)</w:t>
            </w:r>
          </w:p>
        </w:tc>
      </w:tr>
      <w:tr>
        <w:trPr>
          <w:trHeight w:val="148"/>
        </w:trPr>
        <w:tc>
          <w:tcPr>
            <w:tcW w:w="77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taxes</w:t>
            </w:r>
          </w:p>
        </w:tc>
        <w:tc>
          <w:tcPr>
            <w:tcW w:w="9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(1,110)</w:t>
            </w:r>
          </w:p>
        </w:tc>
        <w:tc>
          <w:tcPr>
            <w:tcW w:w="10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(3,372)</w:t>
            </w:r>
          </w:p>
        </w:tc>
      </w:tr>
      <w:tr>
        <w:trPr>
          <w:trHeight w:val="148"/>
        </w:trPr>
        <w:tc>
          <w:tcPr>
            <w:tcW w:w="77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Unrecognized tax benefits</w:t>
            </w: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437</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348</w:t>
            </w:r>
          </w:p>
        </w:tc>
        <w:tc>
          <w:tcPr>
            <w:tcW w:w="100" w:type="dxa"/>
            <w:vAlign w:val="bottom"/>
            <w:shd w:val="clear" w:color="auto" w:fill="CFF0FC"/>
          </w:tcPr>
          <w:p>
            <w:pPr>
              <w:spacing w:after="0"/>
              <w:rPr>
                <w:sz w:val="12"/>
                <w:szCs w:val="12"/>
                <w:color w:val="auto"/>
              </w:rPr>
            </w:pPr>
          </w:p>
        </w:tc>
      </w:tr>
      <w:tr>
        <w:trPr>
          <w:trHeight w:val="149"/>
        </w:trPr>
        <w:tc>
          <w:tcPr>
            <w:tcW w:w="77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realized (gain) loss on marketable securities</w:t>
            </w:r>
          </w:p>
        </w:tc>
        <w:tc>
          <w:tcPr>
            <w:tcW w:w="9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942</w:t>
            </w:r>
          </w:p>
        </w:tc>
        <w:tc>
          <w:tcPr>
            <w:tcW w:w="100" w:type="dxa"/>
            <w:vAlign w:val="bottom"/>
          </w:tcPr>
          <w:p>
            <w:pPr>
              <w:spacing w:after="0"/>
              <w:rPr>
                <w:sz w:val="12"/>
                <w:szCs w:val="12"/>
                <w:color w:val="auto"/>
              </w:rPr>
            </w:pPr>
          </w:p>
        </w:tc>
      </w:tr>
      <w:tr>
        <w:trPr>
          <w:trHeight w:val="148"/>
        </w:trPr>
        <w:tc>
          <w:tcPr>
            <w:tcW w:w="77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Impairment loss</w:t>
            </w: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9,926</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10,073</w:t>
            </w:r>
          </w:p>
        </w:tc>
        <w:tc>
          <w:tcPr>
            <w:tcW w:w="100" w:type="dxa"/>
            <w:vAlign w:val="bottom"/>
            <w:shd w:val="clear" w:color="auto" w:fill="CFF0FC"/>
          </w:tcPr>
          <w:p>
            <w:pPr>
              <w:spacing w:after="0"/>
              <w:rPr>
                <w:sz w:val="12"/>
                <w:szCs w:val="12"/>
                <w:color w:val="auto"/>
              </w:rPr>
            </w:pPr>
          </w:p>
        </w:tc>
      </w:tr>
      <w:tr>
        <w:trPr>
          <w:trHeight w:val="148"/>
        </w:trPr>
        <w:tc>
          <w:tcPr>
            <w:tcW w:w="77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9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2"/>
                <w:szCs w:val="12"/>
                <w:color w:val="auto"/>
              </w:rPr>
            </w:pPr>
          </w:p>
        </w:tc>
      </w:tr>
      <w:tr>
        <w:trPr>
          <w:trHeight w:val="148"/>
        </w:trPr>
        <w:tc>
          <w:tcPr>
            <w:tcW w:w="77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Trade accounts receivable</w:t>
            </w:r>
          </w:p>
        </w:tc>
        <w:tc>
          <w:tcPr>
            <w:tcW w:w="9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(7,874)</w:t>
            </w:r>
          </w:p>
        </w:tc>
        <w:tc>
          <w:tcPr>
            <w:tcW w:w="10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(2,978)</w:t>
            </w:r>
          </w:p>
        </w:tc>
      </w:tr>
      <w:tr>
        <w:trPr>
          <w:trHeight w:val="148"/>
        </w:trPr>
        <w:tc>
          <w:tcPr>
            <w:tcW w:w="776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Income tax</w:t>
            </w:r>
          </w:p>
        </w:tc>
        <w:tc>
          <w:tcPr>
            <w:tcW w:w="9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(33,056)</w:t>
            </w:r>
          </w:p>
        </w:tc>
        <w:tc>
          <w:tcPr>
            <w:tcW w:w="10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(20,199)</w:t>
            </w:r>
          </w:p>
        </w:tc>
      </w:tr>
      <w:tr>
        <w:trPr>
          <w:trHeight w:val="149"/>
        </w:trPr>
        <w:tc>
          <w:tcPr>
            <w:tcW w:w="7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current and long-term assets</w:t>
            </w:r>
          </w:p>
        </w:tc>
        <w:tc>
          <w:tcPr>
            <w:tcW w:w="9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(1,025)</w:t>
            </w:r>
          </w:p>
        </w:tc>
        <w:tc>
          <w:tcPr>
            <w:tcW w:w="10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(576)</w:t>
            </w:r>
          </w:p>
        </w:tc>
      </w:tr>
      <w:tr>
        <w:trPr>
          <w:trHeight w:val="148"/>
        </w:trPr>
        <w:tc>
          <w:tcPr>
            <w:tcW w:w="776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9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3,874</w:t>
            </w:r>
          </w:p>
        </w:tc>
        <w:tc>
          <w:tcPr>
            <w:tcW w:w="100" w:type="dxa"/>
            <w:vAlign w:val="bottom"/>
            <w:shd w:val="clear" w:color="auto" w:fill="CFF0FC"/>
          </w:tcPr>
          <w:p>
            <w:pPr>
              <w:spacing w:after="0"/>
              <w:rPr>
                <w:sz w:val="12"/>
                <w:szCs w:val="12"/>
                <w:color w:val="auto"/>
              </w:rPr>
            </w:pPr>
          </w:p>
        </w:tc>
      </w:tr>
      <w:tr>
        <w:trPr>
          <w:trHeight w:val="148"/>
        </w:trPr>
        <w:tc>
          <w:tcPr>
            <w:tcW w:w="7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Contract liabilities</w:t>
            </w:r>
          </w:p>
        </w:tc>
        <w:tc>
          <w:tcPr>
            <w:tcW w:w="9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2"/>
                <w:szCs w:val="12"/>
                <w:color w:val="auto"/>
              </w:rPr>
            </w:pPr>
          </w:p>
        </w:tc>
      </w:tr>
      <w:tr>
        <w:trPr>
          <w:trHeight w:val="148"/>
        </w:trPr>
        <w:tc>
          <w:tcPr>
            <w:tcW w:w="776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Customer deposits</w:t>
            </w: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923</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4,236</w:t>
            </w:r>
          </w:p>
        </w:tc>
        <w:tc>
          <w:tcPr>
            <w:tcW w:w="100" w:type="dxa"/>
            <w:vAlign w:val="bottom"/>
            <w:shd w:val="clear" w:color="auto" w:fill="CFF0FC"/>
          </w:tcPr>
          <w:p>
            <w:pPr>
              <w:spacing w:after="0"/>
              <w:rPr>
                <w:sz w:val="12"/>
                <w:szCs w:val="12"/>
                <w:color w:val="auto"/>
              </w:rPr>
            </w:pPr>
          </w:p>
        </w:tc>
      </w:tr>
      <w:tr>
        <w:trPr>
          <w:trHeight w:val="148"/>
        </w:trPr>
        <w:tc>
          <w:tcPr>
            <w:tcW w:w="7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liabilities and other liabilities</w:t>
            </w:r>
          </w:p>
        </w:tc>
        <w:tc>
          <w:tcPr>
            <w:tcW w:w="9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(3,414)</w:t>
            </w:r>
          </w:p>
        </w:tc>
        <w:tc>
          <w:tcPr>
            <w:tcW w:w="10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(4,589)</w:t>
            </w:r>
          </w:p>
        </w:tc>
      </w:tr>
      <w:tr>
        <w:trPr>
          <w:trHeight w:val="149"/>
        </w:trPr>
        <w:tc>
          <w:tcPr>
            <w:tcW w:w="776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9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(1,179)</w:t>
            </w:r>
          </w:p>
        </w:tc>
        <w:tc>
          <w:tcPr>
            <w:tcW w:w="10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(3,288)</w:t>
            </w:r>
          </w:p>
        </w:tc>
      </w:tr>
      <w:tr>
        <w:trPr>
          <w:trHeight w:val="20"/>
        </w:trPr>
        <w:tc>
          <w:tcPr>
            <w:tcW w:w="77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776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980" w:type="dxa"/>
            <w:vAlign w:val="bottom"/>
          </w:tcPr>
          <w:p>
            <w:pPr>
              <w:spacing w:after="0"/>
              <w:rPr>
                <w:sz w:val="12"/>
                <w:szCs w:val="12"/>
                <w:color w:val="auto"/>
              </w:rPr>
            </w:pPr>
          </w:p>
        </w:tc>
        <w:tc>
          <w:tcPr>
            <w:tcW w:w="8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(23,495)</w:t>
            </w:r>
          </w:p>
        </w:tc>
        <w:tc>
          <w:tcPr>
            <w:tcW w:w="100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(3,958)</w:t>
            </w:r>
          </w:p>
        </w:tc>
      </w:tr>
      <w:tr>
        <w:trPr>
          <w:trHeight w:val="142"/>
        </w:trPr>
        <w:tc>
          <w:tcPr>
            <w:tcW w:w="77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 from investing activities:</w:t>
            </w:r>
          </w:p>
        </w:tc>
        <w:tc>
          <w:tcPr>
            <w:tcW w:w="98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77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Maturities of marketable securities</w:t>
            </w:r>
          </w:p>
        </w:tc>
        <w:tc>
          <w:tcPr>
            <w:tcW w:w="9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132,910</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278,008</w:t>
            </w:r>
          </w:p>
        </w:tc>
        <w:tc>
          <w:tcPr>
            <w:tcW w:w="100" w:type="dxa"/>
            <w:vAlign w:val="bottom"/>
          </w:tcPr>
          <w:p>
            <w:pPr>
              <w:spacing w:after="0"/>
              <w:rPr>
                <w:sz w:val="12"/>
                <w:szCs w:val="12"/>
                <w:color w:val="auto"/>
              </w:rPr>
            </w:pPr>
          </w:p>
        </w:tc>
      </w:tr>
      <w:tr>
        <w:trPr>
          <w:trHeight w:val="148"/>
        </w:trPr>
        <w:tc>
          <w:tcPr>
            <w:tcW w:w="77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sale of marketable securities</w:t>
            </w:r>
          </w:p>
        </w:tc>
        <w:tc>
          <w:tcPr>
            <w:tcW w:w="9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101,528</w:t>
            </w:r>
          </w:p>
        </w:tc>
        <w:tc>
          <w:tcPr>
            <w:tcW w:w="100" w:type="dxa"/>
            <w:vAlign w:val="bottom"/>
            <w:shd w:val="clear" w:color="auto" w:fill="CFF0FC"/>
          </w:tcPr>
          <w:p>
            <w:pPr>
              <w:spacing w:after="0"/>
              <w:rPr>
                <w:sz w:val="12"/>
                <w:szCs w:val="12"/>
                <w:color w:val="auto"/>
              </w:rPr>
            </w:pPr>
          </w:p>
        </w:tc>
      </w:tr>
      <w:tr>
        <w:trPr>
          <w:trHeight w:val="148"/>
        </w:trPr>
        <w:tc>
          <w:tcPr>
            <w:tcW w:w="77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sale of fixed assets</w:t>
            </w:r>
          </w:p>
        </w:tc>
        <w:tc>
          <w:tcPr>
            <w:tcW w:w="9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2"/>
                <w:szCs w:val="12"/>
                <w:color w:val="auto"/>
              </w:rPr>
            </w:pPr>
          </w:p>
        </w:tc>
      </w:tr>
      <w:tr>
        <w:trPr>
          <w:trHeight w:val="148"/>
        </w:trPr>
        <w:tc>
          <w:tcPr>
            <w:tcW w:w="77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 of marketable securities</w:t>
            </w:r>
          </w:p>
        </w:tc>
        <w:tc>
          <w:tcPr>
            <w:tcW w:w="9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(18,879)</w:t>
            </w:r>
          </w:p>
        </w:tc>
        <w:tc>
          <w:tcPr>
            <w:tcW w:w="10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(374,209)</w:t>
            </w:r>
          </w:p>
        </w:tc>
      </w:tr>
      <w:tr>
        <w:trPr>
          <w:trHeight w:val="149"/>
        </w:trPr>
        <w:tc>
          <w:tcPr>
            <w:tcW w:w="77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Purchases of fixed assets</w:t>
            </w:r>
          </w:p>
        </w:tc>
        <w:tc>
          <w:tcPr>
            <w:tcW w:w="9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(17,594)</w:t>
            </w:r>
          </w:p>
        </w:tc>
        <w:tc>
          <w:tcPr>
            <w:tcW w:w="10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(36,537)</w:t>
            </w:r>
          </w:p>
        </w:tc>
      </w:tr>
      <w:tr>
        <w:trPr>
          <w:trHeight w:val="148"/>
        </w:trPr>
        <w:tc>
          <w:tcPr>
            <w:tcW w:w="776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Acquisition of businesses, net of cash</w:t>
            </w:r>
          </w:p>
        </w:tc>
        <w:tc>
          <w:tcPr>
            <w:tcW w:w="98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3,775</w:t>
            </w:r>
          </w:p>
        </w:tc>
        <w:tc>
          <w:tcPr>
            <w:tcW w:w="26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76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100,217</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(30,897)</w:t>
            </w:r>
          </w:p>
        </w:tc>
      </w:tr>
      <w:tr>
        <w:trPr>
          <w:trHeight w:val="142"/>
        </w:trPr>
        <w:tc>
          <w:tcPr>
            <w:tcW w:w="77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 from financing activities:</w:t>
            </w:r>
          </w:p>
        </w:tc>
        <w:tc>
          <w:tcPr>
            <w:tcW w:w="98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9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(10,884)</w:t>
            </w:r>
          </w:p>
        </w:tc>
        <w:tc>
          <w:tcPr>
            <w:tcW w:w="10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(225)</w:t>
            </w:r>
          </w:p>
        </w:tc>
      </w:tr>
      <w:tr>
        <w:trPr>
          <w:trHeight w:val="148"/>
        </w:trPr>
        <w:tc>
          <w:tcPr>
            <w:tcW w:w="77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Common stock withholding for employee tax obligations</w:t>
            </w:r>
          </w:p>
        </w:tc>
        <w:tc>
          <w:tcPr>
            <w:tcW w:w="9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(2,589)</w:t>
            </w:r>
          </w:p>
        </w:tc>
        <w:tc>
          <w:tcPr>
            <w:tcW w:w="10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(2,657)</w:t>
            </w:r>
          </w:p>
        </w:tc>
      </w:tr>
      <w:tr>
        <w:trPr>
          <w:trHeight w:val="149"/>
        </w:trPr>
        <w:tc>
          <w:tcPr>
            <w:tcW w:w="77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Repayment of notes payable</w:t>
            </w:r>
          </w:p>
        </w:tc>
        <w:tc>
          <w:tcPr>
            <w:tcW w:w="9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10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(1,230)</w:t>
            </w:r>
          </w:p>
        </w:tc>
      </w:tr>
      <w:tr>
        <w:trPr>
          <w:trHeight w:val="148"/>
        </w:trPr>
        <w:tc>
          <w:tcPr>
            <w:tcW w:w="77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Principal paid for finance lease</w:t>
            </w:r>
          </w:p>
        </w:tc>
        <w:tc>
          <w:tcPr>
            <w:tcW w:w="9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10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(408)</w:t>
            </w:r>
          </w:p>
        </w:tc>
      </w:tr>
      <w:tr>
        <w:trPr>
          <w:trHeight w:val="20"/>
        </w:trPr>
        <w:tc>
          <w:tcPr>
            <w:tcW w:w="77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776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980" w:type="dxa"/>
            <w:vAlign w:val="bottom"/>
          </w:tcPr>
          <w:p>
            <w:pPr>
              <w:spacing w:after="0"/>
              <w:rPr>
                <w:sz w:val="12"/>
                <w:szCs w:val="12"/>
                <w:color w:val="auto"/>
              </w:rPr>
            </w:pPr>
          </w:p>
        </w:tc>
        <w:tc>
          <w:tcPr>
            <w:tcW w:w="8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(14,255)</w:t>
            </w:r>
          </w:p>
        </w:tc>
        <w:tc>
          <w:tcPr>
            <w:tcW w:w="100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(4,520)</w:t>
            </w:r>
          </w:p>
        </w:tc>
      </w:tr>
      <w:tr>
        <w:trPr>
          <w:trHeight w:val="142"/>
        </w:trPr>
        <w:tc>
          <w:tcPr>
            <w:tcW w:w="77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98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26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7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9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62,497</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(39,296)</w:t>
            </w:r>
          </w:p>
        </w:tc>
      </w:tr>
      <w:tr>
        <w:trPr>
          <w:trHeight w:val="149"/>
        </w:trPr>
        <w:tc>
          <w:tcPr>
            <w:tcW w:w="77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period</w:t>
            </w:r>
          </w:p>
        </w:tc>
        <w:tc>
          <w:tcPr>
            <w:tcW w:w="98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55,279</w:t>
            </w:r>
          </w:p>
        </w:tc>
        <w:tc>
          <w:tcPr>
            <w:tcW w:w="26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97,473</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7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98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117,776</w:t>
            </w:r>
          </w:p>
        </w:tc>
        <w:tc>
          <w:tcPr>
            <w:tcW w:w="260" w:type="dxa"/>
            <w:vAlign w:val="bottom"/>
          </w:tcPr>
          <w:p>
            <w:pPr>
              <w:spacing w:after="0"/>
              <w:rPr>
                <w:sz w:val="12"/>
                <w:szCs w:val="12"/>
                <w:color w:val="auto"/>
              </w:rPr>
            </w:pPr>
          </w:p>
        </w:tc>
        <w:tc>
          <w:tcPr>
            <w:tcW w:w="1000" w:type="dxa"/>
            <w:vAlign w:val="bottom"/>
            <w:tcBorders>
              <w:bottom w:val="single" w:sz="8" w:color="auto"/>
            </w:tcBorders>
          </w:tcPr>
          <w:p>
            <w:pPr>
              <w:jc w:val="right"/>
              <w:ind w:right="8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58,177</w:t>
            </w:r>
          </w:p>
        </w:tc>
        <w:tc>
          <w:tcPr>
            <w:tcW w:w="100" w:type="dxa"/>
            <w:vAlign w:val="bottom"/>
          </w:tcPr>
          <w:p>
            <w:pPr>
              <w:spacing w:after="0"/>
              <w:rPr>
                <w:sz w:val="12"/>
                <w:szCs w:val="12"/>
                <w:color w:val="auto"/>
              </w:rPr>
            </w:pPr>
          </w:p>
        </w:tc>
      </w:tr>
      <w:tr>
        <w:trPr>
          <w:trHeight w:val="20"/>
        </w:trPr>
        <w:tc>
          <w:tcPr>
            <w:tcW w:w="7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77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9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77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980" w:type="dxa"/>
            <w:vAlign w:val="bottom"/>
          </w:tcPr>
          <w:p>
            <w:pPr>
              <w:jc w:val="right"/>
              <w:ind w:right="861"/>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117,641</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58,042</w:t>
            </w:r>
          </w:p>
        </w:tc>
        <w:tc>
          <w:tcPr>
            <w:tcW w:w="100" w:type="dxa"/>
            <w:vAlign w:val="bottom"/>
          </w:tcPr>
          <w:p>
            <w:pPr>
              <w:spacing w:after="0"/>
              <w:rPr>
                <w:sz w:val="12"/>
                <w:szCs w:val="12"/>
                <w:color w:val="auto"/>
              </w:rPr>
            </w:pPr>
          </w:p>
        </w:tc>
      </w:tr>
      <w:tr>
        <w:trPr>
          <w:trHeight w:val="149"/>
        </w:trPr>
        <w:tc>
          <w:tcPr>
            <w:tcW w:w="776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98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26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76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98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117,776</w:t>
            </w:r>
          </w:p>
        </w:tc>
        <w:tc>
          <w:tcPr>
            <w:tcW w:w="260" w:type="dxa"/>
            <w:vAlign w:val="bottom"/>
          </w:tcPr>
          <w:p>
            <w:pPr>
              <w:spacing w:after="0"/>
              <w:rPr>
                <w:sz w:val="12"/>
                <w:szCs w:val="12"/>
                <w:color w:val="auto"/>
              </w:rPr>
            </w:pPr>
          </w:p>
        </w:tc>
        <w:tc>
          <w:tcPr>
            <w:tcW w:w="1000" w:type="dxa"/>
            <w:vAlign w:val="bottom"/>
            <w:tcBorders>
              <w:bottom w:val="single" w:sz="8" w:color="auto"/>
            </w:tcBorders>
          </w:tcPr>
          <w:p>
            <w:pPr>
              <w:jc w:val="right"/>
              <w:ind w:right="8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58,177</w:t>
            </w:r>
          </w:p>
        </w:tc>
        <w:tc>
          <w:tcPr>
            <w:tcW w:w="100" w:type="dxa"/>
            <w:vAlign w:val="bottom"/>
          </w:tcPr>
          <w:p>
            <w:pPr>
              <w:spacing w:after="0"/>
              <w:rPr>
                <w:sz w:val="12"/>
                <w:szCs w:val="12"/>
                <w:color w:val="auto"/>
              </w:rPr>
            </w:pPr>
          </w:p>
        </w:tc>
      </w:tr>
      <w:tr>
        <w:trPr>
          <w:trHeight w:val="20"/>
        </w:trPr>
        <w:tc>
          <w:tcPr>
            <w:tcW w:w="7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7760" w:type="dxa"/>
            <w:vAlign w:val="bottom"/>
            <w:shd w:val="clear" w:color="auto" w:fill="CFF0FC"/>
          </w:tcPr>
          <w:p>
            <w:pPr>
              <w:ind w:left="140"/>
              <w:spacing w:after="0" w:line="129" w:lineRule="exact"/>
              <w:rPr>
                <w:sz w:val="20"/>
                <w:szCs w:val="20"/>
                <w:color w:val="auto"/>
              </w:rPr>
            </w:pPr>
            <w:r>
              <w:rPr>
                <w:rFonts w:ascii="Times New Roman" w:cs="Times New Roman" w:eastAsia="Times New Roman" w:hAnsi="Times New Roman"/>
                <w:sz w:val="14"/>
                <w:szCs w:val="14"/>
                <w:color w:val="auto"/>
              </w:rPr>
              <w:t>Income taxes paid</w:t>
            </w:r>
          </w:p>
        </w:tc>
        <w:tc>
          <w:tcPr>
            <w:tcW w:w="980" w:type="dxa"/>
            <w:vAlign w:val="bottom"/>
            <w:shd w:val="clear" w:color="auto" w:fill="CFF0FC"/>
          </w:tcPr>
          <w:p>
            <w:pPr>
              <w:jc w:val="right"/>
              <w:ind w:right="861"/>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32,936</w:t>
            </w: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26,642</w:t>
            </w:r>
          </w:p>
        </w:tc>
        <w:tc>
          <w:tcPr>
            <w:tcW w:w="100" w:type="dxa"/>
            <w:vAlign w:val="bottom"/>
            <w:shd w:val="clear" w:color="auto" w:fill="CFF0FC"/>
          </w:tcPr>
          <w:p>
            <w:pPr>
              <w:spacing w:after="0"/>
              <w:rPr>
                <w:sz w:val="11"/>
                <w:szCs w:val="11"/>
                <w:color w:val="auto"/>
              </w:rPr>
            </w:pPr>
          </w:p>
        </w:tc>
      </w:tr>
      <w:tr>
        <w:trPr>
          <w:trHeight w:val="148"/>
        </w:trPr>
        <w:tc>
          <w:tcPr>
            <w:tcW w:w="77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980" w:type="dxa"/>
            <w:vAlign w:val="bottom"/>
          </w:tcPr>
          <w:p>
            <w:pPr>
              <w:jc w:val="right"/>
              <w:ind w:right="861"/>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2"/>
                <w:szCs w:val="12"/>
                <w:color w:val="auto"/>
              </w:rPr>
            </w:pPr>
          </w:p>
        </w:tc>
      </w:tr>
      <w:tr>
        <w:trPr>
          <w:trHeight w:val="149"/>
        </w:trPr>
        <w:tc>
          <w:tcPr>
            <w:tcW w:w="7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Contingent consideration for business acquisition included in additional paid-in capital (1)</w:t>
            </w:r>
          </w:p>
        </w:tc>
        <w:tc>
          <w:tcPr>
            <w:tcW w:w="980" w:type="dxa"/>
            <w:vAlign w:val="bottom"/>
          </w:tcPr>
          <w:p>
            <w:pPr>
              <w:jc w:val="right"/>
              <w:ind w:right="861"/>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5,731</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7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Purchases of fixed assets in accounts payable</w:t>
            </w:r>
          </w:p>
        </w:tc>
        <w:tc>
          <w:tcPr>
            <w:tcW w:w="980" w:type="dxa"/>
            <w:vAlign w:val="bottom"/>
            <w:shd w:val="clear" w:color="auto" w:fill="CFF0FC"/>
          </w:tcPr>
          <w:p>
            <w:pPr>
              <w:jc w:val="right"/>
              <w:ind w:right="861"/>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2,071</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2,488</w:t>
            </w:r>
          </w:p>
        </w:tc>
        <w:tc>
          <w:tcPr>
            <w:tcW w:w="100" w:type="dxa"/>
            <w:vAlign w:val="bottom"/>
            <w:shd w:val="clear" w:color="auto" w:fill="CFF0FC"/>
          </w:tcPr>
          <w:p>
            <w:pPr>
              <w:spacing w:after="0"/>
              <w:rPr>
                <w:sz w:val="12"/>
                <w:szCs w:val="12"/>
                <w:color w:val="auto"/>
              </w:rPr>
            </w:pPr>
          </w:p>
        </w:tc>
      </w:tr>
      <w:tr>
        <w:trPr>
          <w:trHeight w:val="148"/>
        </w:trPr>
        <w:tc>
          <w:tcPr>
            <w:tcW w:w="77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Holdback for acquisition of business included in other long-term liabilities (1)</w:t>
            </w:r>
          </w:p>
        </w:tc>
        <w:tc>
          <w:tcPr>
            <w:tcW w:w="980" w:type="dxa"/>
            <w:vAlign w:val="bottom"/>
          </w:tcPr>
          <w:p>
            <w:pPr>
              <w:jc w:val="right"/>
              <w:ind w:right="861"/>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1,887</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62"/>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lease liabilities</w:t>
            </w:r>
          </w:p>
        </w:tc>
        <w:tc>
          <w:tcPr>
            <w:tcW w:w="980" w:type="dxa"/>
            <w:vAlign w:val="bottom"/>
            <w:shd w:val="clear" w:color="auto" w:fill="CFF0FC"/>
          </w:tcPr>
          <w:p>
            <w:pPr>
              <w:jc w:val="right"/>
              <w:ind w:right="861"/>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right-of-use assets reduced due to lease modification and termination</w:t>
            </w:r>
          </w:p>
        </w:tc>
        <w:tc>
          <w:tcPr>
            <w:tcW w:w="980" w:type="dxa"/>
            <w:vAlign w:val="bottom"/>
          </w:tcPr>
          <w:p>
            <w:pPr>
              <w:jc w:val="right"/>
              <w:ind w:right="861"/>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(46)</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Operating lease liabilities removed due to purchasing underlying assets</w:t>
            </w:r>
          </w:p>
        </w:tc>
        <w:tc>
          <w:tcPr>
            <w:tcW w:w="980" w:type="dxa"/>
            <w:vAlign w:val="bottom"/>
            <w:shd w:val="clear" w:color="auto" w:fill="CFF0FC"/>
          </w:tcPr>
          <w:p>
            <w:pPr>
              <w:jc w:val="right"/>
              <w:ind w:right="861"/>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2,799</w:t>
            </w:r>
          </w:p>
        </w:tc>
        <w:tc>
          <w:tcPr>
            <w:tcW w:w="10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-3171190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-2399665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-1816735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-1610995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-1413510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-1413510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-1002030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(1) These non-cash activities are related to the acquisition of ANP. Refer to Note 15. </w:t>
      </w:r>
      <w:r>
        <w:rPr>
          <w:rFonts w:ascii="Times New Roman" w:cs="Times New Roman" w:eastAsia="Times New Roman" w:hAnsi="Times New Roman"/>
          <w:sz w:val="15"/>
          <w:szCs w:val="15"/>
          <w:i w:val="1"/>
          <w:iCs w:val="1"/>
          <w:color w:val="auto"/>
        </w:rPr>
        <w:t>Business Combinations</w:t>
      </w:r>
      <w:r>
        <w:rPr>
          <w:rFonts w:ascii="Times New Roman" w:cs="Times New Roman" w:eastAsia="Times New Roman" w:hAnsi="Times New Roman"/>
          <w:sz w:val="15"/>
          <w:szCs w:val="15"/>
          <w:color w:val="auto"/>
        </w:rPr>
        <w:t xml:space="preserve"> for further details.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 and Basis of Presentation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or U.S. GAAP. These financial statements include the assets, liabilities, revenues and expenses of all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intercompany accounts and transactions are eliminated from the accompanying condensed consolidated financial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the Business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Fulgent Genetics, Inc., together with its subsidiaries and affiliated professional corporations, or PCs (collectively referred to as the Company, unless otherwise noted or the context requires otherwise), is a technology-based company with a well-established laboratory services business and a therapeutic development business. Its laboratory services business includes technical laboratory services and testing services and professional interpretation of laboratory results by licensed physicians. Its therapeutic development business is focused on developing drug candidates for treating a broad range of cancers using a novel nanoencapsulation and targeted therapy platform designed to improve the therapeutic window and pharmacokinetic profile of new and existing cancer drugs. The Company aims to transform from a genomic diagnostic business into a fully integrated precision medicine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The accompanying unaudited interim condensed consolidated financial statements have been prepared on the same basis as the Company’s audited consolidated financial statements as of and for the fiscal year ended December 31, 2024, which are included in the Company’s annual report on Form 10-K filed with the Securities and Exchange Commission, or SEC, on February 28, 2025, or the 2024 Annual Report, and, in the opinion of management, include all adjustments, which are normal and recurring in nature, necessary for a fair presentation of the Company’s financial position and results of operations.</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Operating results for interim periods are not necessarily indicative of the results that may be expected for a full fiscal year or any other period. The accompanying Condensed Consolidated Balance Sheet as of December 31, 2024, has been derived from the Company’s audited consolidated financial statements at that date but does not include all of the disclosures required by U.S. GAAP. As such, the information included in this quarterly report on Form 10-Q should be read in conjunction with the Company’s audited consolidated financial statements included in the 2024 Annual Report, including the notes thereto.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Company’s Consolidated Financial Statements included in the 2024 Annual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condensed consolidated financial statements, as well as various other factors management believes to be reasonable under the circumstances. The Company’s estimates and assumptions may evolve as conditions change. Actual results could differ significantly from these estimates.</w:t>
      </w:r>
    </w:p>
    <w:p>
      <w:pPr>
        <w:spacing w:after="0" w:line="16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On an ongoing basis, management evaluates its estimates, primarily those related to: (i) revenue recognition criteria, (ii) accounts receivable and allowances for credit losses, (iii) the useful lives of fixed assets and intangible assets, (iv) estimates of tax liabilities, (v) valuation of goodwill and indefinite-lived intangible assets at time of acquisition and on a recurring basis, and (vi) valuation of investments.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Allowance for Credit Losses</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Trade accounts receivable are stated at the amount the Company expects to collect. The Company maintains an allowance for credit losses for expected uncollectible trade accounts receivable, which is recorded as an offset to trade accounts receivable, and changes in allowance for credit losses are classified as a general and administrative expense in the accompanying Condensed Consolidated Statements of Operations. The Company assesses collectability by reviewing trade accounts receivable on a collective basis where similar risk characteristics exist and on an individual basis when it identifies specific customers that have deterioration in credit quality such that they may no longer share similar risk characteristics with the other receivables. In determining the amount of the allowance for credit losses, the Company uses a loss rate model or probability-of-default and loss-given default model. Following the loss rate method, expected credit losses are determined based on an estimated historical loss rate. The probability of default method allows the ability to define a point of default and measure credit losses for receivables that have reached the point of default for purposes of calculating the allowance for credit losses. Loss-given default represents the likelihood that a receivable that has reached the point of default will not be collected in full. The Company updates its loss rate and factors quarterly to incorporate the most recent historical data and adjusts the quantitative portion of the reserve through its qualitative reserve overlay. The Company looks at qualitative factors such as general economic conditions in determining expected credit losses.</w:t>
      </w:r>
    </w:p>
    <w:p>
      <w:pPr>
        <w:spacing w:after="0" w:line="19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 roll-forward of the activity in the Company’s allowance for credit losses for the nine months ended September 30, 2025, dollars in thousands,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 at beginning of year</w:t>
            </w:r>
          </w:p>
        </w:tc>
        <w:tc>
          <w:tcPr>
            <w:tcW w:w="1460" w:type="dxa"/>
            <w:vAlign w:val="bottom"/>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20,458</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provision</w:t>
            </w:r>
          </w:p>
        </w:tc>
        <w:tc>
          <w:tcPr>
            <w:tcW w:w="14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Write-downs</w:t>
            </w:r>
          </w:p>
        </w:tc>
        <w:tc>
          <w:tcPr>
            <w:tcW w:w="146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(4,795)</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Recoveries of amounts previously charged off</w:t>
            </w:r>
          </w:p>
        </w:tc>
        <w:tc>
          <w:tcPr>
            <w:tcW w:w="14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r>
      <w:tr>
        <w:trPr>
          <w:trHeight w:val="250"/>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 as of September 30, 2025</w:t>
            </w:r>
          </w:p>
        </w:tc>
        <w:tc>
          <w:tcPr>
            <w:tcW w:w="1460" w:type="dxa"/>
            <w:vAlign w:val="bottom"/>
            <w:tcBorders>
              <w:bottom w:val="single" w:sz="8" w:color="auto"/>
            </w:tcBorders>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60" w:firstLine="530"/>
        <w:spacing w:after="0" w:line="255" w:lineRule="auto"/>
        <w:rPr>
          <w:sz w:val="20"/>
          <w:szCs w:val="20"/>
          <w:color w:val="auto"/>
        </w:rPr>
      </w:pPr>
      <w:r>
        <w:rPr>
          <w:rFonts w:ascii="Times New Roman" w:cs="Times New Roman" w:eastAsia="Times New Roman" w:hAnsi="Times New Roman"/>
          <w:sz w:val="18"/>
          <w:szCs w:val="18"/>
          <w:color w:val="auto"/>
        </w:rPr>
        <w:t>The Company uses the acquisition method of accounting and allocates the fair value of purchase consideration to the assets acquired and liabilities assumed from an acquiree based on their respective fair values as of the acquisition date. The excess of the fair value of purchase consideration over the fair value of these assets acquired and liabilities assumed is recorded as goodwill. When determining the fair values of assets acquired and liabilities assumed, management makes significant estimates and assumptions, especially with respect to intangible assets. Critical estimates in valuing intangible assets include, but are not limited to, expected future cash flows, which includes consideration of future growth and margins, future changes in technology, expected cost and time to develop in-process research and development, brand awareness and discount rates. Fair value estimates are based on the assumptions that management believes a market participant would use in pricing the asset or liability.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Intangible assets, unless determined to be indefinite-lived, are amortized over their estimated useful lives. The Company amortizes intangible assets with definite lives on a straight-line basis generally over periods ranging from 3 to 18 years. See Note 14.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for details of intangible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In-process research &amp; development, or IPR&amp;D, costs are considered to be indefinite-lived until the completion or abandonment of the associated research and development efforts. If and when development is complete, the associated assets would be deemed finite-lived and would then be amortized based on their respective estimated useful lives at that point in time.</w:t>
      </w:r>
    </w:p>
    <w:p>
      <w:pPr>
        <w:spacing w:after="0" w:line="17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 assesses goodwill and indefinite-lived intangibles for impairment on an annual basis and between annual tests if an event occurs or circumstances change that would more likely than not reduce the fair value of a reporting unit below its carrying amount. The Company may choose to bypass a qualitative assessment of impairment for any reporting unit and proceed directly to performing a quantitative assessment. An impairment loss would be recognized for the amount by which the reporting unit</w:t>
      </w:r>
      <w:r>
        <w:rPr>
          <w:rFonts w:ascii="Times New Roman" w:cs="Times New Roman" w:eastAsia="Times New Roman" w:hAnsi="Times New Roman"/>
          <w:sz w:val="16"/>
          <w:szCs w:val="16"/>
          <w:color w:val="auto"/>
        </w:rPr>
        <w:t>’s</w:t>
      </w:r>
      <w:r>
        <w:rPr>
          <w:rFonts w:ascii="Times New Roman" w:cs="Times New Roman" w:eastAsia="Times New Roman" w:hAnsi="Times New Roman"/>
          <w:sz w:val="18"/>
          <w:szCs w:val="18"/>
          <w:color w:val="auto"/>
        </w:rPr>
        <w:t xml:space="preserve"> carrying amount exceeds its fair value.</w:t>
      </w:r>
    </w:p>
    <w:p>
      <w:pPr>
        <w:spacing w:after="0" w:line="180" w:lineRule="exact"/>
        <w:rPr>
          <w:sz w:val="20"/>
          <w:szCs w:val="20"/>
          <w:color w:val="auto"/>
        </w:rPr>
      </w:pPr>
    </w:p>
    <w:p>
      <w:pPr>
        <w:ind w:right="460" w:firstLine="509"/>
        <w:spacing w:after="0" w:line="258" w:lineRule="auto"/>
        <w:rPr>
          <w:sz w:val="20"/>
          <w:szCs w:val="20"/>
          <w:color w:val="auto"/>
        </w:rPr>
      </w:pPr>
      <w:r>
        <w:rPr>
          <w:rFonts w:ascii="Times New Roman" w:cs="Times New Roman" w:eastAsia="Times New Roman" w:hAnsi="Times New Roman"/>
          <w:sz w:val="18"/>
          <w:szCs w:val="18"/>
          <w:color w:val="auto"/>
        </w:rPr>
        <w:t>The Company’s quantitative assessment includes estimating the fair value of each reporting unit and comparing it to its carrying value. The Company estimates the fair value of reporting units using both income-based and market-based valuation methods and typically engages a third-party appraisal firm to assist with the valuation. The estimated fair value for each reporting unit is determined based upon the range of estimated values developed from the income and market-based methods. If the estimated fair value of a reporting unit exceeds its carrying value, the goodwill is not impaired, and no further review is required.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income-based fair value methodology is based on a reporting unit’s forecasted future cash flows that are discounted to the present value using the reporting unit’s weighted-average cost of capital. The income-based approach requires management</w:t>
      </w:r>
      <w:r>
        <w:rPr>
          <w:rFonts w:ascii="Times New Roman" w:cs="Times New Roman" w:eastAsia="Times New Roman" w:hAnsi="Times New Roman"/>
          <w:sz w:val="16"/>
          <w:szCs w:val="16"/>
          <w:color w:val="auto"/>
        </w:rPr>
        <w:t>’s</w:t>
      </w:r>
      <w:r>
        <w:rPr>
          <w:rFonts w:ascii="Times New Roman" w:cs="Times New Roman" w:eastAsia="Times New Roman" w:hAnsi="Times New Roman"/>
          <w:sz w:val="18"/>
          <w:szCs w:val="18"/>
          <w:color w:val="auto"/>
        </w:rPr>
        <w:t xml:space="preserve"> assumptions and judgments regarding economic conditions in the markets in which the company operates and conditions in the capital markets, many of which are outside of management</w:t>
      </w:r>
      <w:r>
        <w:rPr>
          <w:rFonts w:ascii="Times New Roman" w:cs="Times New Roman" w:eastAsia="Times New Roman" w:hAnsi="Times New Roman"/>
          <w:sz w:val="16"/>
          <w:szCs w:val="16"/>
          <w:color w:val="auto"/>
        </w:rPr>
        <w:t>’s</w:t>
      </w:r>
      <w:r>
        <w:rPr>
          <w:rFonts w:ascii="Times New Roman" w:cs="Times New Roman" w:eastAsia="Times New Roman" w:hAnsi="Times New Roman"/>
          <w:sz w:val="18"/>
          <w:szCs w:val="18"/>
          <w:color w:val="auto"/>
        </w:rPr>
        <w:t xml:space="preserve"> control. The market-based fair value methodology looks at the guideline public company valuation method to determine the prices of comparable public companies and looks at merger and acquisition methods, similar businesses that were sold recently, to estimate the value of the reporting units. Under the market-based approach, judgment is required in evaluating market multiples and recent transactions.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the carrying amount of its long-lived assets whenever events or changes in circumstances indicate that the assets may not be recoverable. An impairment loss would be recognized when estimated future cash flows expected to result from the use of an asset and its eventual disposition are less than the carrying amount of the asset.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Company’s financial instruments consist principally of cash and cash equivalents, marketable securities, trade accounts receivable, restricted cash, preferred stock investments, accounts payable, and accrued liabilities. The carrying amounts of certain of these financial instruments, including cash and cash equivalents, accounts receivable, accounts payable, and accrued liabilities approximate fair value due to their short maturities. Fair value of marketable securities and the preferred stock investments is disclosed in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to the accompanying condensed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Customers, and Suppliers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trade accounts receivable, and marketable securities. As of September 30, 2025, substantially all of the Company’s cash and cash equivalents were deposited in accounts at financial institutions, and amounts typically exceed federally insured limits. Management believes that the Company is not exposed to significant credit risk due to the financial strength of the depository institutions in which its cash and cash equivalents are held.</w:t>
      </w:r>
    </w:p>
    <w:p>
      <w:pPr>
        <w:spacing w:after="0" w:line="180"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certain periods, a small number of customers have accounted for a significant portion of the Company’s revenue. For the laboratory services segment, aggregating customers under common control, one customer comprised $19.2 million, or 23%, of total revenue in the three months ended September 30, 2025, and $54.4 million, or 23%, of the Company’s revenue in the nine months ended September 30, 2025. The same customer comprised $16.2 million, or 23%, of total revenue in the three months ended September 30, 2024, and $45.7 million, or 22%, of the Company’s revenue in the nine months ended September 30, 2024. The same customer comprised 14% of total accounts receivable, net, as of September 30, 2025, and 15% of total accounts receivable, net, as of December 31, 2024. For the therapeutic development segment, the Company does not have customers or revenue as it does not have any commercialized or approved drug candidates.</w:t>
      </w:r>
    </w:p>
    <w:p>
      <w:pPr>
        <w:spacing w:after="0" w:line="18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Company’s therapeutic development business relies on ANP Technologies, Inc., or ANP, for certain laboratory services, equipment, tools, and drug intermediates in connection with research and development efforts. In July 2025, the Company completed an acquisition of 100% of the outstanding equity of ANP. See more details in Note 15.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The Company also relies on a limited number of suppliers for certain laboratory substances used in the chemical reactions incorporated into its processes, referred to as reagents, as well as for the sequencers and various other equipment and materials it uses in its laboratory operations. In particular, the Company relies on a sole supplier for the next generation sequencers and associated reagents it uses to perform its genetic tests and as the sole provider of maintenance and repair services for these sequencers. The Company’s laboratory operations would be interrupted if it encountered delays or difficulties securing these reagents, sequencers, other equipment or materials or maintenance and repair services, which could occur for a variety of reasons, including if the Company needs a replacement or temporary substitute for any of its limited or sole suppliers and is not able to locate and make arrangements with an acceptable replacement or temporary substitute. The Company’s development efforts could also be delayed or interrupted if it is unable to procure items needed for its therapeutic development activities. The Company believes there are currently only a few other manufacturers that are capable of supplying and servicing some of the equipment and other materials necessary for its laboratory operations, including sequencers and various associated reagents.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 and Geographic Information</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Reportable segments are defined as components of an enterprise about which separate discrete financial information is available for evaluation by the Chief Operating Decision Maker, or CODM, in making decisions regarding resource allocation and assessing performance. The Company’s CODM is its Chief Executive Officer. The Company reports its business in two segments, a laboratory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 w:name="page12"/>
    <w:bookmarkEnd w:id="11"/>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services business and a therapeutic development business. For further financial information about these segments, including information for each of the periods presented regarding revenue, operating income (loss), and other important information, see Note 7. </w:t>
      </w:r>
      <w:r>
        <w:rPr>
          <w:rFonts w:ascii="Times New Roman" w:cs="Times New Roman" w:eastAsia="Times New Roman" w:hAnsi="Times New Roman"/>
          <w:sz w:val="18"/>
          <w:szCs w:val="18"/>
          <w:i w:val="1"/>
          <w:iCs w:val="1"/>
          <w:color w:val="auto"/>
        </w:rPr>
        <w:t>Reportable Segment and Geographic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to the accompanying condensed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Foreign Currency Transactions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translates the assets and liabilities of its non-U.S. dollar functional currency subsidiaries into U.S. dollars using exchange rates in effect at the end of each period. Expenses for these subsidiaries are translated using rates that approximate those in effect during the period. These unrealized gains and losses are recognized in accumulated other comprehensive income in the equity section of the accompanying Condensed Consolidated Balance Sheets, and do not impact net income.</w:t>
      </w:r>
    </w:p>
    <w:p>
      <w:pPr>
        <w:spacing w:after="0" w:line="1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 and its subsidiaries that use the U.S. dollar as their functional currency remeasure monetary assets and liabilities at exchange rates in effect at the end of each period. The carrying value of these will change with exchange rate fluctuations resulting in a foreign currency transaction gain or loss which is recognized in other income, net in the Condensed Consolidated Statements of Operations. Reagents and supplies, property, and other nonmonetary assets and liabilities are remeasured when the transaction is initially recognized using the historical rate that was in effect when the asset was acquired or liability was incurred. The carrying amounts do not change as a result of exchange rate fluctuations and no foreign currency transaction gain or loss is recognized. Gains and losses from foreign currency exchange were not significant for the three and nine months ended September 30, 2025, and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effective tax rate used for interim periods is the estimated annual effective consolidated tax rate, based on the current estimate of full year results, except that taxes related to specific events, if any, are recorded in the interim period in which they occur. The annual effective tax rate is based upon several significant estimates and judgments, including the estimated annual pre-tax income (loss)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Comprehensive loss is comprised of net loss and other comprehensive income or loss. Other comprehensive income or loss consists of net unrealized gain or loss on available-for-sale debt securities, net of tax, and foreign currency translation adjustments from the Company’s subsidiaries not using the U.S. dollar as their functional currency. There was no reclassification from other comprehensive income or loss to net loss in the three and nine months ended September 30, 2025. Reclassifications from other comprehensive loss to net loss were $2.7 million and $3.5 million in the three and nine months ended September 30, 2024, respectively. The tax effect related to net unrealized gain or loss on the available-for-sale debt securities was zero in each of the three and nine months ended September 30, 2025, and 2024, due to the valuation allowance that precludes the Company from recognizing the deferred tax benefit.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Company classifies its customers into three payor types: (i) Institutional, including hospitals, medical institutions, other laboratories, governmental bodies, and large corporations, (ii) Insurance, or (iii) Patients who pay directly, as the Company believes this best depicts how the nature, amount, timing, and uncertainty of its revenue and cash flows are affected by economic factors. The following table summarizes revenue from contracts with customers by payor type for the three and nine months ended September 30, 2025, and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000" w:type="dxa"/>
            <w:vAlign w:val="bottom"/>
            <w:tcBorders>
              <w:bottom w:val="single" w:sz="8" w:color="auto"/>
            </w:tcBorders>
            <w:gridSpan w:val="5"/>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5"/>
                <w:szCs w:val="15"/>
                <w:color w:val="auto"/>
              </w:rPr>
            </w:pPr>
          </w:p>
        </w:tc>
      </w:tr>
      <w:tr>
        <w:trPr>
          <w:trHeight w:val="209"/>
        </w:trPr>
        <w:tc>
          <w:tcPr>
            <w:tcW w:w="3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r>
      <w:tr>
        <w:trPr>
          <w:trHeight w:val="223"/>
        </w:trPr>
        <w:tc>
          <w:tcPr>
            <w:tcW w:w="3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by payor</w:t>
            </w:r>
          </w:p>
        </w:tc>
        <w:tc>
          <w:tcPr>
            <w:tcW w:w="17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Institutional</w:t>
            </w:r>
          </w:p>
        </w:tc>
        <w:tc>
          <w:tcPr>
            <w:tcW w:w="258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48,947</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39,822</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135,890</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112,376</w:t>
            </w:r>
          </w:p>
        </w:tc>
        <w:tc>
          <w:tcPr>
            <w:tcW w:w="120" w:type="dxa"/>
            <w:vAlign w:val="bottom"/>
          </w:tcPr>
          <w:p>
            <w:pPr>
              <w:spacing w:after="0"/>
              <w:rPr>
                <w:sz w:val="18"/>
                <w:szCs w:val="18"/>
                <w:color w:val="auto"/>
              </w:rPr>
            </w:pPr>
          </w:p>
        </w:tc>
      </w:tr>
      <w:tr>
        <w:trPr>
          <w:trHeight w:val="216"/>
        </w:trPr>
        <w:tc>
          <w:tcPr>
            <w:tcW w:w="3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17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32,679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30,661</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97,808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91,584</w:t>
            </w:r>
          </w:p>
        </w:tc>
        <w:tc>
          <w:tcPr>
            <w:tcW w:w="120" w:type="dxa"/>
            <w:vAlign w:val="bottom"/>
            <w:shd w:val="clear" w:color="auto" w:fill="CFF0FC"/>
          </w:tcPr>
          <w:p>
            <w:pPr>
              <w:spacing w:after="0"/>
              <w:rPr>
                <w:sz w:val="18"/>
                <w:szCs w:val="18"/>
                <w:color w:val="auto"/>
              </w:rPr>
            </w:pPr>
          </w:p>
        </w:tc>
      </w:tr>
      <w:tr>
        <w:trPr>
          <w:trHeight w:val="216"/>
        </w:trPr>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Patients</w:t>
            </w:r>
          </w:p>
        </w:tc>
        <w:tc>
          <w:tcPr>
            <w:tcW w:w="17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20" w:type="dxa"/>
            <w:vAlign w:val="bottom"/>
          </w:tcPr>
          <w:p>
            <w:pPr>
              <w:spacing w:after="0"/>
              <w:rPr>
                <w:sz w:val="18"/>
                <w:szCs w:val="18"/>
                <w:color w:val="auto"/>
              </w:rPr>
            </w:pPr>
          </w:p>
        </w:tc>
      </w:tr>
      <w:tr>
        <w:trPr>
          <w:trHeight w:val="22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58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84,069</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71,743</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239,335</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207,256</w:t>
            </w:r>
          </w:p>
        </w:tc>
        <w:tc>
          <w:tcPr>
            <w:tcW w:w="120" w:type="dxa"/>
            <w:vAlign w:val="bottom"/>
            <w:shd w:val="clear" w:color="auto" w:fill="CFF0FC"/>
          </w:tcPr>
          <w:p>
            <w:pPr>
              <w:spacing w:after="0"/>
              <w:rPr>
                <w:sz w:val="19"/>
                <w:szCs w:val="19"/>
                <w:color w:val="auto"/>
              </w:rPr>
            </w:pPr>
          </w:p>
        </w:tc>
      </w:tr>
      <w:tr>
        <w:trPr>
          <w:trHeight w:val="20"/>
        </w:trPr>
        <w:tc>
          <w:tcPr>
            <w:tcW w:w="312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-25400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-8255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-25400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experienced a change in estimate related to variable consideration, leading to the recognition of zero and $1.8 million variable consideration, respectively, that related to COVID-19 test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right="20"/>
        <w:spacing w:after="0" w:line="266" w:lineRule="auto"/>
        <w:rPr>
          <w:sz w:val="20"/>
          <w:szCs w:val="20"/>
          <w:color w:val="auto"/>
        </w:rPr>
      </w:pPr>
      <w:r>
        <w:rPr>
          <w:rFonts w:ascii="Times New Roman" w:cs="Times New Roman" w:eastAsia="Times New Roman" w:hAnsi="Times New Roman"/>
          <w:sz w:val="18"/>
          <w:szCs w:val="18"/>
          <w:color w:val="auto"/>
        </w:rPr>
        <w:t>services completed in the prior periods due to collection efforts. This was included as revenue from insurance in the table above. There was zero such variable consideration recognized in each of the three and nine months ended September 30, 2025. The Company estimates variable consideration using the expected value method. Any changes in variable consideration estimates that affect transactions are accounted for on a cumulative catch-up basis.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19"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Receivables from contracts with customers - </w:t>
      </w:r>
      <w:r>
        <w:rPr>
          <w:rFonts w:ascii="Times New Roman" w:cs="Times New Roman" w:eastAsia="Times New Roman" w:hAnsi="Times New Roman"/>
          <w:sz w:val="18"/>
          <w:szCs w:val="18"/>
          <w:color w:val="auto"/>
        </w:rPr>
        <w:t>Receivables from contracts with customers are included within trade accounts receivable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Condensed Consolidated Balance Sheets. Receivables from Insurance and Institutional customers represented 52% and 48%, respectively, as of September 30, 2025, and 44% and 56%, respectively, as of December 31, 2024.</w:t>
      </w:r>
    </w:p>
    <w:p>
      <w:pPr>
        <w:spacing w:after="0" w:line="173"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Contract assets and liabilities </w:t>
      </w:r>
      <w:r>
        <w:rPr>
          <w:rFonts w:ascii="Times New Roman" w:cs="Times New Roman" w:eastAsia="Times New Roman" w:hAnsi="Times New Roman"/>
          <w:sz w:val="18"/>
          <w:szCs w:val="18"/>
          <w:color w:val="auto"/>
        </w:rPr>
        <w:t>- Contract assets from contracts with customers associated with contract execution and certain costs to fulfill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are included in other current assets in the accompanying Condensed Consolidated Balance Sheets. Contract liabilities are recorded when the Company receives payment prior to completing its obligation to transfer goods or services to a customer. Contract liabilities are included in the Condensed Consolidated Balance Sheets. Revenues of $0.2 million and $0.4 million were recognized for the three and nine months ended September 30, 2025, respectively, and $0.8 million and $1.6 million were recognized for the three and nine months ended September 30, 2024, respectively, related to contract liabilities at the beginning of the respective periods.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Period Reclassifications</w:t>
      </w:r>
    </w:p>
    <w:p>
      <w:pPr>
        <w:spacing w:after="0" w:line="119" w:lineRule="exact"/>
        <w:rPr>
          <w:sz w:val="20"/>
          <w:szCs w:val="20"/>
          <w:color w:val="auto"/>
        </w:rPr>
      </w:pPr>
    </w:p>
    <w:p>
      <w:pPr>
        <w:ind w:right="3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Certain amounts reported in the prior period have been reclassified to conform with the current period presentation. In Note 6. </w:t>
      </w:r>
      <w:r>
        <w:rPr>
          <w:rFonts w:ascii="Times New Roman" w:cs="Times New Roman" w:eastAsia="Times New Roman" w:hAnsi="Times New Roman"/>
          <w:sz w:val="18"/>
          <w:szCs w:val="18"/>
          <w:i w:val="1"/>
          <w:iCs w:val="1"/>
          <w:color w:val="auto"/>
        </w:rPr>
        <w:t>Other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Balance Sheet Accounts</w:t>
      </w:r>
      <w:r>
        <w:rPr>
          <w:rFonts w:ascii="Times New Roman" w:cs="Times New Roman" w:eastAsia="Times New Roman" w:hAnsi="Times New Roman"/>
          <w:sz w:val="18"/>
          <w:szCs w:val="18"/>
          <w:color w:val="auto"/>
        </w:rPr>
        <w:t>, the Company has combined accrued legal liabilities with other accrued liabilities.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all Accounting Standards Updates, or ASUs, issued by the Financial Accounting Standards Board, or FASB, for consideration of their applicability. ASUs not included in the Company’s disclosures were assessed and determined to be either not applicable or are not expected to have a material impact on the Company’s condensed consolidated financial statements.</w:t>
      </w:r>
    </w:p>
    <w:p>
      <w:pPr>
        <w:spacing w:after="0" w:line="17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w:t>
      </w:r>
      <w:r>
        <w:rPr>
          <w:rFonts w:ascii="Times New Roman" w:cs="Times New Roman" w:eastAsia="Times New Roman" w:hAnsi="Times New Roman"/>
          <w:sz w:val="18"/>
          <w:szCs w:val="18"/>
          <w:i w:val="1"/>
          <w:iCs w:val="1"/>
          <w:color w:val="auto"/>
        </w:rPr>
        <w:t>Improvement to Income Tax Disclosures</w:t>
      </w:r>
      <w:r>
        <w:rPr>
          <w:rFonts w:ascii="Times New Roman" w:cs="Times New Roman" w:eastAsia="Times New Roman" w:hAnsi="Times New Roman"/>
          <w:sz w:val="18"/>
          <w:szCs w:val="18"/>
          <w:color w:val="auto"/>
        </w:rPr>
        <w:t>. This update requires more detailed information on certain income tax disclosures including the income tax rate reconciliation and income taxes paid. Amendments in this update are effective for annual periods beginning December 15, 2024, for public entities, and early adoption is permitted. This update is intended to result in enhanced income tax disclosures, and the Company does not expect any impact to income tax expense.</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This update requires disclosure in the notes to financial statements of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costs and expenses. Amendments in this update are effective for annual periods beginning after December 15, 2026, and interim reporting periods beginning after December 15, 2027. Early adoption is permitted. The Company is currently evaluating the impacts of this amendment on its consolidated financial statements and related disclosure.</w:t>
      </w:r>
    </w:p>
    <w:p>
      <w:pPr>
        <w:spacing w:after="0" w:line="183"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This update provides all entities with a practical expedient related to the estimation of expected credit losses for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 and current contract assets that arise from transactions accounted for under ASC 606. Amendments in this update are effective for annual periods beginning after December 15, 2025, and interim reporting periods within those annual reporting periods. Early adoption is permitted. The Company is currently evaluating the impact of this amendment on its financial statements and related disclosures.</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This update simplifies the capitalization guidance by removing all references to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project stages, so that the guidance is neutral to different software development methods. Amendments in this update are effective for annual periods beginning after December 15, 2027, and interim reporting periods within those annual reporting periods. Early adoption is permitted. The Company is currently evaluating the impacts of this amendment on its financial statements and related disclosures.</w:t>
      </w:r>
    </w:p>
    <w:p>
      <w:pPr>
        <w:spacing w:after="0" w:line="185"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Company does not expect that any other recently issued accounting guidance will have a significant effect on its condensed consolidated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3. Equity and Debt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investment in equity and debt securities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24"/>
        </w:trPr>
        <w:tc>
          <w:tcPr>
            <w:tcW w:w="4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2"/>
          </w:tcPr>
          <w:p>
            <w:pPr>
              <w:jc w:val="right"/>
              <w:ind w:right="540"/>
              <w:spacing w:after="0" w:line="12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ind w:right="293"/>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0"/>
                <w:szCs w:val="10"/>
                <w:color w:val="auto"/>
              </w:rPr>
            </w:pPr>
          </w:p>
        </w:tc>
        <w:tc>
          <w:tcPr>
            <w:tcW w:w="10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292"/>
              <w:spacing w:after="0" w:line="124"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0"/>
                <w:szCs w:val="10"/>
                <w:color w:val="auto"/>
              </w:rPr>
            </w:pPr>
          </w:p>
        </w:tc>
      </w:tr>
      <w:tr>
        <w:trPr>
          <w:trHeight w:val="173"/>
        </w:trPr>
        <w:tc>
          <w:tcPr>
            <w:tcW w:w="4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209"/>
        </w:trPr>
        <w:tc>
          <w:tcPr>
            <w:tcW w:w="4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3"/>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equity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tcPr>
          <w:p>
            <w:pPr>
              <w:spacing w:after="0"/>
              <w:rPr>
                <w:sz w:val="18"/>
                <w:szCs w:val="18"/>
                <w:color w:val="auto"/>
              </w:rPr>
            </w:pPr>
          </w:p>
        </w:tc>
      </w:tr>
      <w:tr>
        <w:trPr>
          <w:trHeight w:val="20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3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120,652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121,021</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107,611</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28,112</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Yankee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accounts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89,492</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Cash equivalents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(89,492)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(89,492)</w:t>
            </w:r>
          </w:p>
        </w:tc>
      </w:tr>
      <w:tr>
        <w:trPr>
          <w:trHeight w:val="20"/>
        </w:trPr>
        <w:tc>
          <w:tcPr>
            <w:tcW w:w="4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258,162</w:t>
            </w:r>
          </w:p>
        </w:tc>
        <w:tc>
          <w:tcPr>
            <w:tcW w:w="100" w:type="dxa"/>
            <w:vAlign w:val="bottom"/>
          </w:tcPr>
          <w:p>
            <w:pPr>
              <w:spacing w:after="0"/>
              <w:rPr>
                <w:sz w:val="18"/>
                <w:szCs w:val="18"/>
                <w:color w:val="auto"/>
              </w:rPr>
            </w:pPr>
          </w:p>
        </w:tc>
      </w:tr>
      <w:tr>
        <w:trPr>
          <w:trHeight w:val="210"/>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3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308,034</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76,595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76,562</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26,170</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shd w:val="clear" w:color="auto" w:fill="CFF0FC"/>
          </w:tcPr>
          <w:p>
            <w:pPr>
              <w:spacing w:after="0"/>
              <w:rPr>
                <w:sz w:val="18"/>
                <w:szCs w:val="18"/>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411,778</w:t>
            </w:r>
          </w:p>
        </w:tc>
        <w:tc>
          <w:tcPr>
            <w:tcW w:w="10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666,477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669,940</w:t>
            </w:r>
          </w:p>
        </w:tc>
        <w:tc>
          <w:tcPr>
            <w:tcW w:w="100" w:type="dxa"/>
            <w:vAlign w:val="bottom"/>
            <w:shd w:val="clear" w:color="auto" w:fill="CFF0FC"/>
          </w:tcPr>
          <w:p>
            <w:pPr>
              <w:spacing w:after="0"/>
              <w:rPr>
                <w:sz w:val="18"/>
                <w:szCs w:val="18"/>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3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24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684,941</w:t>
            </w:r>
          </w:p>
        </w:tc>
        <w:tc>
          <w:tcPr>
            <w:tcW w:w="10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-3599815</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-3599815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-3599815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-2211070</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-2211070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-2211070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-1370965</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-1370965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-1370965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-1079500</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-1079500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-1079500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4"/>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24"/>
        </w:trPr>
        <w:tc>
          <w:tcPr>
            <w:tcW w:w="4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2"/>
          </w:tcPr>
          <w:p>
            <w:pPr>
              <w:jc w:val="right"/>
              <w:ind w:right="540"/>
              <w:spacing w:after="0" w:line="12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tcPr>
          <w:p>
            <w:pPr>
              <w:jc w:val="right"/>
              <w:ind w:right="54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jc w:val="right"/>
              <w:ind w:right="52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292"/>
              <w:spacing w:after="0" w:line="124"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0"/>
                <w:szCs w:val="10"/>
                <w:color w:val="auto"/>
              </w:rPr>
            </w:pPr>
          </w:p>
        </w:tc>
      </w:tr>
      <w:tr>
        <w:trPr>
          <w:trHeight w:val="173"/>
        </w:trPr>
        <w:tc>
          <w:tcPr>
            <w:tcW w:w="4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209"/>
        </w:trPr>
        <w:tc>
          <w:tcPr>
            <w:tcW w:w="4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equity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Pr>
          <w:p>
            <w:pPr>
              <w:spacing w:after="0"/>
              <w:rPr>
                <w:sz w:val="18"/>
                <w:szCs w:val="18"/>
                <w:color w:val="auto"/>
              </w:rPr>
            </w:pPr>
          </w:p>
        </w:tc>
      </w:tr>
      <w:tr>
        <w:trPr>
          <w:trHeight w:val="20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3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75,054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75,165</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65,539</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44,366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44,383</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19,139</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accounts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Cash equivalents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(24,696)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(24,697)</w:t>
            </w:r>
          </w:p>
        </w:tc>
      </w:tr>
      <w:tr>
        <w:trPr>
          <w:trHeight w:val="20"/>
        </w:trPr>
        <w:tc>
          <w:tcPr>
            <w:tcW w:w="4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202,962</w:t>
            </w:r>
          </w:p>
        </w:tc>
        <w:tc>
          <w:tcPr>
            <w:tcW w:w="100" w:type="dxa"/>
            <w:vAlign w:val="bottom"/>
          </w:tcPr>
          <w:p>
            <w:pPr>
              <w:spacing w:after="0"/>
              <w:rPr>
                <w:sz w:val="18"/>
                <w:szCs w:val="18"/>
                <w:color w:val="auto"/>
              </w:rPr>
            </w:pPr>
          </w:p>
        </w:tc>
      </w:tr>
      <w:tr>
        <w:trPr>
          <w:trHeight w:val="209"/>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3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377,342</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142,948</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47,765</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Yankee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573,580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(3,967)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570,351</w:t>
            </w:r>
          </w:p>
        </w:tc>
        <w:tc>
          <w:tcPr>
            <w:tcW w:w="100" w:type="dxa"/>
            <w:vAlign w:val="bottom"/>
            <w:shd w:val="clear" w:color="auto" w:fill="CFF0FC"/>
          </w:tcPr>
          <w:p>
            <w:pPr>
              <w:spacing w:after="0"/>
              <w:rPr>
                <w:sz w:val="18"/>
                <w:szCs w:val="18"/>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773,313</w:t>
            </w:r>
          </w:p>
        </w:tc>
        <w:tc>
          <w:tcPr>
            <w:tcW w:w="10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801,337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(4,074)</w:t>
            </w: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798,240</w:t>
            </w:r>
          </w:p>
        </w:tc>
        <w:tc>
          <w:tcPr>
            <w:tcW w:w="100" w:type="dxa"/>
            <w:vAlign w:val="bottom"/>
            <w:shd w:val="clear" w:color="auto" w:fill="CFF0FC"/>
          </w:tcPr>
          <w:p>
            <w:pPr>
              <w:spacing w:after="0"/>
              <w:rPr>
                <w:sz w:val="19"/>
                <w:szCs w:val="19"/>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-2828290</wp:posOffset>
            </wp:positionV>
            <wp:extent cx="774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-2828290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-2828290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-1439545</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-1439545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-1439545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-316865</wp:posOffset>
            </wp:positionV>
            <wp:extent cx="774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-316865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-316865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Gross unrealized losses on the Company’s equity and debt securities were $0.4 million and $4.1 million as of September 30, 2025, and December 31, 2024, respectively.</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There was no sale of available-for-sale securities for each of the three and nine months ended September 30, 2025. Proceeds from sale of available-for-sale securities were $25.9 million and $101.5 million for the three and nine months ended September 30, 2024, respectively. Gross realized losses on the Company’s available-for-sale securities were $0.1 million and $1.0 million for the three and nine months ended September 30, 2024, respectively, and the gross realized income was insignificant for each of the three and nine months ended September 30, 2024. The cost of any marketable securities sold is based on the specific-identification method.</w:t>
      </w:r>
    </w:p>
    <w:p>
      <w:pPr>
        <w:spacing w:after="0" w:line="183"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credit losses for its marketable available-for-sale debt securities during the three and nine months ended September 30, 2025, and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97" w:lineRule="exact"/>
        <w:rPr>
          <w:sz w:val="20"/>
          <w:szCs w:val="20"/>
          <w:color w:val="auto"/>
        </w:rPr>
      </w:pPr>
    </w:p>
    <w:p>
      <w:pPr>
        <w:ind w:left="1600" w:right="420" w:hanging="1025"/>
        <w:spacing w:after="0" w:line="282" w:lineRule="auto"/>
        <w:tabs>
          <w:tab w:leader="none" w:pos="158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are quoted prices (unadjusted) in active markets for identical assets or liabilities that the reporting entity can access at the measurement date.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5" w:name="page16"/>
    <w:bookmarkEnd w:id="15"/>
    <w:p>
      <w:pPr>
        <w:ind w:left="580"/>
        <w:spacing w:after="0"/>
        <w:tabs>
          <w:tab w:leader="none" w:pos="158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other than quoted prices included within Level 1 that are observable for the asset or liability, either directly or indirectly.</w:t>
      </w:r>
    </w:p>
    <w:p>
      <w:pPr>
        <w:spacing w:after="0" w:line="360" w:lineRule="exact"/>
        <w:rPr>
          <w:sz w:val="20"/>
          <w:szCs w:val="20"/>
          <w:color w:val="auto"/>
        </w:rPr>
      </w:pPr>
    </w:p>
    <w:p>
      <w:pPr>
        <w:ind w:left="580"/>
        <w:spacing w:after="0"/>
        <w:tabs>
          <w:tab w:leader="none" w:pos="158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are unobservable for the asset or liability.</w:t>
      </w:r>
    </w:p>
    <w:p>
      <w:pPr>
        <w:spacing w:after="0" w:line="30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based on the above three-tier fair value hierarchy: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6"/>
        </w:trPr>
        <w:tc>
          <w:tcPr>
            <w:tcW w:w="5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r>
      <w:tr>
        <w:trPr>
          <w:trHeight w:val="209"/>
        </w:trPr>
        <w:tc>
          <w:tcPr>
            <w:tcW w:w="5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429,055</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429,055</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184,173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184,173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accounts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54,282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54,282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Yankee debt securities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774,433</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89,492</w:t>
            </w:r>
          </w:p>
        </w:tc>
        <w:tc>
          <w:tcPr>
            <w:tcW w:w="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669,940</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shd w:val="clear" w:color="auto" w:fill="CFF0FC"/>
          </w:tcPr>
          <w:p>
            <w:pPr>
              <w:spacing w:after="0"/>
              <w:rPr>
                <w:sz w:val="19"/>
                <w:szCs w:val="19"/>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62"/>
        </w:trPr>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
        </w:trPr>
        <w:tc>
          <w:tcPr>
            <w:tcW w:w="5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6"/>
        </w:trPr>
        <w:tc>
          <w:tcPr>
            <w:tcW w:w="5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r>
      <w:tr>
        <w:trPr>
          <w:trHeight w:val="209"/>
        </w:trPr>
        <w:tc>
          <w:tcPr>
            <w:tcW w:w="5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452,507</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452,507</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208,487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208,487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44,383</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accounts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Yankee debt securities</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822,937</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64,103</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733,907</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-1979295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-1962785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-1979295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-1962785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-1979295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-1962785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-1962785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-170815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Company’s Level 1 assets include U.S. treasury bills and money market instruments and are valued based upon observable market prices. Level 2 assets consist of U.S. government and U.S. agency debt securities, municipal bonds, corporate debt securities and Yankee debt securities. Level 2 securities are valued based upon observable inputs that include reported trades, broker/dealer quotes, bids and offers.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the Company held preferred stock of two privately-held companies, which were included in other long-term assets in the accompanying Condensed Consolidated Balance Sheets, that were measured using unobservable (Level 3) inputs. For the value of the investment in private equity securities, the Company elected to measure them at cost minus impairment, as the preferred stock of the privately-held companies did not have a readily determinable fair value.</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performed a qualitative assessment to determine if any of its equity investments measured at cost minus impairment were impaired. Indicators considered included significant declines in the investee’s operating performance, adverse changes in industry conditions, and deterioration in the investee’s financial condition. As part of this review, the Company identified that Helio Genomics, Inc., or Helio Genomics, an investee in which the Company holds a non-marketable equity investment, exhibited several adverse conditions, including a deterioration in financial condition and the inability to secure sufficient financing to support future operations. Given these developments and their impact on Helio Genomics’ ability to continue funding its operations, management concluded that the Company’s investment in Helio Genomics was impaired. To estimate the fair value of the investment, the Company employed a discounted cash flow analysis, using assumptions including projected revenues and expenses, discount rates, and a terminal value multiple. The resulting estimated fair value was deemed insignificant.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carrying amount of the investment was $9.9 million. Accordingly, the Company recognized an impairment loss of $9.9 million. The impairment is reflected in “Other Expenses” within the Condensed Consolidated Statement of Operations for the nine months ended September 30, 2025. The carrying amount of the investment in Helio Genomics on the Condensed Consolidated Balance Sheet was reduced to its fair value of an insignificant amount, which now represents its new cost basis. In accordance with Accounting Standards Codification, or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no subsequent increases in the fair value will be recognized in net income for this investment.</w:t>
      </w:r>
    </w:p>
    <w:p>
      <w:pPr>
        <w:spacing w:after="0" w:line="183"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continues to monitor its investments for changes in facts and circumstances that may indicate further impairments or observable price changes in orderly transactions.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no impairment loss recorded as of September 30, 2025 for the other preferred stock investment.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and nine months ended September 30, 2025, and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Fixed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Major classes of fixed assets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09"/>
        </w:trPr>
        <w:tc>
          <w:tcPr>
            <w:tcW w:w="3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6"/>
          </w:tcPr>
          <w:p>
            <w:pPr>
              <w:jc w:val="right"/>
              <w:ind w:right="14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Medical lab equipment</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8"/>
              </w:rPr>
              <w:t>5 months to 13 Years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56,704</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57,541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6 months to 39 Years</w:t>
            </w: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27,924</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8"/>
              </w:rPr>
              <w:t>25 to 39 Years</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21,689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21,689</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1 to 5 Years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7,328</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9"/>
              </w:rPr>
              <w:t>1 to 10 Years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7,214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Aircraft</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7 Years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6,400</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9"/>
              </w:rPr>
              <w:t>Shorter of lease term or estimated useful life</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3,323</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9"/>
              </w:rPr>
              <w:t>1 to 11 Years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4,109</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9"/>
              </w:rPr>
              <w:t>5 to 15 Years</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938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904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Automobile</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3 to 8 Years</w:t>
            </w: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581</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equipment</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rPr>
              <w:t>5 Years</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17,347</w:t>
            </w:r>
          </w:p>
        </w:tc>
      </w:tr>
      <w:tr>
        <w:trPr>
          <w:trHeight w:val="216"/>
        </w:trPr>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not yet placed in service</w:t>
            </w:r>
          </w:p>
        </w:tc>
        <w:tc>
          <w:tcPr>
            <w:tcW w:w="44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9,267</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157,260</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(54,199)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(51,711)</w:t>
            </w:r>
          </w:p>
        </w:tc>
      </w:tr>
      <w:tr>
        <w:trPr>
          <w:trHeight w:val="20"/>
        </w:trPr>
        <w:tc>
          <w:tcPr>
            <w:tcW w:w="3280" w:type="dxa"/>
            <w:vAlign w:val="bottom"/>
            <w:shd w:val="clear" w:color="auto" w:fill="CFF0FC"/>
          </w:tcPr>
          <w:p>
            <w:pPr>
              <w:spacing w:after="0" w:line="20" w:lineRule="exact"/>
              <w:rPr>
                <w:sz w:val="1"/>
                <w:szCs w:val="1"/>
                <w:color w:val="auto"/>
              </w:rPr>
            </w:pPr>
          </w:p>
        </w:tc>
        <w:tc>
          <w:tcPr>
            <w:tcW w:w="44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4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111,865</w:t>
            </w:r>
          </w:p>
        </w:tc>
        <w:tc>
          <w:tcPr>
            <w:tcW w:w="12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105,549</w:t>
            </w:r>
          </w:p>
        </w:tc>
      </w:tr>
      <w:tr>
        <w:trPr>
          <w:trHeight w:val="20"/>
        </w:trPr>
        <w:tc>
          <w:tcPr>
            <w:tcW w:w="3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-454025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-454025</wp:posOffset>
            </wp:positionV>
            <wp:extent cx="774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expenses on fixed assets totaled $3.9 million and $11.7 million for the three and nine months ended September 30, 2025, respectively, and $3.8 million and $12.4 million for the three and nine months ended September 30, 2024,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Other Significant Balance Sheet Accounts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current assets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80" w:type="dxa"/>
            <w:vAlign w:val="bottom"/>
            <w:gridSpan w:val="6"/>
          </w:tcPr>
          <w:p>
            <w:pPr>
              <w:ind w:left="1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income taxes</w:t>
            </w:r>
          </w:p>
        </w:tc>
        <w:tc>
          <w:tcPr>
            <w:tcW w:w="3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36,478</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3,422</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Reagents and supplies</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10,064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8,384</w:t>
            </w: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interest receivable</w:t>
            </w:r>
          </w:p>
        </w:tc>
        <w:tc>
          <w:tcPr>
            <w:tcW w:w="3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6,126</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6,241</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6,629</w:t>
            </w: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w:t>
            </w:r>
          </w:p>
        </w:tc>
        <w:tc>
          <w:tcPr>
            <w:tcW w:w="3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1,402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3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60,384</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26,444</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160" w:type="dxa"/>
            <w:vAlign w:val="bottom"/>
            <w:vMerge w:val="restart"/>
          </w:tcPr>
          <w:p>
            <w:pPr>
              <w:jc w:val="right"/>
              <w:ind w:right="157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2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2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-1079500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80" w:type="dxa"/>
            <w:vAlign w:val="bottom"/>
            <w:gridSpan w:val="6"/>
          </w:tcPr>
          <w:p>
            <w:pPr>
              <w:ind w:left="12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liabilities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Vacation accrual</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 and commission</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short term</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18"/>
                <w:szCs w:val="18"/>
                <w:color w:val="auto"/>
              </w:rPr>
            </w:pPr>
          </w:p>
        </w:tc>
      </w:tr>
      <w:tr>
        <w:trPr>
          <w:trHeight w:val="216"/>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23,010</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24,279</w:t>
            </w:r>
          </w:p>
        </w:tc>
        <w:tc>
          <w:tcPr>
            <w:tcW w:w="100" w:type="dxa"/>
            <w:vAlign w:val="bottom"/>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Other accrued liabilities as of September 30, 2025, included $1.6 million for income tax payable, related to the acquisition of ANP, as further described in Note 15.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Other accrued liabilities also included legal accruals, short-term finance lease liabilities, health insurance liabilities, and third-party billing services.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80" w:type="dxa"/>
            <w:vAlign w:val="bottom"/>
            <w:gridSpan w:val="6"/>
          </w:tcPr>
          <w:p>
            <w:pPr>
              <w:ind w:left="12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4,120</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long term</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2,493</w:t>
            </w:r>
          </w:p>
        </w:tc>
      </w:tr>
      <w:tr>
        <w:trPr>
          <w:trHeight w:val="216"/>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6,973</w:t>
            </w:r>
          </w:p>
        </w:tc>
      </w:tr>
      <w:tr>
        <w:trPr>
          <w:trHeight w:val="20"/>
        </w:trPr>
        <w:tc>
          <w:tcPr>
            <w:tcW w:w="7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-170815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Reportable Segment and Geographic Information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has two distinct reportable segments. The laboratory services segment offers a technical laboratory, testing services, and professional interpretation of laboratory results by licensed physicians who specialize in pathology and oncology. The therapeutic development segment is a pharmaceutical research and development entity.</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Company’s Chief Executive Officer also serves as its CODM. The CODM oversees the Company’s operations and evaluates financial data for its two operating segments separately to make resource allocation decisions. The financial information regularly provided to the CODM includes various performance metrics by reportable segment, such as gross profit, operating income or loss, income or loss before income taxes, net income or loss from consolidated operations, and net income or loss attributable to Fulgent, all presented in accordance with U.S. GAAP. Additionally, the CODM receives these metrics including gross profit, operating income or loss, income or loss before income taxes, net income or loss from consolidated operations, and net income or loss attributable to Fulgent on a non-GAAP basis, which excludes the impact of equity-based compensation expenses, acquisition-related costs, amortization of intangible assets, and impairment losses. Although multiple financial metrics are provided, the CODM primarily relies on adjusted operating income or loss, on a non-GAAP basis, to evaluate segment performance and allocate resources as this measure enhances the CODM’s ability to compare past financial performance with current performance and analyze underlying business performance and trends. The balance sheet is presented on a consolidated basis, as the CODM does not use asset or liability information, including fixed assets, to assess segment performance. As a result, segment asset and liability details are not disclosed. The non-GAAP financial measures disclosed below should not be considered a substitute for, or superior to, financial measures determined or calculated in accordance with GAAP.</w:t>
      </w:r>
    </w:p>
    <w:p>
      <w:pPr>
        <w:spacing w:after="0" w:line="19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newly acquired entity, ANP, is considered part of the therapeutic development segment as this acquisition was strategically undertaken to gain full control over the patents and technologies utilized in the development of drug candidates within the therapeutic development segment. Consequently, ANP’s operations are integrated into the therapeutic development segment, with shared resources and collaborative efforts, and the CODM evaluates ANP’s operations as part of the therapeutic development segment’s consolidated financial information. Therefore, ANP’s financial results are grouped within the therapeutic development segment’s reporting. ANP generates revenue from technologies licensed to pharmaceutical and biotech companies, as well as contract research organizations, or CROs.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There is no inter-segment allocation of interest expense and income taxes. There is no inter-segment revenue and operating income or loss. The Company did not allocate income tax by segment. Information regarding the Company’s operations and assets for its reportable segments as well as geographic information are as follows, all dollars are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Therapeutic</w:t>
            </w:r>
          </w:p>
        </w:tc>
        <w:tc>
          <w:tcPr>
            <w:tcW w:w="320" w:type="dxa"/>
            <w:vAlign w:val="bottom"/>
          </w:tcPr>
          <w:p>
            <w:pPr>
              <w:spacing w:after="0"/>
              <w:rPr>
                <w:sz w:val="13"/>
                <w:szCs w:val="13"/>
                <w:color w:val="auto"/>
              </w:rPr>
            </w:pPr>
          </w:p>
        </w:tc>
        <w:tc>
          <w:tcPr>
            <w:tcW w:w="12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3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5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tcPr>
          <w:p>
            <w:pPr>
              <w:jc w:val="right"/>
              <w:ind w:right="34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83,931</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w:t>
            </w: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cost of revenue</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research and development</w:t>
            </w: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selling and marketing</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general and administrative</w:t>
            </w:r>
          </w:p>
        </w:tc>
        <w:tc>
          <w:tcPr>
            <w:tcW w:w="5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18,530</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operating loss</w:t>
            </w:r>
          </w:p>
        </w:tc>
        <w:tc>
          <w:tcPr>
            <w:tcW w:w="500" w:type="dxa"/>
            <w:vAlign w:val="bottom"/>
          </w:tcPr>
          <w:p>
            <w:pPr>
              <w:jc w:val="right"/>
              <w:ind w:right="34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-170815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cost of revenue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research and development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selling and marketing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Adjusted general and administrative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adjusted operating loss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1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Therapeutic</w:t>
            </w:r>
          </w:p>
        </w:tc>
        <w:tc>
          <w:tcPr>
            <w:tcW w:w="320" w:type="dxa"/>
            <w:vAlign w:val="bottom"/>
          </w:tcPr>
          <w:p>
            <w:pPr>
              <w:spacing w:after="0"/>
              <w:rPr>
                <w:sz w:val="13"/>
                <w:szCs w:val="13"/>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440" w:type="dxa"/>
            <w:vAlign w:val="bottom"/>
            <w:gridSpan w:val="2"/>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239,197</w:t>
            </w:r>
          </w:p>
        </w:tc>
        <w:tc>
          <w:tcPr>
            <w:tcW w:w="180" w:type="dxa"/>
            <w:vAlign w:val="bottom"/>
          </w:tcPr>
          <w:p>
            <w:pPr>
              <w:spacing w:after="0"/>
              <w:rPr>
                <w:sz w:val="24"/>
                <w:szCs w:val="24"/>
                <w:color w:val="auto"/>
              </w:rPr>
            </w:pP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135,828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60,828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3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-1130935</wp:posOffset>
            </wp:positionV>
            <wp:extent cx="71323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-856615</wp:posOffset>
            </wp:positionV>
            <wp:extent cx="713232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-582295</wp:posOffset>
            </wp:positionV>
            <wp:extent cx="713232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-307975</wp:posOffset>
            </wp:positionV>
            <wp:extent cx="7132320" cy="145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5460" w:space="720"/>
            <w:col w:w="5060"/>
          </w:cols>
          <w:pgMar w:left="320" w:top="1201" w:right="339" w:bottom="1440" w:gutter="0" w:footer="0" w:header="0"/>
          <w:type w:val="continuous"/>
        </w:sect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cost of revenue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research and development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selling and marketing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Adjusted general and administrative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adjusted operating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1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Therapeutic</w:t>
            </w:r>
          </w:p>
        </w:tc>
        <w:tc>
          <w:tcPr>
            <w:tcW w:w="320" w:type="dxa"/>
            <w:vAlign w:val="bottom"/>
          </w:tcPr>
          <w:p>
            <w:pPr>
              <w:spacing w:after="0"/>
              <w:rPr>
                <w:sz w:val="13"/>
                <w:szCs w:val="13"/>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500" w:type="dxa"/>
            <w:vAlign w:val="bottom"/>
            <w:gridSpan w:val="2"/>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71,743</w:t>
            </w:r>
          </w:p>
        </w:tc>
        <w:tc>
          <w:tcPr>
            <w:tcW w:w="180" w:type="dxa"/>
            <w:vAlign w:val="bottom"/>
          </w:tcPr>
          <w:p>
            <w:pPr>
              <w:spacing w:after="0"/>
              <w:rPr>
                <w:sz w:val="24"/>
                <w:szCs w:val="24"/>
                <w:color w:val="auto"/>
              </w:rPr>
            </w:pP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3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-1130935</wp:posOffset>
            </wp:positionV>
            <wp:extent cx="713232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-856615</wp:posOffset>
            </wp:positionV>
            <wp:extent cx="713232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-582295</wp:posOffset>
            </wp:positionV>
            <wp:extent cx="713232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-307975</wp:posOffset>
            </wp:positionV>
            <wp:extent cx="7132320" cy="146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5460" w:space="720"/>
            <w:col w:w="5060"/>
          </w:cols>
          <w:pgMar w:left="320" w:top="1201" w:right="339" w:bottom="1440" w:gutter="0" w:footer="0" w:header="0"/>
          <w:type w:val="continuous"/>
        </w:sect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cost of revenue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research and development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selling and marketing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Adjusted general and administrative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adjusted operating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1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Therapeutic</w:t>
            </w:r>
          </w:p>
        </w:tc>
        <w:tc>
          <w:tcPr>
            <w:tcW w:w="320" w:type="dxa"/>
            <w:vAlign w:val="bottom"/>
          </w:tcPr>
          <w:p>
            <w:pPr>
              <w:spacing w:after="0"/>
              <w:rPr>
                <w:sz w:val="13"/>
                <w:szCs w:val="13"/>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440" w:type="dxa"/>
            <w:vAlign w:val="bottom"/>
            <w:gridSpan w:val="2"/>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207,256</w:t>
            </w:r>
          </w:p>
        </w:tc>
        <w:tc>
          <w:tcPr>
            <w:tcW w:w="180" w:type="dxa"/>
            <w:vAlign w:val="bottom"/>
          </w:tcPr>
          <w:p>
            <w:pPr>
              <w:spacing w:after="0"/>
              <w:rPr>
                <w:sz w:val="24"/>
                <w:szCs w:val="24"/>
                <w:color w:val="auto"/>
              </w:rPr>
            </w:pP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125,942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(12,119)</w:t>
            </w:r>
          </w:p>
        </w:tc>
        <w:tc>
          <w:tcPr>
            <w:tcW w:w="3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-1130935</wp:posOffset>
            </wp:positionV>
            <wp:extent cx="713232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-856615</wp:posOffset>
            </wp:positionV>
            <wp:extent cx="713232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-582295</wp:posOffset>
            </wp:positionV>
            <wp:extent cx="713232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-307975</wp:posOffset>
            </wp:positionV>
            <wp:extent cx="7132320" cy="1454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720"/>
            <w:col w:w="5060"/>
          </w:cols>
          <w:pgMar w:left="320" w:top="1201"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r>
      <w:tr>
        <w:trPr>
          <w:trHeight w:val="196"/>
        </w:trPr>
        <w:tc>
          <w:tcPr>
            <w:tcW w:w="49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Reconciliation of “adjusted operating loss” to “loss before income taxes”</w:t>
            </w:r>
          </w:p>
        </w:tc>
        <w:tc>
          <w:tcPr>
            <w:tcW w:w="44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loss</w:t>
            </w:r>
          </w:p>
        </w:tc>
        <w:tc>
          <w:tcPr>
            <w:tcW w:w="1200" w:type="dxa"/>
            <w:vAlign w:val="bottom"/>
            <w:gridSpan w:val="2"/>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5"/>
              </w:rPr>
              <w:t>(3,518)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(18,160)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(17,737)</w:t>
            </w: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(add):</w:t>
            </w: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34,073</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Acquisition-related costs</w:t>
            </w: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5"/>
              </w:rPr>
              <w:t>(7,874)</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(8,090)</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(23,983)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(23,181)</w:t>
            </w: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Impairment loss</w:t>
            </w: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(554)</w:t>
            </w:r>
          </w:p>
        </w:tc>
      </w:tr>
      <w:tr>
        <w:trPr>
          <w:trHeight w:val="20"/>
        </w:trPr>
        <w:tc>
          <w:tcPr>
            <w:tcW w:w="4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5"/>
              </w:rPr>
              <w:t>(7,509)</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(18,532)</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(40,751)</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(43,911)</w:t>
            </w: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-25400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774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items by segment excluded from the adjusted operating (loss) income: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Equity-based compensation</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24,282</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1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9,717</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10,920</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30,306</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 by segment:</w:t>
            </w: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Precision diagnostics</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50,734</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43,582</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142,123</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Anatomic pathology</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25,983</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BioPharma services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COVID-19</w:t>
            </w:r>
          </w:p>
        </w:tc>
        <w:tc>
          <w:tcPr>
            <w:tcW w:w="1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laboratory services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83,931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239,197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revenue</w:t>
            </w:r>
          </w:p>
        </w:tc>
        <w:tc>
          <w:tcPr>
            <w:tcW w:w="1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therapeutic development</w:t>
            </w:r>
          </w:p>
        </w:tc>
        <w:tc>
          <w:tcPr>
            <w:tcW w:w="1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84,069</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71,743</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239,335</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and amortization by segment:</w:t>
            </w: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17,572</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1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4220" w:type="dxa"/>
            <w:vAlign w:val="bottom"/>
            <w:tcBorders>
              <w:top w:val="single" w:sz="8" w:color="CFF0FC"/>
            </w:tcBorders>
          </w:tcPr>
          <w:p>
            <w:pPr>
              <w:spacing w:after="0"/>
              <w:rPr>
                <w:sz w:val="24"/>
                <w:szCs w:val="24"/>
                <w:color w:val="auto"/>
              </w:rPr>
            </w:pPr>
          </w:p>
        </w:tc>
        <w:tc>
          <w:tcPr>
            <w:tcW w:w="1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-4319905</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-4319905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-4319905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-4319905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-2776855</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-2776855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-2776855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-2211070</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-2211070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-2211070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-933450</wp:posOffset>
            </wp:positionV>
            <wp:extent cx="774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-916305</wp:posOffset>
            </wp:positionV>
            <wp:extent cx="774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-933450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-916305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-933450</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-916305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Interest income and expense by segment: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2680" w:type="dxa"/>
            <w:vAlign w:val="bottom"/>
            <w:tcBorders>
              <w:bottom w:val="single" w:sz="8" w:color="auto"/>
            </w:tcBorders>
            <w:gridSpan w:val="8"/>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4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3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80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23,983</w:t>
            </w:r>
          </w:p>
        </w:tc>
        <w:tc>
          <w:tcPr>
            <w:tcW w:w="1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520" w:type="dxa"/>
            <w:vAlign w:val="bottom"/>
            <w:shd w:val="clear" w:color="auto" w:fill="CFF0FC"/>
          </w:tcPr>
          <w:p>
            <w:pPr>
              <w:spacing w:after="0"/>
              <w:rPr>
                <w:sz w:val="18"/>
                <w:szCs w:val="18"/>
                <w:color w:val="auto"/>
              </w:rPr>
            </w:pPr>
          </w:p>
        </w:tc>
        <w:tc>
          <w:tcPr>
            <w:tcW w:w="84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80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23,924</w:t>
            </w:r>
          </w:p>
        </w:tc>
        <w:tc>
          <w:tcPr>
            <w:tcW w:w="16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 by segment:</w:t>
            </w:r>
          </w:p>
        </w:tc>
        <w:tc>
          <w:tcPr>
            <w:tcW w:w="4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tcBorders>
              <w:bottom w:val="single" w:sz="8" w:color="auto"/>
            </w:tcBorders>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1,083,426</w:t>
            </w:r>
          </w:p>
        </w:tc>
        <w:tc>
          <w:tcPr>
            <w:tcW w:w="680" w:type="dxa"/>
            <w:vAlign w:val="bottom"/>
            <w:gridSpan w:val="3"/>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1,131,117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131,137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1,214,563</w:t>
            </w:r>
          </w:p>
        </w:tc>
        <w:tc>
          <w:tcPr>
            <w:tcW w:w="680" w:type="dxa"/>
            <w:vAlign w:val="bottom"/>
            <w:gridSpan w:val="3"/>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1,219,964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Geographic distribution of revenue:</w:t>
            </w:r>
          </w:p>
        </w:tc>
        <w:tc>
          <w:tcPr>
            <w:tcW w:w="42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2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24"/>
                <w:szCs w:val="24"/>
                <w:color w:val="auto"/>
              </w:rPr>
            </w:pPr>
          </w:p>
        </w:tc>
        <w:tc>
          <w:tcPr>
            <w:tcW w:w="2780" w:type="dxa"/>
            <w:vAlign w:val="bottom"/>
            <w:gridSpan w:val="9"/>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77,608</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65,703</w:t>
            </w:r>
          </w:p>
        </w:tc>
        <w:tc>
          <w:tcPr>
            <w:tcW w:w="80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221,641</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countries</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foreign</w:t>
            </w:r>
          </w:p>
        </w:tc>
        <w:tc>
          <w:tcPr>
            <w:tcW w:w="4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84,069</w:t>
            </w:r>
          </w:p>
        </w:tc>
        <w:tc>
          <w:tcPr>
            <w:tcW w:w="3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71,743</w:t>
            </w:r>
          </w:p>
        </w:tc>
        <w:tc>
          <w:tcPr>
            <w:tcW w:w="80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239,335</w:t>
            </w:r>
          </w:p>
        </w:tc>
        <w:tc>
          <w:tcPr>
            <w:tcW w:w="1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Geographic distribution of property, plant and equipment, net:</w:t>
            </w: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tcBorders>
              <w:bottom w:val="single" w:sz="8" w:color="auto"/>
            </w:tcBorders>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105,462</w:t>
            </w:r>
          </w:p>
        </w:tc>
        <w:tc>
          <w:tcPr>
            <w:tcW w:w="680" w:type="dxa"/>
            <w:vAlign w:val="bottom"/>
            <w:gridSpan w:val="3"/>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countries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foreign</w:t>
            </w:r>
          </w:p>
        </w:tc>
        <w:tc>
          <w:tcPr>
            <w:tcW w:w="4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111,865</w:t>
            </w:r>
          </w:p>
        </w:tc>
        <w:tc>
          <w:tcPr>
            <w:tcW w:w="680" w:type="dxa"/>
            <w:vAlign w:val="bottom"/>
            <w:gridSpan w:val="3"/>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-3882390</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-3865245</wp:posOffset>
            </wp:positionV>
            <wp:extent cx="77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-3882390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-3865245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-3882390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-3865245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-3882390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-3865245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-2922270</wp:posOffset>
            </wp:positionV>
            <wp:extent cx="774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-2905760</wp:posOffset>
            </wp:positionV>
            <wp:extent cx="7747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-2905760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-1550670</wp:posOffset>
            </wp:positionV>
            <wp:extent cx="77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-1550670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-1550670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-170815</wp:posOffset>
            </wp:positionV>
            <wp:extent cx="774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Notes payable as of September 30, 2025, consisted of $2.4 million of notes payable related to an installment sale contract the Company entered in February 2022 for a building. The notes payable related to the installment sale are due in February 2030, and carry an interest rate of 1.08%. The current portion and noncurrent portion are $0.5 million and $2.0 million, respectively, and the noncurrent portion is included in other long-term liabilities in the accompanying Condensed Consolidated Balance Sheets. The interest expense for the three and nine months ended September 30, 2025, and 2024, was not significant.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Finance 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information.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arising in the ordinary course of business.</w:t>
      </w:r>
    </w:p>
    <w:p>
      <w:pPr>
        <w:spacing w:after="0" w:line="22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previously disclosed in the Company’s periodic reports filed pursuant to the Securities Exchange Act of 1934, as amended, or the Exchange Act, the Company has received a Civil Investigative Demand, or CID, issued by the U.S. Department of Justice, or the DOJ, pursuant to the False Claims Act related to its investigation of allegations of medically unnecessary laboratory testing, improper billing for laboratory testing, and remuneration received or provided in violation of the Anti-Kickback Statute and the Stark Law. Among other things, this CID requests information and records relating to certain of the Company’s customers named in this CID.</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Similar to other laboratories in the industry, the Company has been subject to an audit by the U.S. Health Resources and Services Administration, or HRSA, with respect to its reimbursement for COVID-19 tests furnished to patients believed to be uninsured. The Company recorded approximately $548.9 million of reimbursements from HRSA under the Uninsured Program during the years ended December 31, 2022, 2021, and 2020. There is uncertainty with respect to the methodology HRSA will use in its audit and whether and how HRSA will extrapolate audit results. The Company has provided HRSA’s auditors with requested information in connection with its audit in an effort to resolve any issues related to its audit, including any reimbursed amounts that may need to be returned to HRSA. The Company has also received a CID issued by the DOJ pursuant to the False Claims Act related to the DOJ’s investigation as to whether the Company submitted or caused to be submitted false claims to the Uninsured Program.</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is fully cooperating with the DOJ in connection with the CIDs that it has received. The Company cannot currently predict when these CIDs and HRSA audit matters will be resolved, the reasonable or likely outcome of these matters, or their potential impact, which may materially and adversely affect the Company’s business, prospects, and financial condition. These matters are not formal claims, and discussions and investigations remain ongoing. As such, the Company cannot reasonably estimate the loss or range of loss, if any, that may result from any material government investigations,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CIDs or audit matters.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party as a lessee to various non-cancelable operating leases with varying terms through March 2034 primarily for laboratory and office space and equipment. The Company has options to renew some of these leases after their expirations. On a lease-by-lease basis, the Company considers such options, which may be elected at the Company’s sole discretion, in determining the lease term. The Company also has a finance lease for lab equipment with a term through December 2026, some of which were acquired in business combinations. The Company does not have any leases with variable lease payments. The Company’s operating lease agreements do not contain any residual value guarantees, material restrictive covenants, bargain purchase options, or asset retirement obligations.</w:t>
      </w:r>
    </w:p>
    <w:p>
      <w:pPr>
        <w:spacing w:after="0" w:line="18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Company’s headquarters are located in El Monte, California, which is comprised of various corporate offices and a laboratory certified under the Clinical Laboratory Improvement Amendments of 1988, or CLIA, accredited by the College of American Pathologists, or CAP, and licensed by the State of California Department of Public Health. Other CLIA-certified laboratories are located in Coppell, Texas; Needham, Massachusetts; Phoenix, Arizona; and Alpharetta, Georgia. The Company has also obtained National Association of Testing Authorities, or NATA, accreditation in Dulwich, Australia.</w:t>
      </w:r>
    </w:p>
    <w:p>
      <w:pPr>
        <w:spacing w:after="0" w:line="183"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operating and finance lease right-of-use asset, or ROU asset, short-term lease liabilities, and long-term lease liabilities as of September 30, 2025, and December 31, 2024,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4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ROU asset, net</w:t>
            </w:r>
          </w:p>
        </w:tc>
        <w:tc>
          <w:tcPr>
            <w:tcW w:w="2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4,950</w:t>
            </w:r>
          </w:p>
        </w:tc>
        <w:tc>
          <w:tcPr>
            <w:tcW w:w="5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5,395</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short term</w:t>
            </w:r>
          </w:p>
        </w:tc>
        <w:tc>
          <w:tcPr>
            <w:tcW w:w="2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1,487</w:t>
            </w:r>
          </w:p>
        </w:tc>
        <w:tc>
          <w:tcPr>
            <w:tcW w:w="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1,443</w:t>
            </w: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2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3,622</w:t>
            </w:r>
          </w:p>
        </w:tc>
        <w:tc>
          <w:tcPr>
            <w:tcW w:w="5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4,120</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ROU asset, net</w:t>
            </w:r>
          </w:p>
        </w:tc>
        <w:tc>
          <w:tcPr>
            <w:tcW w:w="2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423</w:t>
            </w:r>
          </w:p>
        </w:tc>
        <w:tc>
          <w:tcPr>
            <w:tcW w:w="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w:t>
            </w: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 short term</w:t>
            </w:r>
          </w:p>
        </w:tc>
        <w:tc>
          <w:tcPr>
            <w:tcW w:w="2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357</w:t>
            </w:r>
          </w:p>
        </w:tc>
        <w:tc>
          <w:tcPr>
            <w:tcW w:w="5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long term</w:t>
            </w:r>
          </w:p>
        </w:tc>
        <w:tc>
          <w:tcPr>
            <w:tcW w:w="2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r>
      <w:tr>
        <w:trPr>
          <w:trHeight w:val="630"/>
        </w:trPr>
        <w:tc>
          <w:tcPr>
            <w:tcW w:w="4100" w:type="dxa"/>
            <w:vAlign w:val="bottom"/>
          </w:tcPr>
          <w:p>
            <w:pPr>
              <w:spacing w:after="0"/>
              <w:rPr>
                <w:sz w:val="24"/>
                <w:szCs w:val="24"/>
                <w:color w:val="auto"/>
              </w:rPr>
            </w:pPr>
          </w:p>
        </w:tc>
        <w:tc>
          <w:tcPr>
            <w:tcW w:w="27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color w:val="auto"/>
        </w:rPr>
        <w:t>The following was operating and finance lease expense: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80" w:type="dxa"/>
            <w:vAlign w:val="bottom"/>
            <w:tcBorders>
              <w:bottom w:val="single" w:sz="8" w:color="auto"/>
            </w:tcBorders>
            <w:gridSpan w:val="5"/>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5"/>
                <w:szCs w:val="15"/>
                <w:color w:val="auto"/>
              </w:rPr>
            </w:pPr>
          </w:p>
        </w:tc>
      </w:tr>
      <w:tr>
        <w:trPr>
          <w:trHeight w:val="196"/>
        </w:trPr>
        <w:tc>
          <w:tcPr>
            <w:tcW w:w="4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4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8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3,744</w:t>
            </w:r>
          </w:p>
        </w:tc>
        <w:tc>
          <w:tcPr>
            <w:tcW w:w="12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FF0FC"/>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r>
      <w:tr>
        <w:trPr>
          <w:trHeight w:val="216"/>
        </w:trPr>
        <w:tc>
          <w:tcPr>
            <w:tcW w:w="48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Short-term lease cost</w:t>
            </w:r>
          </w:p>
        </w:tc>
        <w:tc>
          <w:tcPr>
            <w:tcW w:w="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880" w:type="dxa"/>
            <w:vAlign w:val="bottom"/>
            <w:gridSpan w:val="2"/>
          </w:tcPr>
          <w:p>
            <w:pPr>
              <w:jc w:val="right"/>
              <w:ind w:right="728"/>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5,181</w:t>
            </w:r>
          </w:p>
        </w:tc>
        <w:tc>
          <w:tcPr>
            <w:tcW w:w="12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57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Supplemental information related to leases was the following:</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gridSpan w:val="2"/>
          </w:tcPr>
          <w:p>
            <w:pPr>
              <w:spacing w:after="0"/>
              <w:rPr>
                <w:sz w:val="24"/>
                <w:szCs w:val="24"/>
                <w:color w:val="auto"/>
              </w:rPr>
            </w:pP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operating leases</w:t>
            </w: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5.47 years</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operating leases</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5.67%</w:t>
            </w: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finance lease</w:t>
            </w: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 years</w:t>
            </w: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finance lease</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-1279525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-1279525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-1279525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-1279525</wp:posOffset>
            </wp:positionV>
            <wp:extent cx="7747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9"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maturity analysis of operating and finance lease liabilities using undiscounted cash flows on an annual basis with renewal periods included: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100" w:type="dxa"/>
            <w:vAlign w:val="bottom"/>
          </w:tcPr>
          <w:p>
            <w:pPr>
              <w:spacing w:after="0"/>
              <w:rPr>
                <w:sz w:val="15"/>
                <w:szCs w:val="15"/>
                <w:color w:val="auto"/>
              </w:rPr>
            </w:pPr>
          </w:p>
        </w:tc>
      </w:tr>
      <w:tr>
        <w:trPr>
          <w:trHeight w:val="209"/>
        </w:trPr>
        <w:tc>
          <w:tcPr>
            <w:tcW w:w="6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6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5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2025 (remaining 3 months)</w:t>
            </w:r>
          </w:p>
        </w:tc>
        <w:tc>
          <w:tcPr>
            <w:tcW w:w="1560" w:type="dxa"/>
            <w:vAlign w:val="bottom"/>
          </w:tcPr>
          <w:p>
            <w:pPr>
              <w:jc w:val="right"/>
              <w:ind w:right="140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5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1,525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5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5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lease payments</w:t>
            </w:r>
          </w:p>
        </w:tc>
        <w:tc>
          <w:tcPr>
            <w:tcW w:w="15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6,078</w:t>
            </w: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5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50"/>
        </w:trPr>
        <w:tc>
          <w:tcPr>
            <w:tcW w:w="68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top w:val="single" w:sz="8" w:color="auto"/>
              <w:bottom w:val="single" w:sz="8" w:color="auto"/>
            </w:tcBorders>
            <w:shd w:val="clear" w:color="auto" w:fill="CFF0FC"/>
          </w:tcPr>
          <w:p>
            <w:pPr>
              <w:jc w:val="right"/>
              <w:ind w:right="140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5,109</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-24765</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774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Equity-Based Compensation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has included equity-based compensation expense as part of cost of revenue and operating expenses in the accompanying Condensed Consolidated Statements of Operations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r>
      <w:tr>
        <w:trPr>
          <w:trHeight w:val="196"/>
        </w:trPr>
        <w:tc>
          <w:tcPr>
            <w:tcW w:w="3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3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1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30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0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w:t>
            </w:r>
          </w:p>
        </w:tc>
        <w:tc>
          <w:tcPr>
            <w:tcW w:w="100" w:type="dxa"/>
            <w:vAlign w:val="bottom"/>
          </w:tcPr>
          <w:p>
            <w:pPr>
              <w:spacing w:after="0"/>
              <w:rPr>
                <w:sz w:val="18"/>
                <w:szCs w:val="18"/>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3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13,579</w:t>
            </w:r>
          </w:p>
        </w:tc>
        <w:tc>
          <w:tcPr>
            <w:tcW w:w="100" w:type="dxa"/>
            <w:vAlign w:val="bottom"/>
          </w:tcPr>
          <w:p>
            <w:pPr>
              <w:spacing w:after="0"/>
              <w:rPr>
                <w:sz w:val="18"/>
                <w:szCs w:val="18"/>
                <w:color w:val="auto"/>
              </w:rPr>
            </w:pPr>
          </w:p>
        </w:tc>
      </w:tr>
      <w:tr>
        <w:trPr>
          <w:trHeight w:val="24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9,717</w:t>
            </w:r>
          </w:p>
        </w:tc>
        <w:tc>
          <w:tcPr>
            <w:tcW w:w="130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10,920</w:t>
            </w: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30,306</w:t>
            </w: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34,073</w:t>
            </w:r>
          </w:p>
        </w:tc>
        <w:tc>
          <w:tcPr>
            <w:tcW w:w="100" w:type="dxa"/>
            <w:vAlign w:val="bottom"/>
            <w:shd w:val="clear" w:color="auto" w:fill="CFF0FC"/>
          </w:tcPr>
          <w:p>
            <w:pPr>
              <w:spacing w:after="0"/>
              <w:rPr>
                <w:sz w:val="21"/>
                <w:szCs w:val="21"/>
                <w:color w:val="auto"/>
              </w:rPr>
            </w:pPr>
          </w:p>
        </w:tc>
      </w:tr>
      <w:tr>
        <w:trPr>
          <w:trHeight w:val="629"/>
        </w:trPr>
        <w:tc>
          <w:tcPr>
            <w:tcW w:w="3140" w:type="dxa"/>
            <w:vAlign w:val="bottom"/>
            <w:tcBorders>
              <w:top w:val="single" w:sz="8" w:color="CFF0FC"/>
            </w:tcBorders>
          </w:tcPr>
          <w:p>
            <w:pPr>
              <w:spacing w:after="0"/>
              <w:rPr>
                <w:sz w:val="24"/>
                <w:szCs w:val="24"/>
                <w:color w:val="auto"/>
              </w:rPr>
            </w:pPr>
          </w:p>
        </w:tc>
        <w:tc>
          <w:tcPr>
            <w:tcW w:w="118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-933450</wp:posOffset>
            </wp:positionV>
            <wp:extent cx="768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-916305</wp:posOffset>
            </wp:positionV>
            <wp:extent cx="7683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-933450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-916305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-933450</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-916305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recorded consolidated benefit from income taxes of $0.7 million and $2.8 million for the three and nine months ended September 30, 2025, respectively, compared to $3.8 million and $6.3 million for the three and nine months ended September 30, 2024, respectively. The Company’s effective tax rates were 9% and 7% for the three and nine months ended September 30, 2025, respectively, compared to 21% and 14% for the three and nine months ended September 30, 2024, respectively. The change in the effective tax rate compared to prior periods is due to the valuation allowance in the current period that precludes the Company from recognizing the benefit from net operating losses.</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is under examination by certain tax authorities for the 2020 to 2021 and 2023 tax years. While the timing of the conclusion of the examination is uncertain, the Company believes that adequate amounts have been reserved for adjustments that may result. During 2025, the statutes of limitations will lapse on the Company’s 2021 federal tax year and certain 2020 and 2021 state tax years. The Company does not believe the federal or state statute lapses or any other event will significantly impact the balance of unrecognized tax benefits in the next 12 months.</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received $0.1 million and $1.8 million in income tax refunds in the three and nine months ended September 30, 2025, respectively, and $2.9 million and $9.8 million in the three and nine months ended September 30, 2024, respectively. The income tax refunds received were not netted in the income tax paid amounts included in the supplemental disclosure in the accompanying Condensed Consolidated Statements of Cash Flows.</w:t>
      </w:r>
    </w:p>
    <w:p>
      <w:pPr>
        <w:spacing w:after="0" w:line="176"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purchased $33.8 million of Investment Tax Credits, or ITCs, under the transferability provisions of the Inflation Reduction Act of 2022 for $31.7 million in cash. The $2.1 million difference between the purchase price and the face value of the credits has been recorded as an increase to the Company’s income tax benefit for the period. The Company will not utilize any of the acquired credits on its 2024 tax return. Instead, the Company will carry back the credits to its 2021 and 2022 tax years and file a request for a refund. As such, the entire $33.8 million is reflected as an increase in the Company’s prepaid income tax in other current assets in the accompanying Condensed Consolidated Balance Sheets as of September 30, 2025. The payment of this refund may be delayed during the pendency of and as a result of the U.S. “government shutdown” in effect as of the date of these financial statements.</w:t>
      </w:r>
    </w:p>
    <w:p>
      <w:pPr>
        <w:spacing w:after="0" w:line="18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or OBBBA, was signed into law, making permanent certain provisions of the Tax Cuts and Jobs Act, including 100% bonus depreciation and domestic research cost expensing.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has recognized the effects of the new tax law in the period of enactment. The legislation has multiple effective dates, with certain provisions effective in 2025 and others implemented through 2027. The legislation does not have a material impact on our consolidated financial statements for the quarter ended September 30, 2025. The Company is still evaluating the potential impact of the changes in the OBBBA on future periods.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loss per share for the three and nine months ended September 30, 2025, and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5"/>
                <w:szCs w:val="15"/>
                <w:color w:val="auto"/>
              </w:rPr>
            </w:pPr>
          </w:p>
        </w:tc>
        <w:tc>
          <w:tcPr>
            <w:tcW w:w="276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10"/>
        </w:trPr>
        <w:tc>
          <w:tcPr>
            <w:tcW w:w="4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r>
      <w:tr>
        <w:trPr>
          <w:trHeight w:val="223"/>
        </w:trPr>
        <w:tc>
          <w:tcPr>
            <w:tcW w:w="4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(6,608)</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(14,648)</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(37,095)</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(36,820)</w:t>
            </w:r>
          </w:p>
        </w:tc>
      </w:tr>
      <w:tr>
        <w:trPr>
          <w:trHeight w:val="197"/>
        </w:trPr>
        <w:tc>
          <w:tcPr>
            <w:tcW w:w="4460" w:type="dxa"/>
            <w:vAlign w:val="bottom"/>
            <w:tcBorders>
              <w:top w:val="single" w:sz="8" w:color="CFF0FC"/>
            </w:tcBorders>
          </w:tcPr>
          <w:p>
            <w:pPr>
              <w:spacing w:after="0"/>
              <w:rPr>
                <w:sz w:val="17"/>
                <w:szCs w:val="17"/>
                <w:color w:val="auto"/>
              </w:rPr>
            </w:pPr>
          </w:p>
        </w:tc>
        <w:tc>
          <w:tcPr>
            <w:tcW w:w="4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56"/>
        </w:trPr>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 outstanding, basic</w:t>
            </w:r>
          </w:p>
        </w:tc>
        <w:tc>
          <w:tcPr>
            <w:tcW w:w="4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30,749</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30,416</w:t>
            </w: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30,708</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30,095</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197"/>
        </w:trPr>
        <w:tc>
          <w:tcPr>
            <w:tcW w:w="4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 outstanding, diluted</w:t>
            </w:r>
          </w:p>
        </w:tc>
        <w:tc>
          <w:tcPr>
            <w:tcW w:w="4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30,749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30,416</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30,708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30,095</w:t>
            </w:r>
          </w:p>
        </w:tc>
        <w:tc>
          <w:tcPr>
            <w:tcW w:w="120" w:type="dxa"/>
            <w:vAlign w:val="bottom"/>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4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(0.48)</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r>
      <w:tr>
        <w:trPr>
          <w:trHeight w:val="234"/>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(0.48)</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r>
      <w:tr>
        <w:trPr>
          <w:trHeight w:val="630"/>
        </w:trPr>
        <w:tc>
          <w:tcPr>
            <w:tcW w:w="4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-1945005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-1927860</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-1945005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-1927860</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-1945005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-1927860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-1945005</wp:posOffset>
            </wp:positionV>
            <wp:extent cx="7747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-1927860</wp:posOffset>
            </wp:positionV>
            <wp:extent cx="7747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-1645285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-1628140</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-1645285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-1628140</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-1645285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-1628140</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-1645285</wp:posOffset>
            </wp:positionV>
            <wp:extent cx="774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-1628140</wp:posOffset>
            </wp:positionV>
            <wp:extent cx="7747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color w:val="auto"/>
        </w:rPr>
        <w:t>The following securities have been excluded from the calculation of diluted loss per share because their effect would have been anti-dilutive: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3"/>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r>
      <w:tr>
        <w:trPr>
          <w:trHeight w:val="210"/>
        </w:trPr>
        <w:tc>
          <w:tcPr>
            <w:tcW w:w="4800" w:type="dxa"/>
            <w:vAlign w:val="bottom"/>
          </w:tcPr>
          <w:p>
            <w:pPr>
              <w:spacing w:after="0"/>
              <w:rPr>
                <w:sz w:val="18"/>
                <w:szCs w:val="18"/>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8"/>
                <w:szCs w:val="18"/>
                <w:color w:val="auto"/>
              </w:rPr>
            </w:pPr>
          </w:p>
        </w:tc>
        <w:tc>
          <w:tcPr>
            <w:tcW w:w="14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r>
      <w:tr>
        <w:trPr>
          <w:trHeight w:val="223"/>
        </w:trPr>
        <w:tc>
          <w:tcPr>
            <w:tcW w:w="4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2,177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18"/>
                <w:szCs w:val="18"/>
                <w:color w:val="auto"/>
              </w:rPr>
            </w:pPr>
          </w:p>
        </w:tc>
      </w:tr>
      <w:tr>
        <w:trPr>
          <w:trHeight w:val="216"/>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Contingently issuable shares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30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the three and nine months ended September 30, 2025, and 2024, the Company had outstanding stock options and restricted stock units that were excluded from the weighted-average share calculation for continuing operations due to the Company’s net loss positions.</w:t>
      </w:r>
    </w:p>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the three and nine months ended September 30, 2025, the Company also had contingently issuable shares for contingent consideration to the acquisition of ANP that were excluded from the weighted-average share calculation for continuing operations due to the Company’s net loss positions. The milestones have not been satisfied as of September 30, 2025, thus, nothing was included in dilutive shares. See more details in Note 15.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Prior to April 25, 2025, Ming Hsieh, the Chief Executive Officer and Chairperson of the Board of Directors, was on the board of directors and an approximately 20% owner of ANP, with which the Company entered into certain drug-related licensing and development service agreements.</w:t>
      </w:r>
    </w:p>
    <w:p>
      <w:pPr>
        <w:spacing w:after="0" w:line="16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Chief Executive Officer of Fulgent Pharma, Ray Yin, is the Founder, President and Chief Technology Officer of ANP. The Company incurred zero and $0.6 million related to the licensing and development services in the three and nine months ended September 30, 2025, prior to April 25, 2025, respectively, and $0.6 million and $1.6 million in the three and nine months ended September 30, 2024, respectively. As of April 25, 2025, and December 31, 2024, the Company owed $0.3 million and $0.2 million, respectively, to ANP in connection with these relationships. The Company also entered into an employee service agreement with ANP in April 2023 and recognized insignificant amounts in the three and nine months ended September 30, 2025, and 2024. Insignificant amounts were owed to the Company by ANP in connection with the employee service agreement as of April 25, 2025, and December 31, 2024. In July 2025, the Company completed an acquisition of 100% of the outstanding equity of ANP, which included the settlement of all outstanding liabilities and receivables. See more details in Note 15. </w:t>
      </w:r>
      <w:r>
        <w:rPr>
          <w:rFonts w:ascii="Times New Roman" w:cs="Times New Roman" w:eastAsia="Times New Roman" w:hAnsi="Times New Roman"/>
          <w:sz w:val="18"/>
          <w:szCs w:val="18"/>
          <w:i w:val="1"/>
          <w:iCs w:val="1"/>
          <w:color w:val="auto"/>
        </w:rPr>
        <w:t>Business Combinations.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Goodwill and Intangible Assets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has identified its laboratory services business and its therapeutic development business as its two operating segments, and the Company determined that the operating segments represented the two reporting units. The newly acquired entity, ANP, is considered part of therapeutic development segment.</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Therapeutic Development</w:t>
      </w:r>
    </w:p>
    <w:p>
      <w:pPr>
        <w:spacing w:after="0" w:line="11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changes in the carrying amounts of goodwill for the therapeutic development segment in the nine months ended September 30, 2025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52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90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3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Goodwill acquired</w:t>
            </w:r>
          </w:p>
        </w:tc>
        <w:tc>
          <w:tcPr>
            <w:tcW w:w="90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tcPr>
          <w:p>
            <w:pPr>
              <w:spacing w:after="0"/>
              <w:rPr>
                <w:sz w:val="18"/>
                <w:szCs w:val="18"/>
                <w:color w:val="auto"/>
              </w:rPr>
            </w:pPr>
          </w:p>
        </w:tc>
      </w:tr>
      <w:tr>
        <w:trPr>
          <w:trHeight w:val="250"/>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900" w:type="dxa"/>
            <w:vAlign w:val="bottom"/>
            <w:tcBorders>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3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020" w:firstLine="509"/>
        <w:spacing w:after="0" w:line="282" w:lineRule="auto"/>
        <w:rPr>
          <w:sz w:val="20"/>
          <w:szCs w:val="20"/>
          <w:color w:val="auto"/>
        </w:rPr>
      </w:pPr>
      <w:r>
        <w:rPr>
          <w:rFonts w:ascii="Times New Roman" w:cs="Times New Roman" w:eastAsia="Times New Roman" w:hAnsi="Times New Roman"/>
          <w:sz w:val="18"/>
          <w:szCs w:val="18"/>
          <w:color w:val="auto"/>
        </w:rPr>
        <w:t>The Company tests for goodwill impairment at the reporting unit level on December 31st of each year and more frequently if events or circumstances indicate a potential impairment. Based upon the results of the quantitative assessments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right="320"/>
        <w:spacing w:after="0" w:line="282" w:lineRule="auto"/>
        <w:rPr>
          <w:sz w:val="20"/>
          <w:szCs w:val="20"/>
          <w:color w:val="auto"/>
        </w:rPr>
      </w:pPr>
      <w:r>
        <w:rPr>
          <w:rFonts w:ascii="Times New Roman" w:cs="Times New Roman" w:eastAsia="Times New Roman" w:hAnsi="Times New Roman"/>
          <w:sz w:val="18"/>
          <w:szCs w:val="18"/>
          <w:color w:val="auto"/>
        </w:rPr>
        <w:t>performed as of December 31, 2024, the Company concluded that the fair values of the therapeutic development reporting unit and the IPR&amp;D asset at December 31, 2024, were greater than the carrying values and that there was no impairment.</w:t>
      </w:r>
    </w:p>
    <w:p>
      <w:pPr>
        <w:spacing w:after="0" w:line="16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there have been no significant changes except for the acquisition of ANP. The acquisition of ANP resulted in $3.0 million in goodwill and $3.9 million in IPR&amp;D. The Company engaged a third-party valuation company for the valuation of the IPR&amp;D on the acquisition date. There is no indication of a potential impairment for the Company's goodwill and IPR&amp;D.</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estimates and assumptions management made for the purposes of the goodwill or IPR&amp;D impairment analysis will prove to be accurate predictions of future performance. It is possible that the conclusions regarding impairment or recoverability of goodwill or intangible assets could change in future periods. Management will continue to monitor the therapeutic development reporting unit. For all IPR&amp;D projects, there are major risks and uncertainties associated with the timely and successful completion of development and commercialization of these drug candidates, including the ability to confirm their efficacy based on data from clinical trials, the ability to obtain necessary regulatory approvals, and the ability to successfully complete these tasks within budgeted costs. The Company is not able to market a human therapeutic drug without obtaining regulatory approvals, and such approvals require completing clinical trials that demonstrate a drug candidate is safe and effective. In addition, the availability and extent of coverage and reimbursement from insurance payors, including government healthcare programs and private insurance plans, impact the revenues a product can generate. Consequently, the eventual realized value, if any, of these acquired IPR&amp;D projects may vary from their estimated fair values.</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color w:val="auto"/>
        </w:rPr>
        <w:t>Summaries of balances for the intangible assets by reporting segment as of September 30, 2025, and December 31, 2024,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Amortization Period</w:t>
            </w:r>
          </w:p>
        </w:tc>
        <w:tc>
          <w:tcPr>
            <w:tcW w:w="160" w:type="dxa"/>
            <w:vAlign w:val="bottom"/>
          </w:tcPr>
          <w:p>
            <w:pPr>
              <w:spacing w:after="0"/>
              <w:rPr>
                <w:sz w:val="16"/>
                <w:szCs w:val="16"/>
                <w:color w:val="auto"/>
              </w:rPr>
            </w:pPr>
          </w:p>
        </w:tc>
        <w:tc>
          <w:tcPr>
            <w:tcW w:w="15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4040" w:type="dxa"/>
            <w:vAlign w:val="bottom"/>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20" w:type="dxa"/>
            <w:vAlign w:val="bottom"/>
            <w:gridSpan w:val="6"/>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Laboratory Services</w:t>
            </w: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 Years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83,115</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(23,985)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(19,079)</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37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59,130</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Royalty-free technology</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(2,296)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Royalty-free technology, net</w:t>
            </w:r>
          </w:p>
        </w:tc>
        <w:tc>
          <w:tcPr>
            <w:tcW w:w="37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Trade name, net</w:t>
            </w:r>
          </w:p>
        </w:tc>
        <w:tc>
          <w:tcPr>
            <w:tcW w:w="37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Laboratory information system platform</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Laboratory information system platform, net</w:t>
            </w:r>
          </w:p>
        </w:tc>
        <w:tc>
          <w:tcPr>
            <w:tcW w:w="37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In-place lease intangible assets</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In-place lease intangible assets, net</w:t>
            </w:r>
          </w:p>
        </w:tc>
        <w:tc>
          <w:tcPr>
            <w:tcW w:w="37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Purchased patent</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Purchased patent, net</w:t>
            </w:r>
          </w:p>
        </w:tc>
        <w:tc>
          <w:tcPr>
            <w:tcW w:w="37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64,497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Therapeutic Development</w:t>
            </w: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 Years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37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&amp; development</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70,758</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7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135,255</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-4362450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-3805555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-3248025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-2691130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-2133600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-1576705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-736600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 xml:space="preserve">During the three months ended September 30, 2025, the Company recorded $2.3 million of customer relationships and $3.9 million of IPR&amp;D attributable to the acquisition of ANP. See more details in Note 15.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was $2.0 million and $6.0 million in each of the three and nine months ended September 30, 2025, and 2024,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Based on the carrying value of intangible assets recorded as of September 30, 2025, and assuming no subsequent impairment of the underlying assets, the annual amortization expense for intangible assets is expected to be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9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42"/>
        </w:trPr>
        <w:tc>
          <w:tcPr>
            <w:tcW w:w="48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tcPr>
          <w:p>
            <w:pPr>
              <w:jc w:val="right"/>
              <w:ind w:right="125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2025 (remaining 3 months)</w:t>
            </w:r>
          </w:p>
        </w:tc>
        <w:tc>
          <w:tcPr>
            <w:tcW w:w="35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7,797</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28,346</w:t>
            </w:r>
          </w:p>
        </w:tc>
        <w:tc>
          <w:tcPr>
            <w:tcW w:w="100" w:type="dxa"/>
            <w:vAlign w:val="bottom"/>
          </w:tcPr>
          <w:p>
            <w:pPr>
              <w:spacing w:after="0"/>
              <w:rPr>
                <w:sz w:val="18"/>
                <w:szCs w:val="18"/>
                <w:color w:val="auto"/>
              </w:rPr>
            </w:pPr>
          </w:p>
        </w:tc>
      </w:tr>
      <w:tr>
        <w:trPr>
          <w:trHeight w:val="250"/>
        </w:trPr>
        <w:tc>
          <w:tcPr>
            <w:tcW w:w="4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66,765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Business Combinations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ANP Technologies, Inc.</w:t>
      </w:r>
    </w:p>
    <w:p>
      <w:pPr>
        <w:spacing w:after="0" w:line="121" w:lineRule="exact"/>
        <w:rPr>
          <w:sz w:val="20"/>
          <w:szCs w:val="20"/>
          <w:color w:val="auto"/>
        </w:rPr>
      </w:pPr>
    </w:p>
    <w:p>
      <w:pPr>
        <w:ind w:right="60" w:firstLine="494"/>
        <w:spacing w:after="0" w:line="258" w:lineRule="auto"/>
        <w:rPr>
          <w:sz w:val="20"/>
          <w:szCs w:val="20"/>
          <w:color w:val="auto"/>
        </w:rPr>
      </w:pPr>
      <w:r>
        <w:rPr>
          <w:rFonts w:ascii="Times New Roman" w:cs="Times New Roman" w:eastAsia="Times New Roman" w:hAnsi="Times New Roman"/>
          <w:sz w:val="18"/>
          <w:szCs w:val="18"/>
          <w:color w:val="auto"/>
        </w:rPr>
        <w:t>On July 9, 2025, the Company completed an acquisition of 100% of the outstanding equity of ANP, an innovation-driven company, which has developed multiple proprietary product platforms. The acquisition was structured as a combination of cash and stock, net of cash received. This acquisition enables the Company to secure ownership of the patents previously licensed from ANP, which are currently utilized in ongoing clinical studies. By securing full ownership of these intellectual property rights, the Company aims to enhance its control over the development and commercialization of related therapeutic candidates, thereby aligning with its strategic objectives to advance clinical programs.</w:t>
      </w:r>
    </w:p>
    <w:p>
      <w:pPr>
        <w:spacing w:after="0" w:line="183" w:lineRule="exact"/>
        <w:rPr>
          <w:sz w:val="20"/>
          <w:szCs w:val="20"/>
          <w:color w:val="auto"/>
        </w:rPr>
      </w:pPr>
    </w:p>
    <w:p>
      <w:pPr>
        <w:ind w:right="40" w:firstLine="494"/>
        <w:spacing w:after="0" w:line="277" w:lineRule="auto"/>
        <w:rPr>
          <w:sz w:val="20"/>
          <w:szCs w:val="20"/>
          <w:color w:val="auto"/>
        </w:rPr>
      </w:pPr>
      <w:r>
        <w:rPr>
          <w:rFonts w:ascii="Times New Roman" w:cs="Times New Roman" w:eastAsia="Times New Roman" w:hAnsi="Times New Roman"/>
          <w:sz w:val="17"/>
          <w:szCs w:val="17"/>
          <w:color w:val="auto"/>
        </w:rPr>
        <w:t>The financial results of ANP are included in the condensed consolidated financial statements from the date of acquisition. The Company allocated the purchase price to tangible assets and identified intangible assets acquired, liabilities assumed and goodwill based on estimated fair values. As additional information becomes available, including the filing and finalization of federal and state tax returns for periods prior to the acquisition date, the Company may further update the preliminary purchase price allocation during the remainder of the measurement period (up to one year from the acquisition date). The following tables summarize the consideration and the amounts of the assets acquired and liabilities assumed recognized at the acquisition date: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jc w:val="center"/>
        <w:ind w:left="9460"/>
        <w:spacing w:after="0"/>
        <w:rPr>
          <w:sz w:val="20"/>
          <w:szCs w:val="20"/>
          <w:color w:val="auto"/>
        </w:rPr>
      </w:pPr>
      <w:r>
        <w:rPr>
          <w:rFonts w:ascii="Times New Roman" w:cs="Times New Roman" w:eastAsia="Times New Roman" w:hAnsi="Times New Roman"/>
          <w:sz w:val="14"/>
          <w:szCs w:val="14"/>
          <w:b w:val="1"/>
          <w:bCs w:val="1"/>
          <w:color w:val="auto"/>
        </w:rPr>
        <w:t>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7620</wp:posOffset>
            </wp:positionV>
            <wp:extent cx="97726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jc w:val="center"/>
        <w:ind w:left="9460"/>
        <w:spacing w:after="0"/>
        <w:rPr>
          <w:sz w:val="20"/>
          <w:szCs w:val="20"/>
          <w:color w:val="auto"/>
        </w:rPr>
      </w:pPr>
      <w:r>
        <w:rPr>
          <w:rFonts w:ascii="Times New Roman" w:cs="Times New Roman" w:eastAsia="Times New Roman" w:hAnsi="Times New Roman"/>
          <w:sz w:val="14"/>
          <w:szCs w:val="14"/>
          <w:b w:val="1"/>
          <w:bCs w:val="1"/>
          <w:color w:val="auto"/>
        </w:rPr>
        <w:t>(in thousands)</w:t>
      </w:r>
    </w:p>
    <w:p>
      <w:pPr>
        <w:sectPr>
          <w:pgSz w:w="11900" w:h="16838" w:orient="portrait"/>
          <w:cols w:equalWidth="0" w:num="1">
            <w:col w:w="11240"/>
          </w:cols>
          <w:pgMar w:left="320" w:top="1033" w:right="339" w:bottom="1440" w:gutter="0" w:footer="0" w:header="0"/>
        </w:sectPr>
      </w:pP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held back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of pre-existing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Contingent consideration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 assets -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payable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1027" w:hanging="1027"/>
        <w:spacing w:after="0"/>
        <w:tabs>
          <w:tab w:leader="none" w:pos="102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14,322</w:t>
      </w:r>
    </w:p>
    <w:p>
      <w:pPr>
        <w:spacing w:after="0" w:line="27" w:lineRule="exact"/>
        <w:rPr>
          <w:rFonts w:ascii="Times New Roman" w:cs="Times New Roman" w:eastAsia="Times New Roman" w:hAnsi="Times New Roman"/>
          <w:sz w:val="18"/>
          <w:szCs w:val="18"/>
          <w:color w:val="auto"/>
        </w:rPr>
      </w:pPr>
    </w:p>
    <w:p>
      <w:pPr>
        <w:ind w:left="11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1,887</w:t>
      </w:r>
    </w:p>
    <w:p>
      <w:pPr>
        <w:spacing w:after="0" w:line="9" w:lineRule="exact"/>
        <w:rPr>
          <w:rFonts w:ascii="Times New Roman" w:cs="Times New Roman" w:eastAsia="Times New Roman" w:hAnsi="Times New Roman"/>
          <w:sz w:val="18"/>
          <w:szCs w:val="18"/>
          <w:color w:val="auto"/>
        </w:rPr>
      </w:pPr>
    </w:p>
    <w:p>
      <w:pPr>
        <w:ind w:left="11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(290)</w:t>
      </w:r>
    </w:p>
    <w:p>
      <w:pPr>
        <w:spacing w:after="0" w:line="9" w:lineRule="exact"/>
        <w:rPr>
          <w:rFonts w:ascii="Times New Roman" w:cs="Times New Roman" w:eastAsia="Times New Roman" w:hAnsi="Times New Roman"/>
          <w:sz w:val="18"/>
          <w:szCs w:val="18"/>
          <w:color w:val="auto"/>
        </w:rPr>
      </w:pPr>
    </w:p>
    <w:p>
      <w:pPr>
        <w:ind w:left="11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5,731</w:t>
      </w:r>
    </w:p>
    <w:p>
      <w:pPr>
        <w:spacing w:after="0" w:line="9" w:lineRule="exact"/>
        <w:rPr>
          <w:sz w:val="20"/>
          <w:szCs w:val="20"/>
          <w:color w:val="auto"/>
        </w:rPr>
      </w:pPr>
    </w:p>
    <w:p>
      <w:pPr>
        <w:ind w:left="1027" w:hanging="1027"/>
        <w:spacing w:after="0"/>
        <w:tabs>
          <w:tab w:leader="none" w:pos="10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7726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9772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97726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27" w:hanging="1027"/>
        <w:spacing w:after="0"/>
        <w:tabs>
          <w:tab w:leader="none" w:pos="10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18,097</w:t>
      </w:r>
    </w:p>
    <w:p>
      <w:pPr>
        <w:spacing w:after="0" w:line="27" w:lineRule="exact"/>
        <w:rPr>
          <w:rFonts w:ascii="Times New Roman" w:cs="Times New Roman" w:eastAsia="Times New Roman" w:hAnsi="Times New Roman"/>
          <w:sz w:val="18"/>
          <w:szCs w:val="18"/>
          <w:color w:val="auto"/>
        </w:rPr>
      </w:pPr>
    </w:p>
    <w:p>
      <w:pPr>
        <w:ind w:left="14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pacing w:after="0" w:line="9" w:lineRule="exact"/>
        <w:rPr>
          <w:sz w:val="20"/>
          <w:szCs w:val="20"/>
          <w:color w:val="auto"/>
        </w:rPr>
      </w:pPr>
    </w:p>
    <w:p>
      <w:pPr>
        <w:ind w:left="1347"/>
        <w:spacing w:after="0"/>
        <w:rPr>
          <w:sz w:val="20"/>
          <w:szCs w:val="20"/>
          <w:color w:val="auto"/>
        </w:rPr>
      </w:pPr>
      <w:r>
        <w:rPr>
          <w:rFonts w:ascii="Times New Roman" w:cs="Times New Roman" w:eastAsia="Times New Roman" w:hAnsi="Times New Roman"/>
          <w:sz w:val="18"/>
          <w:szCs w:val="18"/>
          <w:color w:val="auto"/>
        </w:rPr>
        <w:t>97</w:t>
      </w:r>
    </w:p>
    <w:p>
      <w:pPr>
        <w:spacing w:after="0" w:line="9" w:lineRule="exact"/>
        <w:rPr>
          <w:sz w:val="20"/>
          <w:szCs w:val="20"/>
          <w:color w:val="auto"/>
        </w:rPr>
      </w:pPr>
    </w:p>
    <w:p>
      <w:pPr>
        <w:ind w:left="1247"/>
        <w:spacing w:after="0"/>
        <w:rPr>
          <w:sz w:val="20"/>
          <w:szCs w:val="20"/>
          <w:color w:val="auto"/>
        </w:rPr>
      </w:pPr>
      <w:r>
        <w:rPr>
          <w:rFonts w:ascii="Times New Roman" w:cs="Times New Roman" w:eastAsia="Times New Roman" w:hAnsi="Times New Roman"/>
          <w:sz w:val="18"/>
          <w:szCs w:val="18"/>
          <w:color w:val="auto"/>
        </w:rPr>
        <w:t>612</w:t>
      </w:r>
    </w:p>
    <w:p>
      <w:pPr>
        <w:spacing w:after="0" w:line="9" w:lineRule="exact"/>
        <w:rPr>
          <w:sz w:val="20"/>
          <w:szCs w:val="20"/>
          <w:color w:val="auto"/>
        </w:rPr>
      </w:pPr>
    </w:p>
    <w:p>
      <w:pPr>
        <w:ind w:left="1347"/>
        <w:spacing w:after="0"/>
        <w:rPr>
          <w:sz w:val="20"/>
          <w:szCs w:val="20"/>
          <w:color w:val="auto"/>
        </w:rPr>
      </w:pPr>
      <w:r>
        <w:rPr>
          <w:rFonts w:ascii="Times New Roman" w:cs="Times New Roman" w:eastAsia="Times New Roman" w:hAnsi="Times New Roman"/>
          <w:sz w:val="18"/>
          <w:szCs w:val="18"/>
          <w:color w:val="auto"/>
        </w:rPr>
        <w:t>15</w:t>
      </w:r>
    </w:p>
    <w:p>
      <w:pPr>
        <w:spacing w:after="0" w:line="9" w:lineRule="exact"/>
        <w:rPr>
          <w:sz w:val="20"/>
          <w:szCs w:val="20"/>
          <w:color w:val="auto"/>
        </w:rPr>
      </w:pPr>
    </w:p>
    <w:p>
      <w:pPr>
        <w:ind w:left="1127"/>
        <w:spacing w:after="0"/>
        <w:rPr>
          <w:sz w:val="20"/>
          <w:szCs w:val="20"/>
          <w:color w:val="auto"/>
        </w:rPr>
      </w:pPr>
      <w:r>
        <w:rPr>
          <w:rFonts w:ascii="Times New Roman" w:cs="Times New Roman" w:eastAsia="Times New Roman" w:hAnsi="Times New Roman"/>
          <w:sz w:val="18"/>
          <w:szCs w:val="18"/>
          <w:color w:val="auto"/>
        </w:rPr>
        <w:t>6,200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(75)</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(591)</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(612)</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(1,562)</w:t>
      </w:r>
    </w:p>
    <w:p>
      <w:pPr>
        <w:spacing w:after="0" w:line="18" w:lineRule="exact"/>
        <w:rPr>
          <w:sz w:val="20"/>
          <w:szCs w:val="20"/>
          <w:color w:val="auto"/>
        </w:rPr>
      </w:pPr>
    </w:p>
    <w:p>
      <w:pPr>
        <w:sectPr>
          <w:pgSz w:w="11900" w:h="16838" w:orient="portrait"/>
          <w:cols w:equalWidth="0" w:num="2">
            <w:col w:w="8873" w:space="720"/>
            <w:col w:w="1647"/>
          </w:cols>
          <w:pgMar w:left="320" w:top="1033"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9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(3,563)</w:t>
            </w:r>
          </w:p>
        </w:tc>
      </w:tr>
      <w:tr>
        <w:trPr>
          <w:trHeight w:val="210"/>
        </w:trPr>
        <w:tc>
          <w:tcPr>
            <w:tcW w:w="9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 net</w:t>
            </w: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18,625</w:t>
            </w:r>
          </w:p>
        </w:tc>
        <w:tc>
          <w:tcPr>
            <w:tcW w:w="100" w:type="dxa"/>
            <w:vAlign w:val="bottom"/>
            <w:tcBorders>
              <w:top w:val="single" w:sz="8" w:color="CFF0FC"/>
            </w:tcBorders>
          </w:tcPr>
          <w:p>
            <w:pPr>
              <w:spacing w:after="0"/>
              <w:rPr>
                <w:sz w:val="18"/>
                <w:szCs w:val="18"/>
                <w:color w:val="auto"/>
              </w:rPr>
            </w:pPr>
          </w:p>
        </w:tc>
      </w:tr>
      <w:tr>
        <w:trPr>
          <w:trHeight w:val="216"/>
        </w:trPr>
        <w:tc>
          <w:tcPr>
            <w:tcW w:w="9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5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21,650</w:t>
            </w:r>
          </w:p>
        </w:tc>
        <w:tc>
          <w:tcPr>
            <w:tcW w:w="100" w:type="dxa"/>
            <w:vAlign w:val="bottom"/>
          </w:tcPr>
          <w:p>
            <w:pPr>
              <w:spacing w:after="0"/>
              <w:rPr>
                <w:sz w:val="18"/>
                <w:szCs w:val="18"/>
                <w:color w:val="auto"/>
              </w:rPr>
            </w:pPr>
          </w:p>
        </w:tc>
      </w:tr>
      <w:tr>
        <w:trPr>
          <w:trHeight w:val="20"/>
        </w:trPr>
        <w:tc>
          <w:tcPr>
            <w:tcW w:w="9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The acquisition includes a contingent consideration arrangement that requires the Company to issue up to 292,682 shares of the Company’s common stock to the sellers of ANP upon ANP’s achievement of certain minimum levels of cash receipts over the next two years. The contingent consideration is classified as equity, and the fair value of $5.7 million was calculated based on the stock price of the Company’s common stock on the acquisition date. The fair value of the contingent consideration does not need to be remeasured, as the subsequent settlement will be accounted for as equity.</w:t>
      </w:r>
    </w:p>
    <w:p>
      <w:pPr>
        <w:spacing w:after="0" w:line="180" w:lineRule="exact"/>
        <w:rPr>
          <w:sz w:val="20"/>
          <w:szCs w:val="20"/>
          <w:color w:val="auto"/>
        </w:rPr>
      </w:pPr>
    </w:p>
    <w:p>
      <w:pPr>
        <w:ind w:firstLine="494"/>
        <w:spacing w:after="0" w:line="266" w:lineRule="auto"/>
        <w:rPr>
          <w:sz w:val="20"/>
          <w:szCs w:val="20"/>
          <w:color w:val="auto"/>
        </w:rPr>
      </w:pPr>
      <w:r>
        <w:rPr>
          <w:rFonts w:ascii="Times New Roman" w:cs="Times New Roman" w:eastAsia="Times New Roman" w:hAnsi="Times New Roman"/>
          <w:sz w:val="18"/>
          <w:szCs w:val="18"/>
          <w:color w:val="auto"/>
        </w:rPr>
        <w:t>The merger agreement calls for the Company to holdback $1.9 million to serve as collateral for indemnification of the equity holders. $1.0 million of the holdback will be released to the sellers of ANP after the initial survival date (three years after closing) and the remaining amount is to be released four years after the closing date.</w:t>
      </w:r>
    </w:p>
    <w:p>
      <w:pPr>
        <w:spacing w:after="0" w:line="176" w:lineRule="exact"/>
        <w:rPr>
          <w:sz w:val="20"/>
          <w:szCs w:val="20"/>
          <w:color w:val="auto"/>
        </w:rPr>
      </w:pPr>
    </w:p>
    <w:p>
      <w:pPr>
        <w:ind w:right="260" w:firstLine="494"/>
        <w:spacing w:after="0" w:line="282" w:lineRule="auto"/>
        <w:rPr>
          <w:sz w:val="20"/>
          <w:szCs w:val="20"/>
          <w:color w:val="auto"/>
        </w:rPr>
      </w:pPr>
      <w:r>
        <w:rPr>
          <w:rFonts w:ascii="Times New Roman" w:cs="Times New Roman" w:eastAsia="Times New Roman" w:hAnsi="Times New Roman"/>
          <w:sz w:val="18"/>
          <w:szCs w:val="18"/>
          <w:color w:val="auto"/>
        </w:rPr>
        <w:t>The goodwill of $3.0 million arising from the acquisition is attributed to the expected synergies, assembled workforce and other benefits that will potentially be generated from the business combination and deferred tax. The goodwill recognized is not deductible for tax purposes.</w:t>
      </w:r>
    </w:p>
    <w:p>
      <w:pPr>
        <w:spacing w:after="0" w:line="162" w:lineRule="exact"/>
        <w:rPr>
          <w:sz w:val="20"/>
          <w:szCs w:val="20"/>
          <w:color w:val="auto"/>
        </w:rPr>
      </w:pPr>
    </w:p>
    <w:p>
      <w:pPr>
        <w:ind w:right="200" w:firstLine="494"/>
        <w:spacing w:after="0" w:line="282" w:lineRule="auto"/>
        <w:rPr>
          <w:sz w:val="20"/>
          <w:szCs w:val="20"/>
          <w:color w:val="auto"/>
        </w:rPr>
      </w:pPr>
      <w:r>
        <w:rPr>
          <w:rFonts w:ascii="Times New Roman" w:cs="Times New Roman" w:eastAsia="Times New Roman" w:hAnsi="Times New Roman"/>
          <w:sz w:val="18"/>
          <w:szCs w:val="18"/>
          <w:color w:val="auto"/>
        </w:rPr>
        <w:t>The identified intangible assets acquired consisted of $3.9 million IPR&amp;D which is an indefinite-lived asset and as such is not amortized, and $2.3 million customer relationships with an estimated amortization life of 18 years.</w:t>
      </w:r>
    </w:p>
    <w:p>
      <w:pPr>
        <w:spacing w:after="0" w:line="162"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The fair value of the IPR&amp;D was estimated using the cost to recreate method of the cost approach. The cost to recreate method estimates the expense to the Company if the intangible assets were to be recreated. The fair value of the customer relationships was estimated using the Multiperiod Excess Earnings Method, or MPEEM, under the income approach. Under the MPEEM, an intangible asset’s fair value is equal to the present value of the incremental after-tax cash flows attributable only to the subject intangible asset after deducting contributory asset charges. The incremental after-tax cash flows attributable to the customer contract are then discounted to their present value at a risk-adjusted rate of return. The useful lives of the intangible assets for amortization purposes were determined by considering the period of expected cash flows used to measure the fair values of the intangible assets adjusted as appropriate for entity-specific factors including legal, regulatory, contractual, competitive, economic and other factors that may limit the useful life. The customer relationships are amortized on a straight-line basis over the estimated useful lives.</w:t>
      </w:r>
    </w:p>
    <w:p>
      <w:pPr>
        <w:spacing w:after="0" w:line="192" w:lineRule="exact"/>
        <w:rPr>
          <w:sz w:val="20"/>
          <w:szCs w:val="20"/>
          <w:color w:val="auto"/>
        </w:rPr>
      </w:pPr>
    </w:p>
    <w:p>
      <w:pPr>
        <w:ind w:right="240" w:firstLine="494"/>
        <w:spacing w:after="0" w:line="282" w:lineRule="auto"/>
        <w:rPr>
          <w:sz w:val="20"/>
          <w:szCs w:val="20"/>
          <w:color w:val="auto"/>
        </w:rPr>
      </w:pPr>
      <w:r>
        <w:rPr>
          <w:rFonts w:ascii="Times New Roman" w:cs="Times New Roman" w:eastAsia="Times New Roman" w:hAnsi="Times New Roman"/>
          <w:sz w:val="18"/>
          <w:szCs w:val="18"/>
          <w:color w:val="auto"/>
        </w:rPr>
        <w:t>The revenue and operating loss of the acquiree since the acquisition date are $0.1 million and $0.3 million, respectively, which are included in the accompanying Condensed Consolidated Statements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type w:val="continuous"/>
        </w:sectPr>
      </w:pPr>
    </w:p>
    <w:bookmarkStart w:id="29" w:name="page30"/>
    <w:bookmarkEnd w:id="29"/>
    <w:p>
      <w:pPr>
        <w:ind w:right="140" w:firstLine="494"/>
        <w:spacing w:after="0" w:line="266" w:lineRule="auto"/>
        <w:rPr>
          <w:sz w:val="20"/>
          <w:szCs w:val="20"/>
          <w:color w:val="auto"/>
        </w:rPr>
      </w:pPr>
      <w:r>
        <w:rPr>
          <w:rFonts w:ascii="Times New Roman" w:cs="Times New Roman" w:eastAsia="Times New Roman" w:hAnsi="Times New Roman"/>
          <w:sz w:val="18"/>
          <w:szCs w:val="18"/>
          <w:color w:val="auto"/>
        </w:rPr>
        <w:t>The transaction costs associated with the acquisition of ANP consisted primarily of legal, regulatory and financial advisory fees of approximately $0.1 million and $0.4 million for the three and nine months ended September 30, 2025, respectively. These transaction costs were expensed as incurred as general and administrative expense in the respective periods.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Unaudited Pro Forma Financial Information</w:t>
      </w:r>
    </w:p>
    <w:p>
      <w:pPr>
        <w:spacing w:after="0" w:line="121" w:lineRule="exact"/>
        <w:rPr>
          <w:sz w:val="20"/>
          <w:szCs w:val="20"/>
          <w:color w:val="auto"/>
        </w:rPr>
      </w:pPr>
    </w:p>
    <w:p>
      <w:pPr>
        <w:ind w:firstLine="494"/>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financial information is based on the combined results of operations of Fulgent and ANP as if the acquisition had occurred on January 1, 2024. The unaudited pro forma financial information does not reflect the effect of costs or synergies that may result from the acquisition and has been adjusted for the following:</w:t>
      </w:r>
    </w:p>
    <w:p>
      <w:pPr>
        <w:spacing w:after="0" w:line="174" w:lineRule="exact"/>
        <w:rPr>
          <w:sz w:val="20"/>
          <w:szCs w:val="20"/>
          <w:color w:val="auto"/>
        </w:rPr>
      </w:pPr>
    </w:p>
    <w:p>
      <w:pPr>
        <w:ind w:right="120" w:firstLine="49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Acquisition-related costs </w:t>
      </w:r>
      <w:r>
        <w:rPr>
          <w:rFonts w:ascii="Times New Roman" w:cs="Times New Roman" w:eastAsia="Times New Roman" w:hAnsi="Times New Roman"/>
          <w:sz w:val="18"/>
          <w:szCs w:val="18"/>
          <w:color w:val="auto"/>
        </w:rPr>
        <w:t>- Acquisition-related costs incurred by both Fulgent and ANP were excluded from the net loss attributable to Fulgent,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costs were $2.1 million and $2.4 million for the three and nine months ended September 30, 2025, respectively.</w:t>
      </w:r>
    </w:p>
    <w:p>
      <w:pPr>
        <w:spacing w:after="0" w:line="158" w:lineRule="exact"/>
        <w:rPr>
          <w:sz w:val="20"/>
          <w:szCs w:val="20"/>
          <w:color w:val="auto"/>
        </w:rPr>
      </w:pPr>
    </w:p>
    <w:p>
      <w:pPr>
        <w:ind w:right="220" w:firstLine="49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Related-party transactions </w:t>
      </w:r>
      <w:r>
        <w:rPr>
          <w:rFonts w:ascii="Times New Roman" w:cs="Times New Roman" w:eastAsia="Times New Roman" w:hAnsi="Times New Roman"/>
          <w:sz w:val="18"/>
          <w:szCs w:val="18"/>
          <w:color w:val="auto"/>
        </w:rPr>
        <w:t>- Related-party transactions between Fulgent and ANP that would be considered intercompany transactions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excluded from revenue and the net loss attributable to Fulgent, and total costs were zero and $0.6 million for the three and nine months ended September 30, 2025, respectively, and $0.6 million and $1.6 million for the three and nine months ended September 30, 2024, respectively.</w:t>
      </w:r>
    </w:p>
    <w:p>
      <w:pPr>
        <w:spacing w:after="0" w:line="175" w:lineRule="exact"/>
        <w:rPr>
          <w:sz w:val="20"/>
          <w:szCs w:val="20"/>
          <w:color w:val="auto"/>
        </w:rPr>
      </w:pPr>
    </w:p>
    <w:p>
      <w:pPr>
        <w:ind w:right="40" w:firstLine="494"/>
        <w:spacing w:after="0" w:line="282" w:lineRule="auto"/>
        <w:rPr>
          <w:sz w:val="20"/>
          <w:szCs w:val="20"/>
          <w:color w:val="auto"/>
        </w:rPr>
      </w:pPr>
      <w:r>
        <w:rPr>
          <w:rFonts w:ascii="Times New Roman" w:cs="Times New Roman" w:eastAsia="Times New Roman" w:hAnsi="Times New Roman"/>
          <w:sz w:val="18"/>
          <w:szCs w:val="18"/>
          <w:color w:val="auto"/>
        </w:rPr>
        <w:t>Other adjustments to the net income attributable to Fulgent were zero and $0.1 million for the three months ended September 30, 2025, respectively, and insignificant and $0.1 million for the three and nine months ended September 30, 2024,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580" w:type="dxa"/>
            <w:vAlign w:val="bottom"/>
            <w:gridSpan w:val="6"/>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2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4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142"/>
        </w:trPr>
        <w:tc>
          <w:tcPr>
            <w:tcW w:w="4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84,053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71,569</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249,986</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217,512</w:t>
            </w:r>
          </w:p>
        </w:tc>
        <w:tc>
          <w:tcPr>
            <w:tcW w:w="100" w:type="dxa"/>
            <w:vAlign w:val="bottom"/>
            <w:shd w:val="clear" w:color="auto" w:fill="CFF0FC"/>
          </w:tcPr>
          <w:p>
            <w:pPr>
              <w:spacing w:after="0"/>
              <w:rPr>
                <w:sz w:val="18"/>
                <w:szCs w:val="18"/>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22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(6,504)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(14,436)</w:t>
            </w: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(31,604)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(30,805)</w:t>
            </w:r>
          </w:p>
        </w:tc>
      </w:tr>
    </w:tbl>
    <w:p>
      <w:pPr>
        <w:spacing w:after="0" w:line="179" w:lineRule="exact"/>
        <w:rPr>
          <w:sz w:val="20"/>
          <w:szCs w:val="20"/>
          <w:color w:val="auto"/>
        </w:rPr>
      </w:pPr>
    </w:p>
    <w:p>
      <w:pPr>
        <w:ind w:right="100" w:firstLine="494"/>
        <w:spacing w:after="0" w:line="266" w:lineRule="auto"/>
        <w:rPr>
          <w:sz w:val="20"/>
          <w:szCs w:val="20"/>
          <w:color w:val="auto"/>
        </w:rPr>
      </w:pPr>
      <w:r>
        <w:rPr>
          <w:rFonts w:ascii="Times New Roman" w:cs="Times New Roman" w:eastAsia="Times New Roman" w:hAnsi="Times New Roman"/>
          <w:sz w:val="18"/>
          <w:szCs w:val="18"/>
          <w:color w:val="auto"/>
        </w:rPr>
        <w:t>The unaudited pro forma information is presented for informational purposes only and is not necessarily indicative of future operating results of the combined company. This information should not be used as a predictive measure of the Company's future financial position, results of operations, or liquidity.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 Repurchase Program</w:t>
      </w:r>
    </w:p>
    <w:p>
      <w:pPr>
        <w:spacing w:after="0" w:line="121" w:lineRule="exact"/>
        <w:rPr>
          <w:sz w:val="20"/>
          <w:szCs w:val="20"/>
          <w:color w:val="auto"/>
        </w:rPr>
      </w:pPr>
    </w:p>
    <w:p>
      <w:pPr>
        <w:ind w:right="140" w:firstLine="494"/>
        <w:spacing w:after="0" w:line="266" w:lineRule="auto"/>
        <w:rPr>
          <w:sz w:val="20"/>
          <w:szCs w:val="20"/>
          <w:color w:val="auto"/>
        </w:rPr>
      </w:pPr>
      <w:r>
        <w:rPr>
          <w:rFonts w:ascii="Times New Roman" w:cs="Times New Roman" w:eastAsia="Times New Roman" w:hAnsi="Times New Roman"/>
          <w:sz w:val="18"/>
          <w:szCs w:val="18"/>
          <w:color w:val="auto"/>
        </w:rPr>
        <w:t>In March 2022, the Company’s Board of Directors authorized a $250.0 million stock repurchase program. Under the stock repurchase program, the Company may repurchase shares from time to time in the open market or in privately negotiated transactions. The stock repurchase program has no expiration from the date of authorization.</w:t>
      </w:r>
    </w:p>
    <w:p>
      <w:pPr>
        <w:spacing w:after="0" w:line="176" w:lineRule="exact"/>
        <w:rPr>
          <w:sz w:val="20"/>
          <w:szCs w:val="20"/>
          <w:color w:val="auto"/>
        </w:rPr>
      </w:pPr>
    </w:p>
    <w:p>
      <w:pPr>
        <w:ind w:right="200" w:firstLine="494"/>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repurchased zero and 0.6 million shares of its common stock, respectively, at an aggregate cost of zero and $10.9 million, respectively, under the stock repurchase program. During the three and nine months ended September 30, 2024, the Company repurchased zero and 10,000 shares of its common stock, respectively, at an aggregate cost of zero and $0.2 million, respectively. As of September 30, 2025, a total of approximately $139.6 million remained available for future repurchases of its common stock under the stock repurchase program.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Retirement Plans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offers a 401(k) retirement savings plan, or the 401(k) Plan,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4% of an employee’s compensation that the employee contributes to their 401(k) Plan account. Total Company matching contributions to the 401(k) Plan were $1.0 million and $3.2 million for the three and nine months ended September 30, 2025, respectively, and $1.2 million and $3.1 million for the three and nine months ended September 30, 2024,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Income Tax Credits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On October 9, 2025, the Company purchased $72.4 million of Investment Tax Credits under the transferability provision of the Inflation Reduction Act of 2022 for $67.9 million in cash. Refer to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additional details with regard to the treatment of Investment Tax Credits purchased previously.</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related notes included in this report. Additionally, pursuant to Instruction 2 to paragraph (b) of Item 303 of Regulation S-K promulgated by the U.S. Securities and Exchange Commission, or SEC, in preparing this discussion and analysis, we presume that readers have access to and have read the discussion and analysis of our financial condition and results of operations included in our annual report on Form 10-K for our fiscal year ended December 31, 2024, filed with the SEC on February 28, 2025, or the 2024 Annual Report. As used in this discussion and analysis and elsewhere in this report, unless the context otherwise requires, the terms “Fulgent,” the “Company,” “we,” “us” and “our” refer to Fulgent Genetics, Inc. and its consolidated subsidiaries.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within the meaning of Section 27A of the Securities Act of 1933, as amended, or the Securities Act, and Section 21E of the Securities Exchange Act of 1934, as amended, or the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the development of our drug candidates, as well as anticipated trends in our business and industry. These forward-looking statements are subject to a number of risks and uncertainties, including, among others, those described under “Item 1A. Risk Factors” in Part I of the 2024 Annual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are a technology-based company with a well-established laboratory services business and a therapeutic development business. Our laboratory services business includes technical laboratory services, testing services and professional interpretation of laboratory results by licensed physicians. Our therapeutic development business is focused on developing drug candidates for treating a broad range of cancers using a novel nanoencapsulation and targeted therapy platform designed to improve the therapeutic window and pharmacokinetic profile of new and existing cancer drugs.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Risks and Uncertainties and Other Factors Affecting Our Performance</w:t>
      </w:r>
    </w:p>
    <w:p>
      <w:pPr>
        <w:spacing w:after="0" w:line="121" w:lineRule="exact"/>
        <w:rPr>
          <w:sz w:val="20"/>
          <w:szCs w:val="20"/>
          <w:color w:val="auto"/>
        </w:rPr>
      </w:pPr>
    </w:p>
    <w:p>
      <w:pPr>
        <w:ind w:right="100" w:firstLine="509"/>
        <w:spacing w:after="0" w:line="269" w:lineRule="auto"/>
        <w:rPr>
          <w:sz w:val="20"/>
          <w:szCs w:val="20"/>
          <w:color w:val="auto"/>
        </w:rPr>
      </w:pPr>
      <w:r>
        <w:rPr>
          <w:rFonts w:ascii="Times New Roman" w:cs="Times New Roman" w:eastAsia="Times New Roman" w:hAnsi="Times New Roman"/>
          <w:sz w:val="17"/>
          <w:szCs w:val="17"/>
          <w:color w:val="auto"/>
        </w:rPr>
        <w:t>Our business and prospects are exposed to numerous risks and uncertainties, as described below and in the 2024 Annual Report. For more information, see “</w:t>
      </w:r>
      <w:r>
        <w:rPr>
          <w:rFonts w:ascii="Times New Roman" w:cs="Times New Roman" w:eastAsia="Times New Roman" w:hAnsi="Times New Roman"/>
          <w:sz w:val="17"/>
          <w:szCs w:val="17"/>
          <w:i w:val="1"/>
          <w:iCs w:val="1"/>
          <w:color w:val="auto"/>
        </w:rPr>
        <w:t>Item 1A. Risk Factors</w:t>
      </w:r>
      <w:r>
        <w:rPr>
          <w:rFonts w:ascii="Times New Roman" w:cs="Times New Roman" w:eastAsia="Times New Roman" w:hAnsi="Times New Roman"/>
          <w:sz w:val="17"/>
          <w:szCs w:val="17"/>
          <w:color w:val="auto"/>
        </w:rPr>
        <w:t>” in Part I of the 2024 Annual Report and “</w:t>
      </w:r>
      <w:r>
        <w:rPr>
          <w:rFonts w:ascii="Times New Roman" w:cs="Times New Roman" w:eastAsia="Times New Roman" w:hAnsi="Times New Roman"/>
          <w:sz w:val="17"/>
          <w:szCs w:val="17"/>
          <w:i w:val="1"/>
          <w:iCs w:val="1"/>
          <w:color w:val="auto"/>
        </w:rPr>
        <w:t>Item 1A. Risk Factors</w:t>
      </w:r>
      <w:r>
        <w:rPr>
          <w:rFonts w:ascii="Times New Roman" w:cs="Times New Roman" w:eastAsia="Times New Roman" w:hAnsi="Times New Roman"/>
          <w:sz w:val="17"/>
          <w:szCs w:val="17"/>
          <w:color w:val="auto"/>
        </w:rPr>
        <w:t>” in Part II of our Quarterly Report for the quarter ended March 31, 2025, filed with the SEC on May 2, 2025, or our Q1 2025 Quarterly Report. In addition, our performance in any period is affected by a number of other factors. See the description of some of the material factors affecting our performance in “</w:t>
      </w:r>
      <w:r>
        <w:rPr>
          <w:rFonts w:ascii="Times New Roman" w:cs="Times New Roman" w:eastAsia="Times New Roman" w:hAnsi="Times New Roman"/>
          <w:sz w:val="17"/>
          <w:szCs w:val="17"/>
          <w:i w:val="1"/>
          <w:iCs w:val="1"/>
          <w:color w:val="auto"/>
        </w:rPr>
        <w:t>Item 7. Management’s Discussion and Analysis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Financial Condition and Results of Operations Business Risks and Uncertainties and Other Factors Affecting Our Performance</w:t>
      </w:r>
      <w:r>
        <w:rPr>
          <w:rFonts w:ascii="Times New Roman" w:cs="Times New Roman" w:eastAsia="Times New Roman" w:hAnsi="Times New Roman"/>
          <w:sz w:val="17"/>
          <w:szCs w:val="17"/>
          <w:color w:val="auto"/>
        </w:rPr>
        <w:t>” of the 2024 Annual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 and in “</w:t>
      </w:r>
      <w:r>
        <w:rPr>
          <w:rFonts w:ascii="Times New Roman" w:cs="Times New Roman" w:eastAsia="Times New Roman" w:hAnsi="Times New Roman"/>
          <w:sz w:val="17"/>
          <w:szCs w:val="17"/>
          <w:i w:val="1"/>
          <w:iCs w:val="1"/>
          <w:color w:val="auto"/>
        </w:rPr>
        <w:t>Item 2. Management’s Discussion and Analysis of Financial Condition and Results of Operations-Factors Affecting Our Performance</w:t>
      </w:r>
      <w:r>
        <w:rPr>
          <w:rFonts w:ascii="Times New Roman" w:cs="Times New Roman" w:eastAsia="Times New Roman" w:hAnsi="Times New Roman"/>
          <w:sz w:val="17"/>
          <w:szCs w:val="17"/>
          <w:color w:val="auto"/>
        </w:rPr>
        <w:t>” in our Q1 2025 Quarterly Report. In particular and as previously mentioned, we continue to be subject to audits and investigations by government agencies, including audits from applicable tax authorities, and continue to navigate changes and the effects of recent international trade policies and tax legislation. The final results of these matters are uncertain and could materially affect our business and results of operations. In addition, we are continuing to evaluate the potential effects of the shutdown of the United States federal government on our business. As disclosed in our financial statements, we have submitted and plan to submit requests for refunds from the IRS in connection with our purchase of tax credits. We are currently expecting approximately $106.7 million in refunds to be issued by the IRS prior to the end of 2025. However, these refunds may be delayed as a result of the “shutdown”. Further, the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2" w:name="page33"/>
    <w:bookmarkEnd w:id="32"/>
    <w:p>
      <w:pPr>
        <w:ind w:right="860"/>
        <w:spacing w:after="0" w:line="282" w:lineRule="auto"/>
        <w:rPr>
          <w:sz w:val="20"/>
          <w:szCs w:val="20"/>
          <w:color w:val="auto"/>
        </w:rPr>
      </w:pPr>
      <w:r>
        <w:rPr>
          <w:rFonts w:ascii="Times New Roman" w:cs="Times New Roman" w:eastAsia="Times New Roman" w:hAnsi="Times New Roman"/>
          <w:sz w:val="18"/>
          <w:szCs w:val="18"/>
          <w:color w:val="auto"/>
        </w:rPr>
        <w:t>continued development of our therapeutic candidates often requires interaction with the FDA. Depending on the ultimate length or extent of any “government shutdown”, our research and development efforts may also be delayed.</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table below summarizes the results of our continuing operations for each of the periods presented. For a financial overview relating to our results of operations, including general descriptions of the make-up of material line items of our statement of operation data, see “</w:t>
      </w:r>
      <w:r>
        <w:rPr>
          <w:rFonts w:ascii="Times New Roman" w:cs="Times New Roman" w:eastAsia="Times New Roman" w:hAnsi="Times New Roman"/>
          <w:sz w:val="18"/>
          <w:szCs w:val="18"/>
          <w:i w:val="1"/>
          <w:iCs w:val="1"/>
          <w:color w:val="auto"/>
        </w:rPr>
        <w:t>Item 7.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 of the 2024 Annual Report.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9"/>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0"/>
                <w:szCs w:val="10"/>
                <w:color w:val="auto"/>
              </w:rPr>
            </w:pPr>
          </w:p>
        </w:tc>
        <w:tc>
          <w:tcPr>
            <w:tcW w:w="9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4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220" w:type="dxa"/>
            <w:vAlign w:val="bottom"/>
            <w:vMerge w:val="restart"/>
          </w:tcPr>
          <w:p>
            <w:pPr>
              <w:spacing w:after="0"/>
              <w:rPr>
                <w:sz w:val="10"/>
                <w:szCs w:val="10"/>
                <w:color w:val="auto"/>
              </w:rPr>
            </w:pPr>
          </w:p>
        </w:tc>
        <w:tc>
          <w:tcPr>
            <w:tcW w:w="540" w:type="dxa"/>
            <w:vAlign w:val="bottom"/>
          </w:tcPr>
          <w:p>
            <w:pPr>
              <w:jc w:val="right"/>
              <w:ind w:right="15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2260" w:type="dxa"/>
            <w:vAlign w:val="bottom"/>
            <w:gridSpan w:val="5"/>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thousands, except percentages)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 Data</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84,069</w:t>
            </w:r>
          </w:p>
        </w:tc>
        <w:tc>
          <w:tcPr>
            <w:tcW w:w="8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71,743</w:t>
            </w:r>
          </w:p>
        </w:tc>
        <w:tc>
          <w:tcPr>
            <w:tcW w:w="24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12,326</w:t>
            </w: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239,335</w:t>
            </w:r>
          </w:p>
        </w:tc>
        <w:tc>
          <w:tcPr>
            <w:tcW w:w="16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207,256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32,079</w:t>
            </w: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48,557</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44,972</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141,042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131,890</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2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75,366</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22,927</w:t>
            </w: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Selling and marketing</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32,393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2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43,850</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133,149</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20,002</w:t>
            </w: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9"/>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(15,350)</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(17,079)</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(54,858)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(57,783)</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2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(216)</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23,181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8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Impairment loss</w:t>
            </w:r>
          </w:p>
        </w:tc>
        <w:tc>
          <w:tcPr>
            <w:tcW w:w="1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(10,073)</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(9,926)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(10,073)</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(549)</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(1,453)</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(640)%</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(18,532)</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(43,911)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(3,838)</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(2,770)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(6,281)</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2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1"/>
        </w:trPr>
        <w:tc>
          <w:tcPr>
            <w:tcW w:w="282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Net loss from consolidated</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900" w:type="dxa"/>
            <w:vAlign w:val="bottom"/>
            <w:tcBorders>
              <w:top w:val="single" w:sz="8" w:color="CFF0FC"/>
            </w:tcBorders>
          </w:tcPr>
          <w:p>
            <w:pPr>
              <w:spacing w:after="0"/>
              <w:rPr>
                <w:sz w:val="16"/>
                <w:szCs w:val="16"/>
                <w:color w:val="auto"/>
              </w:rPr>
            </w:pPr>
          </w:p>
        </w:tc>
        <w:tc>
          <w:tcPr>
            <w:tcW w:w="34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540" w:type="dxa"/>
            <w:vAlign w:val="bottom"/>
            <w:tcBorders>
              <w:top w:val="single" w:sz="8" w:color="CFF0FC"/>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(6,826)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(14,694)</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2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(37,981)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(37,630)</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28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w:t>
            </w:r>
          </w:p>
        </w:tc>
        <w:tc>
          <w:tcPr>
            <w:tcW w:w="180" w:type="dxa"/>
            <w:vAlign w:val="bottom"/>
            <w:shd w:val="clear" w:color="auto" w:fill="CFF0FC"/>
          </w:tcPr>
          <w:p>
            <w:pPr>
              <w:spacing w:after="0"/>
              <w:rPr>
                <w:sz w:val="17"/>
                <w:szCs w:val="17"/>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374%</w:t>
            </w: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(6,608)</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(14,648)</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(37,095)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(36,820)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-3874135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-3874135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-3874135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-3874135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-3874135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-3874135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-3034030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-3034030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-3034030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-3034030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-3034030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-3034030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-1910715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-1910715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-1910715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-1910715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-1910715</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-1910715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-1628140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-1628140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-1628140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-1628140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-1628140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-1628140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-1079500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-1079500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-1079500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-1079500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-1079500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-1079500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0"/>
                <w:szCs w:val="10"/>
                <w:color w:val="auto"/>
              </w:rPr>
            </w:pPr>
          </w:p>
        </w:tc>
        <w:tc>
          <w:tcPr>
            <w:tcW w:w="9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vMerge w:val="restart"/>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0"/>
                <w:szCs w:val="10"/>
                <w:color w:val="auto"/>
              </w:rPr>
            </w:pPr>
          </w:p>
        </w:tc>
        <w:tc>
          <w:tcPr>
            <w:tcW w:w="540" w:type="dxa"/>
            <w:vAlign w:val="bottom"/>
          </w:tcPr>
          <w:p>
            <w:pPr>
              <w:jc w:val="right"/>
              <w:ind w:right="15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80" w:type="dxa"/>
            <w:vAlign w:val="bottom"/>
            <w:gridSpan w:val="5"/>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from laboratory services</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Precision diagnostics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50,734</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43,582</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142,123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124,172</w:t>
            </w: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17,951</w:t>
            </w: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Anatomic pathology</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70,766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8,639</w:t>
            </w:r>
          </w:p>
        </w:tc>
        <w:tc>
          <w:tcPr>
            <w:tcW w:w="2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BioPharma services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COVID-19</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(1,981)</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9"/>
        </w:trPr>
        <w:tc>
          <w:tcPr>
            <w:tcW w:w="2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laboratory services</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83,931</w:t>
            </w: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71,743</w:t>
            </w: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220" w:type="dxa"/>
            <w:vAlign w:val="bottom"/>
            <w:tcBorders>
              <w:top w:val="single" w:sz="8" w:color="CFF0FC"/>
            </w:tcBorders>
          </w:tcPr>
          <w:p>
            <w:pPr>
              <w:spacing w:after="0"/>
              <w:rPr>
                <w:sz w:val="18"/>
                <w:szCs w:val="18"/>
                <w:color w:val="auto"/>
              </w:rPr>
            </w:pPr>
          </w:p>
        </w:tc>
        <w:tc>
          <w:tcPr>
            <w:tcW w:w="120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239,197</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207,256</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31,941</w:t>
            </w:r>
          </w:p>
        </w:tc>
        <w:tc>
          <w:tcPr>
            <w:tcW w:w="220" w:type="dxa"/>
            <w:vAlign w:val="bottom"/>
            <w:tcBorders>
              <w:top w:val="single" w:sz="8" w:color="CFF0FC"/>
            </w:tcBorders>
          </w:tcPr>
          <w:p>
            <w:pPr>
              <w:spacing w:after="0"/>
              <w:rPr>
                <w:sz w:val="18"/>
                <w:szCs w:val="18"/>
                <w:color w:val="auto"/>
              </w:rPr>
            </w:pPr>
          </w:p>
        </w:tc>
        <w:tc>
          <w:tcPr>
            <w:tcW w:w="76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4"/>
        </w:trPr>
        <w:tc>
          <w:tcPr>
            <w:tcW w:w="282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Revenue from therapeutic</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therapeutic development</w:t>
            </w: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84,069</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71,743</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12,326</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239,335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207,256</w:t>
            </w: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32,079</w:t>
            </w: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not meaningful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-979170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-979170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-979170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-979170</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-979170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-979170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-276225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-276225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-276225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-276225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-276225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-276225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Revenue increased by $12.3 million, or 17%, from $71.7 million in the three months ended September 30, 2024, to $84.1 million in the three months ended September 30, 2025. The increase in revenue between periods was driven by increases of $7.2 million in precision diagnostics, $1.8 million in anatomic pathology, and $3.3 million in BioPharma services.</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Revenue increased by $32.1 million, or 16%, from $207.3 million in the nine months ended September 30, 2024, to $239.3 million in the nine months ended September 30, 2025. The increase in revenue between periods was driven by increases of $18.0 million in precision diagnostics, $8.6 million in anatomic pathology, and $7.3 million in BioPharma services, partially offset by a decrease of $2.0 million in COVID-19 testing.</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increase in precision diagnostics revenue was driven by growth in our reproductive health services and continued strength in legacy diagnostic offerings. Anatomic pathology services revenue increased primarily due to the absence of weather-related disruptions and client losses that had affected the prior year; in addition, the investment that we have made in digital pathology is starting to show return. BioPharma services revenue increased largely as a result of the timing of service projects, though this revenue is expected to remain variable due to the long sale cycles and fluctuations in project timing. Additionally, COVID-19 related revenue recognized in 2024 was due to variable consideration recognized for services completed in prior periods. We do not expect future material revenues from our COVID-19 testing services for the laboratory services.</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believe the factors that will affect our ability to grow these revenue streams are 1) the average price point we offer and the reimbursement rate from insurance payors; 2) the concentration of our payor base; 3) the competitive advantage we have due to our broad and flexible test menu, detection rate, and turnaround times; and 4) growth in size of an addressable market. Estimated collection amounts from insurance payors are subject to the complexities and ambiguities of billing, reimbursement regulations and claims processing, as well as considerations unique to Medicare and Medicaid programs. Because our proprietary technology platform allows for rapid scaling of a broad, flexible testing menu, we can offer our customers more scalable and affordable testing. Going forward, we will strive to maintain this competitive advantage and emphasize this in our marketing efforts to grow our testing revenue.</w:t>
      </w:r>
    </w:p>
    <w:p>
      <w:pPr>
        <w:spacing w:after="0" w:line="18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Our customer base includes insurance, institutional, and individual payors. In some periods, our revenue is concentrated in a smaller number of customers. For the laboratory services segment, aggregating customers that are under common control, one customer comprised $19.2 million, or 23%, of our revenue in the three months ended September 30, 2025, and contributed $54.4 million, or 23%, of total revenue in the nine months ended September 30, 2025. The same customer contributed $16.2 million, or 23%, of our revenue in the three months ended September 30, 2024, and contributed $45.7 million, or 22%, of total revenue in the nine months ended September 30, 2024. To reduce this revenue risk, we will focus on increasing the number of customers and thereby reducing the concentration.</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Revenue from the therapeutic development segment includes amounts recognized by ANP, a recently acquired entity, from technologies licensed to pharmaceutical and biotechnology companies, as well as CROs. In addition, ANP has entered into a manufacturing and supply agreement with a customer for specific COVID-19 testing kits, under which, ANP is entitled to participate in gross-margin sharing on the sale of those kits. The timing of the gross-margin sharing revenue is dependent on the customer’s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downstream sales of the kits. An insignificant amount of gross-margin sharing revenue was recognized for the three-months ended September 30, 2025.</w:t>
      </w:r>
    </w:p>
    <w:p>
      <w:pPr>
        <w:spacing w:after="0" w:line="22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Revenue from non-U.S. sources increased by $0.4 million, or 7%, from $6.0 million in the three months ended September 30, 2024, to $6.5 million in the three months ended September 30, 2025. Revenue from non-U.S. sources decreased by $0.5 million, or 3%, from $18.2 million in the nine months ended September 30, 2024, to $17.7 million in the nine months ended September 30, 2025. The decrease in the nine-month period was primarily due to a one-time licensing arrangement recognized in the prior period that did not recur in the current period. Additionally, the Company started to group revenue from Puerto Rico and the U.S. Virgin Islands as United States geographic revenue beginning in the third quarter of 2024. These revenues had historically been grouped as non-U.S.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4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8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80" w:type="dxa"/>
            <w:vAlign w:val="bottom"/>
            <w:gridSpan w:val="2"/>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0"/>
                <w:szCs w:val="10"/>
                <w:color w:val="auto"/>
              </w:rPr>
            </w:pPr>
          </w:p>
        </w:tc>
        <w:tc>
          <w:tcPr>
            <w:tcW w:w="60" w:type="dxa"/>
            <w:vAlign w:val="bottom"/>
            <w:vMerge w:val="restart"/>
          </w:tcPr>
          <w:p>
            <w:pPr>
              <w:spacing w:after="0"/>
              <w:rPr>
                <w:sz w:val="10"/>
                <w:szCs w:val="10"/>
                <w:color w:val="auto"/>
              </w:rPr>
            </w:pPr>
          </w:p>
        </w:tc>
        <w:tc>
          <w:tcPr>
            <w:tcW w:w="8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60" w:type="dxa"/>
            <w:vAlign w:val="bottom"/>
            <w:gridSpan w:val="2"/>
          </w:tcPr>
          <w:p>
            <w:pPr>
              <w:jc w:val="right"/>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7"/>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48,557</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44,972</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26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141,042</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131,890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2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revenue as a % of revenue</w:t>
            </w:r>
          </w:p>
        </w:tc>
        <w:tc>
          <w:tcPr>
            <w:tcW w:w="130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59%</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consolidated cost of revenue increased by $3.6 million, or 8%, from $45.0 million in the three months ended September 30, 2024, to $48.6 million in the three months ended September 30, 2025. The increase was primarily due to increases of $2.0 million in personnel expenses due to increased headcount, $0.6 million in consulting and outside labor costs, $0.3 million in reagent and supply costs, $0.3 million in software and software licensing, and $0.3 million in depreciation expenses.</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consolidated cost of revenue increased by $9.2 million, or 7%, from $131.9 million in the nine months ended September 30, 2024, to $141.0 million in the nine months ended September 30, 2025. The increase was primarily due to increases of $5.0 million in personnel costs due to increased headcount, $1.9 million in reagent and supply costs, $1.0 million in consulting and outside labor costs, $0.8 million in depreciation expenses, $0.6 million in software and software licensing, $0.5 million in office expenses, and $0.4 million in facility expenses, partially offset by a decrease of $1.1 million in shipping and handling expenses.</w:t>
      </w:r>
    </w:p>
    <w:p>
      <w:pPr>
        <w:spacing w:after="0" w:line="183"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cost of revenue for the therapeutic development segment, resulted from ANP, is insignificant for the three and nine months ended September 30, 2025.</w:t>
      </w:r>
    </w:p>
    <w:p>
      <w:pPr>
        <w:spacing w:after="0" w:line="162"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Our consolidated cost of revenues as a percentage of revenue decreased from 63% in the three months ended September 30, 2024, to 58% in the three months ended September 30, 2025. Our consolidated cost of revenues as a percentage of revenue decreased from 64% in the nine months ended September 30, 2024, to 59% in the nine months ended September 30, 2025.</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gross profit increased by $8.7 million, or 33%, from $26.8 million in the three months ended September 30, 2024, to $35.5 million in the three months ended September 30, 2025, and increased $22.9 million, or 30%, from $75.4 million in the nine months ended September 30, 2024, to $98.3 million in the nine months ended September 30, 2025. Our gross profit as a percentage of revenue, or gross margin, increased from 37% in the three months ended September 30, 2024, to 42% in the three months ended September 30, 2025, and 36% in the nine months ended September 30, 2024, to 41% in the nine months ended September 30, 2025. This was driven by the increased revenue, streamlined operations, and efficiency as a result of our investments in scaling and centralizing lab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9"/>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gridSpan w:val="2"/>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0"/>
                <w:szCs w:val="10"/>
                <w:color w:val="auto"/>
              </w:rPr>
            </w:pPr>
          </w:p>
        </w:tc>
        <w:tc>
          <w:tcPr>
            <w:tcW w:w="580" w:type="dxa"/>
            <w:vAlign w:val="bottom"/>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8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15,068</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39,735</w:t>
            </w: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-1079500</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-1079500</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-1079500</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-1079500</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-1079500</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-1079500</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i w:val="1"/>
          <w:iCs w:val="1"/>
          <w:color w:val="auto"/>
        </w:rPr>
        <w:t>Laboratory Services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2025, research and development expenses for our laboratory services segment remained largely in line with prior-year periods. This consistent spending supports advancing our core technology and expanding future testing services. Personnel costs, including bonuses and equity-based compensation, were the primary driver, totaling approximately $6.6 million and $6.3 million in the three months ended September 30, 2025, and 2024, respectively, and $19.7 million and $19.3 million in the nine months ended September 30, 2025, and 2024, respectively. All other expense categories including reagent and supply costs, facilities, depreciation, software and software licensing, are not individually significant and have remained stable. We expect research and development expenses for our laboratory services segment to continue to remain consistent for the remainder of 2025.</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Therapeutic Development</w:t>
      </w:r>
    </w:p>
    <w:p>
      <w:pPr>
        <w:spacing w:after="0" w:line="119"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For the therapeutic development segment, the research and development expenses in the three months ended September 30, 2025, totaled $6.8 million and consisted of $3.7 million in contract research organizations, or CRO, costs, and $2.8 million in personnel costs, including equity-based compensation. In the three months ended September 30, 2024, these expenses totaled $4.8 million and comprised $2.3 million in CRO costs and $2.2 million of personnel costs, including equity-based compensation. All other expense categories including facilities and depreciation are not individually significant and have remained stable.</w:t>
      </w:r>
    </w:p>
    <w:p>
      <w:pPr>
        <w:spacing w:after="0" w:line="75"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7"/>
          <w:szCs w:val="17"/>
          <w:color w:val="auto"/>
        </w:rPr>
        <w:t>For the therapeutic development segment, the research and development expenses in the nine months ended September 30, 2025, totaled $18.1 million and consisted of $9.3 million in CRO costs and $7.8 million in personnel costs, including equity-based compensation. In the nine months ended September 30, 2024, these expenses totaled $15.1 million and comprised $8.0 million in CRO costs and $6.4 million of personnel expenses, including equity-based compensation. All other expense categories including facilities and depreciation are not individually significant and have remained stable.</w:t>
      </w:r>
    </w:p>
    <w:p>
      <w:pPr>
        <w:spacing w:after="0" w:line="164"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therapeutic development segment increased by $2.0 million, or 41%, from $4.8 million in the three months ended September 30, 2024, to $6.8 million for the three months ended September 30, 2025. The increase was driven primarily by an increase in CRO costs of $1.3 million and $0.6 million in personnel cost including equity-based compensation.</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therapeutic development segment increased by $3.1 million, or 20%, from $15.1 million in the nine months ended September 30, 2024, to $18.1 million in the nine months ended September 30, 2025. The increase was primarily driven by increases of $1.4 million in personnel costs, including equity-based compensation expense, and $1.4 million in CRO costs.</w:t>
      </w:r>
    </w:p>
    <w:p>
      <w:pPr>
        <w:spacing w:after="0" w:line="17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overall increase was attributed to the advancement and continuation of the clinical study of FID-007, along with FID-022. In the three and nine months ended September 30, 2025, approximately $0.9 million and $2.6 million, respectively, was incurred for the preclinical and clinical development of FID-022, whereas related costs in the three and nine months ended September 30, 2024, were minimal. Expenses for our therapeutic development segment will be influenced by our ability to progress our therapeutic candidates through development with the Food and Drug Administration, or the FDA, the timing of which can be uncertain and delayed due to a variety of factors beyond our control, including recently announced staff reductions at the FDA and the effects or residual effects of the current U.S. “government shutdown,” which may affect the FDA’s ability to provide any required approvals or review in a timely manner or in the timelines expected.</w:t>
      </w:r>
    </w:p>
    <w:p>
      <w:pPr>
        <w:spacing w:after="0" w:line="18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Looking ahead, we expect research and development expenses to continue increasing as clinical trials progress for FID-007, FID-022, and other preclinical studies.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Marketing</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consolidated selling and marketing expenses increased by $2.5 million, or 28%, from $9.1 million in the three months ended September 30, 2024, to $11.6 million in the three months ended September 30, 2025. The increase in consolidated selling and marketing expenses was due to increases of $1.0 million in personnel costs due to increased headcount, $0.8 million in software and software licensing, and $0.4 million in advertising and marketing expenses.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consolidated selling and marketing expenses increased by $5.7 million, or 21%, from $26.7 million in the nine months ended September 30, 2024, to $32.4 million in the nine months ended September 30, 2025. The increase in consolidated selling and marketing expenses was due to increases of $2.3 million in personnel costs due to increased headcount, $1.7 million in advertising and marketing expenses, and $1.0 million in software and software licensing.</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consolidated general and administrative expenses increased by $2.4 million, or 11%, from $21.0 million in the three months ended September 30, 2024, to $23.3 million in the three months ended September 30, 2025. The increase in consolidated general and administrative expenses was due to increases of $2.7 million in legal expenses as there was a reversal of overly accrued legal liability in the prior year related to the settlement in principle with the Office of Inspector General of the Department of Health and Human Services, $0.3 million in consulting and outside labor, partially offset by a decrease of $0.8 million in personnel expenses.</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consolidated general and administrative expenses increased by $11.3 million, or 18%, from $63.8 million in the nine months ended September 30, 2024, to $75.0 million in the nine months ended September 30, 2025. The increase in consolidated general and administrative expenses was due to increases of $9.0 million in provision for credit losses, $2.2 million in legal fees as discussed above, $1.0 million in consulting and outside labor expenses, $0.9 million in personnel costs, $0.6 million in office expenses, $0.6 million in insurance expenses, partially offset by a $2.3 million reduction in facility expenses and $1.4 million in depreciation expenses.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 Assets</w:t>
      </w:r>
    </w:p>
    <w:p>
      <w:pPr>
        <w:spacing w:after="0" w:line="121"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Our consolidated amortization of intangible assets represents amortization expenses on the intangible assets that arose from the business combinations in 2025, 2022 and 2021, and a patent purchased in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Other income (expense) is primarily comprised of interest income, which was $7.9 million and $24.0 million in the three and nine months ended September 30, 2025, respectively, and $8.1 million and $23.2 million in the three and nine months ended September 30, 2024, respectively. This interest income included interest earned on marketable securities and realized gain or loss on sale of marketable securities. The change in interest income for the nine-month period was primarily due to net loss realized from sale of marketable securities in prior year. Other expenses primarily consisted of a one-time, non-cash impairment of a prior investment as discussed further in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of the financial statements included in this quarterly report.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from Income Taxes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Benefit from income taxes was $0.7 million and $2.8 million for the three and nine months ended September 30, 2025, respectively, compared with $3.8 million and $6.3 million for the three and nine months ended September 30, 2024, respectively. The Company’s effective tax rate was 9% and 7% for the three and nine months ended September 30, 2025, respectively, compared to 21% and 14% for the three and nine months ended September 30, 2024, respectively. The change in the effective tax rate compared to prior period is due to the valuation allowance in the current period that precludes us from recognizing the benefit from our net operating losses.</w:t>
      </w:r>
    </w:p>
    <w:p>
      <w:pPr>
        <w:spacing w:after="0" w:line="183"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or OBBBA, was signed into law, making permanent certain provisions of the Tax Cuts and Jobs Act, including 100% bonus depreciation and domestic research cost expensing.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has recognized the effects of the new tax law in the period of enactment. The legislation has multiple effective dates, with certain provisions effective in 2025 and others implemented through 2027. The legislation does not have a material impact on our consolidated financial statements for the quarter ended September 30, 2025. The Company is still evaluating the potential impact of the changes in the OBBBA on future periods.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loss attributable to noncontrolling interest represents net loss attributable to minority shareholders from entities not wholly owned.</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Sources of Cash</w:t>
      </w:r>
    </w:p>
    <w:p>
      <w:pPr>
        <w:spacing w:after="0" w:line="121"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We had $787.7 million and $828.6 million in cash, cash equivalents, restricted cash, and marketable securities as of September 30, 2025, and December 31, 2024, respectively. Our marketable securities primarily consist of U.S. government and U.S. agency debt securities, U.S. treasury bills, corporate bonds, municipal bonds, and Yankee debt securities as of September 30, 2025, and December 31, 2024.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7" w:name="page38"/>
    <w:bookmarkEnd w:id="37"/>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main uses of cash are for capital expenditures, primarily in buildings, building improvements, and medical laboratory equipment, as well as for stock repurchases, supporting our operations and research and development efforts, and to fund strategic acquisitions as we continue to invest in and seek to grow our business. Cash used to cover operating expenses is impacted by the timing of our expense payments, as reflected in the changes in our outstanding accounts payable and accrued expenses.</w:t>
      </w:r>
    </w:p>
    <w:p>
      <w:pPr>
        <w:spacing w:after="0" w:line="1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expect our existing cash, cash equivalents, restricted cash, and short-term marketable securities will continue to be sufficient to meet our anticipated cash requirements for at least the next 12 months. Cash provided by operations has significantly contributed to our ability to meet our liquidity needs, including paying for capital expenditures, however, cash provided by our operations has in the past experienced fluctuations from period to period, which we expect may continue in the future. These fluctuations can occur because of a variety of factors, including, among others, factors relating to the demand for our tests, the amount and timing of sales, the prices we charge for our tests due to changes in product mix, customer mix, general price degradation for tests, or other factors, the rate and timing of our billing and collections cycles and the timing and amount of our commitments and other payments. We intend to improve our profitability by improving margins and expanding in new markets for our tests, but these efforts are subject to risks, including those described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of the 2024 Annual Report, and may not be successful. Moreover, even if our liquidity expectations are correct, we may still seek to raise additional capital through securities offerings, credit facilities or other debt financings, asset sales or collaborations or licensing arrangements.</w:t>
      </w:r>
    </w:p>
    <w:p>
      <w:pPr>
        <w:spacing w:after="0" w:line="19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Moreover, we may incur substantial costs in pursuing future capital, including investment banking, legal and accounting fees, printing and distribution expenses and other similar costs. Additional funding may not be available to us when needed, on acceptable terms or at all.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from continuing operations for each of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5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(23,495)</w:t>
            </w: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(3,958)</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100,217</w:t>
            </w:r>
          </w:p>
        </w:tc>
        <w:tc>
          <w:tcPr>
            <w:tcW w:w="18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(30,897)</w:t>
            </w: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(14,255)</w:t>
            </w: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(4,520)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2025, our operations used $23.5 million of cash, as compared to $4.0 million used in the nine months ended September 30, 2024. The increase in cash used in operating activities in the nine months ended September 30, 2025, as compared with the corresponding period in 2024, was primarily due to the purchase of Investment Tax Credits for $31.7 million in cash in 2025, partially offset by timing of cash receipts from customers and cash payments for operating expenses. We expect to incur more operating expenses and use more cash in operating activities in the coming quarters as a result of our planned and ongoing clinical trials for FID-007 and FID-022, and as we continue to invest resources to grow our laboratory services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cash provided by or used in investing activities is impacted by capital expenditures for operation needs and timing of payments, timing of maturities of marketable securities, and discretionary business combinations and other investments.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Cash provided by investing activities in the nine months ended September 30, 2025 was $100.2 million, which primarily represented $132.9 million in maturities of marketable securities and $3.8 million from the acquisition of ANP, net of cash received, partially offset by $17.6 million related to the purchase of fixed assets consisting mainly of building improvements, medical laboratory equipment, and computer hardware and $18.9 million from the purchase of marketable securities.</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in the nine months ended September 30, 2024, was $30.9 million, which primarily represented $374.2 million in purchase of marketable securities and $36.5 million related to the purchase of fixed assets, including real estate, partially offset by $278.0 million related to maturities of marketable securities and $101.5 million related to proceeds from the sale of marketable securities.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the nine months ended September 30, 2025, was $14.3 million, which primarily related to $10.9 million used in the repurchase of common stock and $2.6 million used in common stock withholding for employee tax obligations.</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in the nine months ended September 30, 2024, was $4.5 million, which primarily related to $2.7 million used in common stock withholding for employee tax obligations, $1.2 million used in the repayment of notes payable, and $0.2 million for repurchase of common stock.</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need to draw on any credit facilities due to our strong cash position as of September 30,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March 2022, our Board of Directors authorized a $250.0 million stock repurchase program. The stock repurchase program has no expiration from the date of authorization. Under the stock repurchase program, the Company may repurchase shares from time to time in the open market or in privately negotiated transactions.</w:t>
      </w:r>
    </w:p>
    <w:p>
      <w:pPr>
        <w:spacing w:after="0" w:line="176" w:lineRule="exact"/>
        <w:rPr>
          <w:sz w:val="20"/>
          <w:szCs w:val="20"/>
          <w:color w:val="auto"/>
        </w:rPr>
      </w:pPr>
    </w:p>
    <w:p>
      <w:pPr>
        <w:ind w:right="180" w:firstLine="494"/>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2025, we repurchased zero and 0.6 million shares of our common stock, respectively, at an aggregate cost of zero and $10.9 million, respectively, under the stock repurchase program. During the three and nine months ended September 30, 2024, we repurchased zero and 10,000 shares of our common stock, respectively, at an aggregate cost of zero and $0.2 million, respectively, under the stock repurchase program. As of September 30, 2025, a total of approximately $139.6 million remained available for future repurchases of our common stock under our stock repurchase program.</w:t>
      </w:r>
    </w:p>
    <w:p>
      <w:pPr>
        <w:spacing w:after="0" w:line="28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or estimates from the information provided in Part II, “</w:t>
      </w:r>
      <w:r>
        <w:rPr>
          <w:rFonts w:ascii="Times New Roman" w:cs="Times New Roman" w:eastAsia="Times New Roman" w:hAnsi="Times New Roman"/>
          <w:sz w:val="18"/>
          <w:szCs w:val="18"/>
          <w:i w:val="1"/>
          <w:iCs w:val="1"/>
          <w:color w:val="auto"/>
        </w:rPr>
        <w:t>Item 7.</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included in the 2024 Annual Report.</w:t>
      </w:r>
    </w:p>
    <w:p>
      <w:pPr>
        <w:spacing w:after="0" w:line="31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1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 included in this report for information about recent accounting pronouncements.</w:t>
      </w:r>
    </w:p>
    <w:p>
      <w:pPr>
        <w:spacing w:after="0" w:line="26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did not have, and do not currently have, any off-balance sheet arrangements during the periods presented, as defined in the rules and regulations of the SEC, that have or are reasonably likely to have a current or future effect on our financial condition, changes in financial condition, revenue or expenses, results of operations, liquidity, capital expenditures or capital resources that is material to investors.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9"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w:t>
      </w:r>
      <w:r>
        <w:rPr>
          <w:rFonts w:ascii="Times New Roman" w:cs="Times New Roman" w:eastAsia="Times New Roman" w:hAnsi="Times New Roman"/>
          <w:sz w:val="18"/>
          <w:szCs w:val="18"/>
          <w:i w:val="1"/>
          <w:iCs w:val="1"/>
          <w:color w:val="auto"/>
        </w:rPr>
        <w:t>Item 7A. Quantitative and Qualitative Disclosures About Market Risk,</w:t>
      </w:r>
      <w:r>
        <w:rPr>
          <w:rFonts w:ascii="Times New Roman" w:cs="Times New Roman" w:eastAsia="Times New Roman" w:hAnsi="Times New Roman"/>
          <w:sz w:val="18"/>
          <w:szCs w:val="18"/>
          <w:color w:val="auto"/>
        </w:rPr>
        <w:t>” in the 2024 Annual Report. There were no material changes during the nine months ended September 30, 2025.</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As required by Rule 13a-15(b) under the Exchange Act, our management, with the participation of our principal executive officer and principal financial officer, conducted an evaluation of the effectiveness of our disclosure controls and procedures as of September 30, 2025. Based on this evaluation, our principal executive officer and principal financial officer concluded that our disclosure controls and procedures were effective as of September 30, 2025.</w:t>
      </w:r>
    </w:p>
    <w:p>
      <w:pPr>
        <w:spacing w:after="0" w:line="2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(as required by Rule 13a-15(b) under the Exchange Act) over financial reporting during the three months ended September 30, 2025, that have materially affected or are reasonably likely to materially affect our internal control over financial reporting.</w:t>
      </w:r>
    </w:p>
    <w:p>
      <w:pPr>
        <w:spacing w:after="0" w:line="2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Inherent Limitations on Disclosure Controls and Procedures and Internal Control over Financial Reporting</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right="3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From time to time, we may be involved in legal proceedings arising in the ordinary course of our business. As disclosed in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 we are engaged in certain legal investigations and audits,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set forth in Note 8 relating to these certain legal matters is incorporated herein by reference.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outcome of these matters is inherently uncertain, and there can be no assurance that favorable outcomes will be obtained.</w:t>
      </w:r>
    </w:p>
    <w:p>
      <w:pPr>
        <w:spacing w:after="0" w:line="225"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Regardless of outcome, litigation can have an adverse impact on us due to defense and settlement costs, diversion of management resources, negative publicity, and reputational harm, among other factors.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300" w:firstLine="509"/>
        <w:spacing w:after="0" w:line="284" w:lineRule="auto"/>
        <w:rPr>
          <w:sz w:val="20"/>
          <w:szCs w:val="20"/>
          <w:color w:val="auto"/>
        </w:rPr>
      </w:pPr>
      <w:r>
        <w:rPr>
          <w:rFonts w:ascii="Times New Roman" w:cs="Times New Roman" w:eastAsia="Times New Roman" w:hAnsi="Times New Roman"/>
          <w:sz w:val="18"/>
          <w:szCs w:val="18"/>
          <w:color w:val="auto"/>
        </w:rPr>
        <w:t>There have been no material changes to the risk factors set forth in Part I,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of the 2024 Annual Report and as set forth in Part II,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of our Form 10-Q for the quarter ended March 31, 2025, filed with the SEC on May 2, 2025.</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As discussed in Note 15.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 the condensed consolidated financial statements, on July 9, 2025, we completed the acquisition of 100% of the issued and outstanding equity of ANP which includes a contingent consideration component that requires the Company to issue up to 292,682 shares of the Company’s common stock to the sellers of ANP upon the achievement of certain minimum levels of cash receipts in the two-year period following the transaction. The shares of common stock were offered and will be issued in reliance upon the exemption from registration provided by Section 4(a)(2) of the Securities Act of 1933, as amended, in a privately negotiated transaction not involving any public offerings or solicitations. The disclosures set forth in Note 15.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to the condensed consolidated financial statements are hereby incorporated by reference.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To date, we have used $267.9 million of the net proceeds from sales of our common stock to fund the Company’s operations and business combinations. All other net proceeds from sales of our common stock are invested in investment-grade and interest-bearing securities, such as U.S. government and U.S. agency debt securities, corporate bonds, and municipal bonds. There has been no material change in the planned use of proceeds from the sales of our common stock from that described in the applicable prospectus.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on Share Repurchases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March 2022, our Board of Directors authorized a $250.0 million stock repurchase program. The stock repurchase program has no expiration from the date of authorization. Under the stock repurchase program, the Company may repurchase shares from time to time in the open market or in privately negotiated transactions. Purchases are made in the open market at prevailing market prices and executed pursuant to trading plans we adopted pursuant to Rule 10b5-1 under the Exchange Act.</w:t>
      </w:r>
    </w:p>
    <w:p>
      <w:pPr>
        <w:spacing w:after="0" w:line="18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There were no repurchases of shares pursuant to the stock repurchase program during the three months ended September 30, 2025. As of September 30, 2025, a total of approximately $139.6 million remained available for future repurchases of its common stock under the stock repurchase program.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none of our directors or officers adopted or terminated “Rule 10b5-1 trading arrangement” as defined in Item 408 of Regulation S-K.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6 is set forth on the Exhibit Index immediately preceding the signature page of this report and is incorporated herein by reference.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1" w:name="page42"/>
    <w:bookmarkEnd w:id="4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INDEX</w:t>
      </w:r>
    </w:p>
    <w:tbl>
      <w:tblPr>
        <w:tblLayout w:type="fixed"/>
        <w:tblInd w:w="0" w:type="dxa"/>
        <w:tblCellMar>
          <w:top w:w="0" w:type="dxa"/>
          <w:left w:w="0" w:type="dxa"/>
          <w:bottom w:w="0" w:type="dxa"/>
          <w:right w:w="0" w:type="dxa"/>
        </w:tblCellMar>
      </w:tblPr>
      <w:tr>
        <w:trPr>
          <w:trHeight w:val="155"/>
        </w:trPr>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60" w:type="dxa"/>
            <w:vAlign w:val="bottom"/>
            <w:gridSpan w:val="8"/>
            <w:vMerge w:val="restart"/>
          </w:tcPr>
          <w:p>
            <w:pPr>
              <w:ind w:left="264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with this</w:t>
            </w:r>
          </w:p>
        </w:tc>
        <w:tc>
          <w:tcPr>
            <w:tcW w:w="60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4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49"/>
        </w:trPr>
        <w:tc>
          <w:tcPr>
            <w:tcW w:w="960" w:type="dxa"/>
            <w:vAlign w:val="bottom"/>
            <w:vMerge w:val="continue"/>
          </w:tcPr>
          <w:p>
            <w:pPr>
              <w:spacing w:after="0"/>
              <w:rPr>
                <w:sz w:val="12"/>
                <w:szCs w:val="12"/>
                <w:color w:val="auto"/>
              </w:rPr>
            </w:pPr>
          </w:p>
        </w:tc>
        <w:tc>
          <w:tcPr>
            <w:tcW w:w="6060" w:type="dxa"/>
            <w:vAlign w:val="bottom"/>
            <w:gridSpan w:val="8"/>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Form No.</w:t>
            </w:r>
          </w:p>
        </w:tc>
        <w:tc>
          <w:tcPr>
            <w:tcW w:w="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Date Filed</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 10-Q</w:t>
            </w: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6060" w:type="dxa"/>
            <w:vAlign w:val="bottom"/>
            <w:gridSpan w:val="8"/>
          </w:tcPr>
          <w:p>
            <w:pPr>
              <w:spacing w:after="0"/>
              <w:rPr>
                <w:rFonts w:ascii="Times New Roman" w:cs="Times New Roman" w:eastAsia="Times New Roman" w:hAnsi="Times New Roman"/>
                <w:sz w:val="14"/>
                <w:szCs w:val="14"/>
                <w:color w:val="0000FF"/>
              </w:rPr>
            </w:pPr>
            <w:hyperlink r:id="rId454">
              <w:r>
                <w:rPr>
                  <w:rFonts w:ascii="Times New Roman" w:cs="Times New Roman" w:eastAsia="Times New Roman" w:hAnsi="Times New Roman"/>
                  <w:sz w:val="14"/>
                  <w:szCs w:val="14"/>
                  <w:color w:val="0000FF"/>
                </w:rPr>
                <w:t>Certificate of Incorporation of the registrant, as amended.</w:t>
              </w:r>
            </w:hyperlink>
          </w:p>
        </w:tc>
        <w:tc>
          <w:tcPr>
            <w:tcW w:w="1260" w:type="dxa"/>
            <w:vAlign w:val="bottom"/>
          </w:tcPr>
          <w:p>
            <w:pPr>
              <w:spacing w:after="0"/>
              <w:rPr>
                <w:sz w:val="23"/>
                <w:szCs w:val="23"/>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7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6060" w:type="dxa"/>
            <w:vAlign w:val="bottom"/>
            <w:gridSpan w:val="8"/>
          </w:tcPr>
          <w:p>
            <w:pPr>
              <w:spacing w:after="0"/>
              <w:rPr>
                <w:rFonts w:ascii="Times New Roman" w:cs="Times New Roman" w:eastAsia="Times New Roman" w:hAnsi="Times New Roman"/>
                <w:sz w:val="14"/>
                <w:szCs w:val="14"/>
                <w:color w:val="0000FF"/>
              </w:rPr>
            </w:pPr>
            <w:hyperlink r:id="rId455">
              <w:r>
                <w:rPr>
                  <w:rFonts w:ascii="Times New Roman" w:cs="Times New Roman" w:eastAsia="Times New Roman" w:hAnsi="Times New Roman"/>
                  <w:sz w:val="14"/>
                  <w:szCs w:val="14"/>
                  <w:color w:val="0000FF"/>
                </w:rPr>
                <w:t>Certificate of Amendment to Certificate of Incorporation of the registrant, dated August 2, 2016.</w:t>
              </w:r>
            </w:hyperlink>
          </w:p>
        </w:tc>
        <w:tc>
          <w:tcPr>
            <w:tcW w:w="126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2780" w:type="dxa"/>
            <w:vAlign w:val="bottom"/>
            <w:tcBorders>
              <w:right w:val="single" w:sz="8" w:color="0000EE"/>
            </w:tcBorders>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6060" w:type="dxa"/>
            <w:vAlign w:val="bottom"/>
            <w:gridSpan w:val="8"/>
          </w:tcPr>
          <w:p>
            <w:pPr>
              <w:spacing w:after="0"/>
              <w:rPr>
                <w:rFonts w:ascii="Times New Roman" w:cs="Times New Roman" w:eastAsia="Times New Roman" w:hAnsi="Times New Roman"/>
                <w:sz w:val="14"/>
                <w:szCs w:val="14"/>
                <w:color w:val="0000FF"/>
              </w:rPr>
            </w:pPr>
            <w:hyperlink r:id="rId456">
              <w:r>
                <w:rPr>
                  <w:rFonts w:ascii="Times New Roman" w:cs="Times New Roman" w:eastAsia="Times New Roman" w:hAnsi="Times New Roman"/>
                  <w:sz w:val="14"/>
                  <w:szCs w:val="14"/>
                  <w:color w:val="0000FF"/>
                </w:rPr>
                <w:t>Certificate of Amendment to Certificate of Incorporation of the registrant, dated May 17, 2017.</w:t>
              </w:r>
            </w:hyperlink>
          </w:p>
        </w:tc>
        <w:tc>
          <w:tcPr>
            <w:tcW w:w="126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78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6060" w:type="dxa"/>
            <w:vAlign w:val="bottom"/>
            <w:gridSpan w:val="8"/>
          </w:tcPr>
          <w:p>
            <w:pPr>
              <w:spacing w:after="0"/>
              <w:rPr>
                <w:rFonts w:ascii="Times New Roman" w:cs="Times New Roman" w:eastAsia="Times New Roman" w:hAnsi="Times New Roman"/>
                <w:sz w:val="14"/>
                <w:szCs w:val="14"/>
                <w:color w:val="0000FF"/>
              </w:rPr>
            </w:pPr>
            <w:hyperlink r:id="rId457">
              <w:r>
                <w:rPr>
                  <w:rFonts w:ascii="Times New Roman" w:cs="Times New Roman" w:eastAsia="Times New Roman" w:hAnsi="Times New Roman"/>
                  <w:sz w:val="14"/>
                  <w:szCs w:val="14"/>
                  <w:color w:val="0000FF"/>
                </w:rPr>
                <w:t>Amended and Restated Bylaws of the registrant.</w:t>
              </w:r>
            </w:hyperlink>
          </w:p>
        </w:tc>
        <w:tc>
          <w:tcPr>
            <w:tcW w:w="126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8/4/2023</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78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 under the</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5600" w:type="dxa"/>
            <w:vAlign w:val="bottom"/>
            <w:tcBorders>
              <w:top w:val="single" w:sz="8" w:color="0000FF"/>
              <w:bottom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Securities Exchange Act of 1934, as adopted pursuant to Section 302 of the Sarbanes-Oxley Act</w:t>
            </w:r>
          </w:p>
        </w:tc>
        <w:tc>
          <w:tcPr>
            <w:tcW w:w="440" w:type="dxa"/>
            <w:vAlign w:val="bottom"/>
            <w:tcBorders>
              <w:bottom w:val="single" w:sz="8" w:color="0000FF"/>
            </w:tcBorders>
          </w:tcPr>
          <w:p>
            <w:pPr>
              <w:jc w:val="right"/>
              <w:spacing w:after="0" w:line="129" w:lineRule="exact"/>
              <w:rPr>
                <w:sz w:val="20"/>
                <w:szCs w:val="20"/>
                <w:color w:val="auto"/>
              </w:rPr>
            </w:pPr>
            <w:r>
              <w:rPr>
                <w:rFonts w:ascii="Times New Roman" w:cs="Times New Roman" w:eastAsia="Times New Roman" w:hAnsi="Times New Roman"/>
                <w:sz w:val="14"/>
                <w:szCs w:val="14"/>
                <w:color w:val="0000FF"/>
                <w:w w:val="89"/>
              </w:rPr>
              <w:t>of 2002.</w:t>
            </w:r>
          </w:p>
        </w:tc>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 under the</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5540" w:type="dxa"/>
            <w:vAlign w:val="bottom"/>
            <w:tcBorders>
              <w:top w:val="single" w:sz="8" w:color="0000FF"/>
              <w:bottom w:val="single" w:sz="8" w:color="0000FF"/>
            </w:tcBorders>
            <w:gridSpan w:val="5"/>
          </w:tcPr>
          <w:p>
            <w:pPr>
              <w:spacing w:after="0" w:line="129" w:lineRule="exact"/>
              <w:rPr>
                <w:sz w:val="20"/>
                <w:szCs w:val="20"/>
                <w:color w:val="auto"/>
              </w:rPr>
            </w:pPr>
            <w:r>
              <w:rPr>
                <w:rFonts w:ascii="Times New Roman" w:cs="Times New Roman" w:eastAsia="Times New Roman" w:hAnsi="Times New Roman"/>
                <w:sz w:val="14"/>
                <w:szCs w:val="14"/>
                <w:color w:val="0000FF"/>
              </w:rPr>
              <w:t>Securities Exchange Act of 1934, as adopted pursuant to Section 302 of the Sarbanes-Oxley Act</w:t>
            </w:r>
          </w:p>
        </w:tc>
        <w:tc>
          <w:tcPr>
            <w:tcW w:w="500" w:type="dxa"/>
            <w:vAlign w:val="bottom"/>
            <w:tcBorders>
              <w:bottom w:val="single" w:sz="8" w:color="0000FF"/>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0000FF"/>
              </w:rPr>
              <w:t>of 2002.</w:t>
            </w:r>
          </w:p>
        </w:tc>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and Principal Financial Officer pursuant to 18 U.S.C. Section</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4440" w:type="dxa"/>
            <w:vAlign w:val="bottom"/>
            <w:tcBorders>
              <w:top w:val="single" w:sz="8" w:color="0000FF"/>
              <w:bottom w:val="single" w:sz="8" w:color="0000FF"/>
            </w:tcBorders>
            <w:gridSpan w:val="3"/>
          </w:tcPr>
          <w:p>
            <w:pPr>
              <w:spacing w:after="0" w:line="129" w:lineRule="exact"/>
              <w:rPr>
                <w:sz w:val="20"/>
                <w:szCs w:val="20"/>
                <w:color w:val="auto"/>
              </w:rPr>
            </w:pPr>
            <w:r>
              <w:rPr>
                <w:rFonts w:ascii="Times New Roman" w:cs="Times New Roman" w:eastAsia="Times New Roman" w:hAnsi="Times New Roman"/>
                <w:sz w:val="14"/>
                <w:szCs w:val="14"/>
                <w:color w:val="0000FF"/>
              </w:rPr>
              <w:t>1350, as adopted pursuant to Section 906 of the Sarbanes-Oxley Act of 2002.</w:t>
            </w:r>
          </w:p>
        </w:tc>
        <w:tc>
          <w:tcPr>
            <w:tcW w:w="1620" w:type="dxa"/>
            <w:vAlign w:val="bottom"/>
            <w:tcBorders>
              <w:top w:val="single" w:sz="8" w:color="0000FF"/>
            </w:tcBorders>
            <w:gridSpan w:val="5"/>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960" w:type="dxa"/>
            <w:vAlign w:val="bottom"/>
          </w:tcPr>
          <w:p>
            <w:pPr>
              <w:spacing w:after="0"/>
              <w:rPr>
                <w:sz w:val="16"/>
                <w:szCs w:val="16"/>
                <w:color w:val="auto"/>
              </w:rPr>
            </w:pP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because XBRL tags are embedded within the Inline XBRL document.</w:t>
            </w:r>
          </w:p>
        </w:tc>
        <w:tc>
          <w:tcPr>
            <w:tcW w:w="1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00" w:hanging="292"/>
        <w:spacing w:after="0"/>
        <w:tabs>
          <w:tab w:leader="none" w:pos="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1912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300" w:hanging="292"/>
        <w:spacing w:after="0"/>
        <w:tabs>
          <w:tab w:leader="none" w:pos="3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6960" w:type="dxa"/>
            <w:vAlign w:val="bottom"/>
            <w:gridSpan w:val="2"/>
          </w:tcPr>
          <w:p>
            <w:pPr>
              <w:ind w:left="2520"/>
              <w:spacing w:after="0"/>
              <w:rPr>
                <w:sz w:val="20"/>
                <w:szCs w:val="20"/>
                <w:color w:val="auto"/>
              </w:rPr>
            </w:pPr>
            <w:r>
              <w:rPr>
                <w:rFonts w:ascii="Times New Roman" w:cs="Times New Roman" w:eastAsia="Times New Roman" w:hAnsi="Times New Roman"/>
                <w:sz w:val="18"/>
                <w:szCs w:val="18"/>
                <w:b w:val="1"/>
                <w:bCs w:val="1"/>
                <w:color w:val="auto"/>
              </w:rPr>
              <w:t>FULGENT GENETICS, INC.</w:t>
            </w:r>
          </w:p>
        </w:tc>
      </w:tr>
      <w:tr>
        <w:trPr>
          <w:trHeight w:val="432"/>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2025</w:t>
            </w:r>
          </w:p>
        </w:tc>
        <w:tc>
          <w:tcPr>
            <w:tcW w:w="28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ing</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sieh</w:t>
            </w:r>
          </w:p>
        </w:tc>
      </w:tr>
      <w:tr>
        <w:trPr>
          <w:trHeight w:val="191"/>
        </w:trPr>
        <w:tc>
          <w:tcPr>
            <w:tcW w:w="42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Ming Hsieh</w:t>
            </w:r>
          </w:p>
        </w:tc>
      </w:tr>
      <w:tr>
        <w:trPr>
          <w:trHeight w:val="214"/>
        </w:trPr>
        <w:tc>
          <w:tcPr>
            <w:tcW w:w="4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4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32"/>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2025</w:t>
            </w:r>
          </w:p>
        </w:tc>
        <w:tc>
          <w:tcPr>
            <w:tcW w:w="28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2"/>
                <w:szCs w:val="12"/>
                <w:color w:val="auto"/>
              </w:rPr>
              <w:t>aul</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im</w:t>
            </w:r>
          </w:p>
        </w:tc>
      </w:tr>
      <w:tr>
        <w:trPr>
          <w:trHeight w:val="191"/>
        </w:trPr>
        <w:tc>
          <w:tcPr>
            <w:tcW w:w="42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Paul Kim</w:t>
            </w:r>
          </w:p>
        </w:tc>
      </w:tr>
      <w:tr>
        <w:trPr>
          <w:trHeight w:val="234"/>
        </w:trPr>
        <w:tc>
          <w:tcPr>
            <w:tcW w:w="4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ind w:left="76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Ming Hsieh, certify that:</w:t>
      </w:r>
    </w:p>
    <w:p>
      <w:pPr>
        <w:spacing w:after="0" w:line="225"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2025 of Fulgent Genetics,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2025</w:t>
            </w:r>
          </w:p>
        </w:tc>
        <w:tc>
          <w:tcPr>
            <w:tcW w:w="28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Ming Hsieh</w:t>
            </w:r>
          </w:p>
        </w:tc>
      </w:tr>
      <w:tr>
        <w:trPr>
          <w:trHeight w:val="187"/>
        </w:trPr>
        <w:tc>
          <w:tcPr>
            <w:tcW w:w="42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Ming Hsieh</w:t>
            </w:r>
          </w:p>
        </w:tc>
      </w:tr>
      <w:tr>
        <w:trPr>
          <w:trHeight w:val="220"/>
        </w:trPr>
        <w:tc>
          <w:tcPr>
            <w:tcW w:w="42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4"/>
        </w:trPr>
        <w:tc>
          <w:tcPr>
            <w:tcW w:w="4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195"/>
        </w:trPr>
        <w:tc>
          <w:tcPr>
            <w:tcW w:w="42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Kim, certify that:</w:t>
      </w:r>
    </w:p>
    <w:p>
      <w:pPr>
        <w:spacing w:after="0" w:line="225"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2025 of Fulgent Genetics,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2025</w:t>
            </w:r>
          </w:p>
        </w:tc>
        <w:tc>
          <w:tcPr>
            <w:tcW w:w="28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Kim</w:t>
            </w:r>
          </w:p>
        </w:tc>
      </w:tr>
      <w:tr>
        <w:trPr>
          <w:trHeight w:val="187"/>
        </w:trPr>
        <w:tc>
          <w:tcPr>
            <w:tcW w:w="42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Paul Kim</w:t>
            </w:r>
          </w:p>
        </w:tc>
      </w:tr>
      <w:tr>
        <w:trPr>
          <w:trHeight w:val="220"/>
        </w:trPr>
        <w:tc>
          <w:tcPr>
            <w:tcW w:w="42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4"/>
        </w:trPr>
        <w:tc>
          <w:tcPr>
            <w:tcW w:w="4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195"/>
        </w:trPr>
        <w:tc>
          <w:tcPr>
            <w:tcW w:w="42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quarterly period ended September 30, 2025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spacing w:after="0" w:line="180" w:lineRule="exact"/>
        <w:rPr>
          <w:sz w:val="20"/>
          <w:szCs w:val="20"/>
          <w:color w:val="auto"/>
        </w:rPr>
      </w:pPr>
    </w:p>
    <w:p>
      <w:pPr>
        <w:ind w:left="900" w:hanging="359"/>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2025</w:t>
            </w:r>
          </w:p>
        </w:tc>
        <w:tc>
          <w:tcPr>
            <w:tcW w:w="22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Ming Hsieh</w:t>
            </w:r>
          </w:p>
        </w:tc>
      </w:tr>
      <w:tr>
        <w:trPr>
          <w:trHeight w:val="187"/>
        </w:trPr>
        <w:tc>
          <w:tcPr>
            <w:tcW w:w="3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Ming Hsieh</w:t>
            </w:r>
          </w:p>
        </w:tc>
      </w:tr>
      <w:tr>
        <w:trPr>
          <w:trHeight w:val="220"/>
        </w:trPr>
        <w:tc>
          <w:tcPr>
            <w:tcW w:w="37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4"/>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2025</w:t>
            </w:r>
          </w:p>
        </w:tc>
        <w:tc>
          <w:tcPr>
            <w:tcW w:w="22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Kim</w:t>
            </w:r>
          </w:p>
        </w:tc>
      </w:tr>
      <w:tr>
        <w:trPr>
          <w:trHeight w:val="187"/>
        </w:trPr>
        <w:tc>
          <w:tcPr>
            <w:tcW w:w="3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Paul Kim</w:t>
            </w:r>
          </w:p>
        </w:tc>
      </w:tr>
      <w:tr>
        <w:trPr>
          <w:trHeight w:val="220"/>
        </w:trPr>
        <w:tc>
          <w:tcPr>
            <w:tcW w:w="37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4"/>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2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0">
    <w:nsid w:val="140E0F7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2">
    <w:nsid w:val="109CF92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8" Type="http://schemas.openxmlformats.org/officeDocument/2006/relationships/image" Target="media/image447.png"/><Relationship Id="rId459" Type="http://schemas.openxmlformats.org/officeDocument/2006/relationships/image" Target="media/image448.png"/><Relationship Id="rId460" Type="http://schemas.openxmlformats.org/officeDocument/2006/relationships/image" Target="media/image449.png"/><Relationship Id="rId461" Type="http://schemas.openxmlformats.org/officeDocument/2006/relationships/image" Target="media/image450.png"/><Relationship Id="rId462" Type="http://schemas.openxmlformats.org/officeDocument/2006/relationships/image" Target="media/image451.png"/><Relationship Id="rId463" Type="http://schemas.openxmlformats.org/officeDocument/2006/relationships/image" Target="media/image452.png"/><Relationship Id="rId464" Type="http://schemas.openxmlformats.org/officeDocument/2006/relationships/image" Target="media/image453.png"/><Relationship Id="rId465" Type="http://schemas.openxmlformats.org/officeDocument/2006/relationships/image" Target="media/image454.png"/><Relationship Id="rId454" Type="http://schemas.openxmlformats.org/officeDocument/2006/relationships/hyperlink" Target="https://www.sec.gov/Archives/edgar/data/1674930/000119312516700733/d360404dex31.htm" TargetMode="External"/><Relationship Id="rId455" Type="http://schemas.openxmlformats.org/officeDocument/2006/relationships/hyperlink" Target="https://www.sec.gov/Archives/edgar/data/1674930/000119312516700733/d360404dex311.htm" TargetMode="External"/><Relationship Id="rId456" Type="http://schemas.openxmlformats.org/officeDocument/2006/relationships/hyperlink" Target="https://www.sec.gov/Archives/edgar/data/1674930/000156459017017670/flgt-ex312_342.htm" TargetMode="External"/><Relationship Id="rId457" Type="http://schemas.openxmlformats.org/officeDocument/2006/relationships/hyperlink" Target="https://www.sec.gov/Archives/edgar/data/1674930/000095017023038316/flgt-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2025-11-07T06:19:43Z</dcterms:created>
  <dcterms:modified xsi:type="dcterms:W3CDTF">2025-11-07T06:19:43Z</dcterms:modified>
</cp:coreProperties>
</file>