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4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2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51"/>
        </w:trPr>
        <w:tc>
          <w:tcPr>
            <w:tcW w:w="4500" w:type="dxa"/>
            <w:vAlign w:val="bottom"/>
            <w:gridSpan w:val="2"/>
          </w:tcPr>
          <w:p>
            <w:pPr>
              <w:jc w:val="center"/>
              <w:ind w:left="10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Pr>
          <w:p>
            <w:pPr>
              <w:jc w:val="center"/>
              <w:ind w:right="204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4399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3"/>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3"/>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60" w:type="dxa"/>
            <w:vAlign w:val="bottom"/>
            <w:gridSpan w:val="5"/>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880"/>
              <w:spacing w:after="0" w:line="182"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5"/>
                <w:szCs w:val="15"/>
                <w:color w:val="auto"/>
              </w:rPr>
            </w:pPr>
          </w:p>
        </w:tc>
        <w:tc>
          <w:tcPr>
            <w:tcW w:w="3480" w:type="dxa"/>
            <w:vAlign w:val="bottom"/>
            <w:tcBorders>
              <w:right w:val="single" w:sz="8" w:color="auto"/>
            </w:tcBorders>
          </w:tcPr>
          <w:p>
            <w:pPr>
              <w:jc w:val="center"/>
              <w:ind w:right="100"/>
              <w:spacing w:after="0" w:line="182"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30, 2024, there were 30,296,682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6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9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1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$25,307 as of June 30, 2024, and</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$25,226 as of December 31, 2023</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399,104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507,845</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423,571</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1,232,239</w:t>
            </w:r>
          </w:p>
        </w:tc>
        <w:tc>
          <w:tcPr>
            <w:tcW w:w="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73,018</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3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50,000 shares authorized, 33,036 shares issued and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30,262 shares outstanding as of June 30, 2024, and 32,416 shares issued and 29,653 shares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501,718</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633,175</w:t>
            </w:r>
          </w:p>
        </w:tc>
        <w:tc>
          <w:tcPr>
            <w:tcW w:w="100" w:type="dxa"/>
            <w:vAlign w:val="bottom"/>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1,132,549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1,136,101</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(3,701 )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(2,815 )</w:t>
            </w: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1,128,848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1,232,239</w:t>
            </w:r>
          </w:p>
        </w:tc>
        <w:tc>
          <w:tcPr>
            <w:tcW w:w="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-4379595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-2167890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94,638</w:t>
            </w:r>
          </w:p>
        </w:tc>
        <w:tc>
          <w:tcPr>
            <w:tcW w:w="100" w:type="dxa"/>
            <w:vAlign w:val="bottom"/>
          </w:tcPr>
          <w:p>
            <w:pPr>
              <w:spacing w:after="0"/>
              <w:rPr>
                <w:sz w:val="20"/>
                <w:szCs w:val="20"/>
                <w:color w:val="auto"/>
              </w:rPr>
            </w:pPr>
          </w:p>
        </w:tc>
      </w:tr>
      <w:tr>
        <w:trPr>
          <w:trHeight w:val="237"/>
        </w:trPr>
        <w:tc>
          <w:tcPr>
            <w:tcW w:w="4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39,795</w:t>
            </w: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20"/>
                <w:szCs w:val="20"/>
                <w:color w:val="auto"/>
              </w:rPr>
            </w:pPr>
          </w:p>
        </w:tc>
      </w:tr>
      <w:tr>
        <w:trPr>
          <w:trHeight w:val="23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89,299</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(18,906 )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(19,798 )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(40,704 )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(44,622 )</w:t>
            </w: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(11,214 )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(14,700 )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(25,387 )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(35,749 )</w:t>
            </w: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(2,124 )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(3,110 )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(2,451 )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(8,310 )</w:t>
            </w:r>
          </w:p>
        </w:tc>
      </w:tr>
      <w:tr>
        <w:trPr>
          <w:trHeight w:val="20"/>
        </w:trPr>
        <w:tc>
          <w:tcPr>
            <w:tcW w:w="4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(9,090 )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(11,590 )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(22,936 )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(27,439 )</w:t>
            </w: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(8,710 )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(11,229 )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(22,172 )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(26,569 )</w:t>
            </w: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(0.74 )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(0.74 )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-3162300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-3162300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-2219960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-2219960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-2219960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-1902460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-1902460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-1902460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-1585595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-1585595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-1585595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-1268095</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-1268095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-1268095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(9,090 )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(11,590 )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(22,936 )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(27,439 )</w:t>
            </w:r>
          </w:p>
        </w:tc>
        <w:tc>
          <w:tcPr>
            <w:tcW w:w="0" w:type="dxa"/>
            <w:vAlign w:val="bottom"/>
          </w:tcPr>
          <w:p>
            <w:pPr>
              <w:spacing w:after="0"/>
              <w:rPr>
                <w:sz w:val="1"/>
                <w:szCs w:val="1"/>
                <w:color w:val="auto"/>
              </w:rPr>
            </w:pPr>
          </w:p>
        </w:tc>
      </w:tr>
      <w:tr>
        <w:trPr>
          <w:trHeight w:val="241"/>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(1,965 )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(444 )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(1,797 )</w:t>
            </w:r>
          </w:p>
        </w:tc>
        <w:tc>
          <w:tcPr>
            <w:tcW w:w="0" w:type="dxa"/>
            <w:vAlign w:val="bottom"/>
          </w:tcPr>
          <w:p>
            <w:pPr>
              <w:spacing w:after="0"/>
              <w:rPr>
                <w:sz w:val="1"/>
                <w:szCs w:val="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(loss) on available-for-sale debt securities, net of tax</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(2,132 )</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from consolidated operations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(8,889 )</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(15,687 )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(25,140 )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(26,039 )</w:t>
            </w:r>
          </w:p>
        </w:tc>
        <w:tc>
          <w:tcPr>
            <w:tcW w:w="0" w:type="dxa"/>
            <w:vAlign w:val="bottom"/>
          </w:tcPr>
          <w:p>
            <w:pPr>
              <w:spacing w:after="0"/>
              <w:rPr>
                <w:sz w:val="1"/>
                <w:szCs w:val="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 attributable to noncontrolling</w:t>
            </w:r>
          </w:p>
        </w:tc>
        <w:tc>
          <w:tcPr>
            <w:tcW w:w="26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(1,243 )</w:t>
            </w:r>
          </w:p>
        </w:tc>
        <w:tc>
          <w:tcPr>
            <w:tcW w:w="0" w:type="dxa"/>
            <w:vAlign w:val="bottom"/>
          </w:tcPr>
          <w:p>
            <w:pPr>
              <w:spacing w:after="0"/>
              <w:rPr>
                <w:sz w:val="1"/>
                <w:szCs w:val="1"/>
                <w:color w:val="auto"/>
              </w:rPr>
            </w:pPr>
          </w:p>
        </w:tc>
      </w:tr>
      <w:tr>
        <w:trPr>
          <w:trHeight w:val="234"/>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noncontrolling interest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(8,485 )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(14,779 )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(24,254 )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(26,412 )</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-350520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-350520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-350520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12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1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1,136,10</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22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$ 633,175</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(2,815 )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(69 )</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(1,682 )</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(1,682 )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(1,682 )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(2,307 )</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(2,307 )</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(2,405 )</w:t>
            </w: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(13,462 )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(13,462 )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(13,846 )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1,129,94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$ 619,713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(3,297 )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(26 )</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(544 )</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(544 )</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(544 )</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(8,710 )</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(8,710 )</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(380 )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(9,090 )</w:t>
            </w:r>
          </w:p>
        </w:tc>
        <w:tc>
          <w:tcPr>
            <w:tcW w:w="0" w:type="dxa"/>
            <w:vAlign w:val="bottom"/>
          </w:tcPr>
          <w:p>
            <w:pPr>
              <w:spacing w:after="0"/>
              <w:rPr>
                <w:sz w:val="1"/>
                <w:szCs w:val="1"/>
                <w:color w:val="auto"/>
              </w:rPr>
            </w:pPr>
          </w:p>
        </w:tc>
      </w:tr>
      <w:tr>
        <w:trPr>
          <w:trHeight w:val="197"/>
        </w:trPr>
        <w:tc>
          <w:tcPr>
            <w:tcW w:w="3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1,132,54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30,262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522,420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(877 )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$ 611,003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(3,701 )</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1,128,848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-3068320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-3051175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-3068320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-3051175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-3068320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-3051175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-3068320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-3051175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-3068320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-3051175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-3068320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-3051175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-3068320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-3051175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-1610995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-1593850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-1610995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-1593850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-1610995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-1593850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-1610995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-1593850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-1610995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-1610995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-1610995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220" w:firstLine="8"/>
        <w:spacing w:after="0" w:line="261"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185,503 shares of the Company's common stock were issued in May 2024 by the Company upon expiration of hold back provisions in connection with the business combination of Fulgent Pharma Holdings, Inc., or Fulgent Pharma, in 2022.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120" w:type="dxa"/>
            <w:vAlign w:val="bottom"/>
          </w:tcPr>
          <w:p>
            <w:pPr>
              <w:spacing w:after="0"/>
              <w:rPr>
                <w:sz w:val="12"/>
                <w:szCs w:val="12"/>
                <w:color w:val="auto"/>
              </w:rPr>
            </w:pPr>
          </w:p>
        </w:tc>
        <w:tc>
          <w:tcPr>
            <w:tcW w:w="6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gridSpan w:val="3"/>
            <w:vMerge w:val="continue"/>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10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rs’ Equity</w:t>
            </w:r>
          </w:p>
        </w:tc>
        <w:tc>
          <w:tcPr>
            <w:tcW w:w="10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348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1,266,68</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1,269,87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(20,903 )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801,000</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(869 )</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(869 )</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(869 )</w:t>
            </w: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(509 )</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(15,849 )</w:t>
            </w:r>
          </w:p>
        </w:tc>
        <w:tc>
          <w:tcPr>
            <w:tcW w:w="0" w:type="dxa"/>
            <w:vAlign w:val="bottom"/>
          </w:tcPr>
          <w:p>
            <w:pPr>
              <w:spacing w:after="0"/>
              <w:rPr>
                <w:sz w:val="1"/>
                <w:szCs w:val="1"/>
                <w:color w:val="auto"/>
              </w:rPr>
            </w:pPr>
          </w:p>
        </w:tc>
      </w:tr>
      <w:tr>
        <w:trPr>
          <w:trHeight w:val="197"/>
        </w:trPr>
        <w:tc>
          <w:tcPr>
            <w:tcW w:w="34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1,264,44</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1,268,91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29,692</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495,981</w:t>
            </w:r>
          </w:p>
        </w:tc>
        <w:tc>
          <w:tcPr>
            <w:tcW w:w="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(17,196 )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785,660</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4,471</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(232 )</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(3,550 )</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(3,550 )</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(547 )</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(4,097 )</w:t>
            </w:r>
          </w:p>
        </w:tc>
        <w:tc>
          <w:tcPr>
            <w:tcW w:w="0" w:type="dxa"/>
            <w:vAlign w:val="bottom"/>
          </w:tcPr>
          <w:p>
            <w:pPr>
              <w:spacing w:after="0"/>
              <w:rPr>
                <w:sz w:val="1"/>
                <w:szCs w:val="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(11,229 )</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(11,229 )</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(361 )</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(11,590 )</w:t>
            </w:r>
          </w:p>
        </w:tc>
        <w:tc>
          <w:tcPr>
            <w:tcW w:w="0" w:type="dxa"/>
            <w:vAlign w:val="bottom"/>
          </w:tcPr>
          <w:p>
            <w:pPr>
              <w:spacing w:after="0"/>
              <w:rPr>
                <w:sz w:val="1"/>
                <w:szCs w:val="1"/>
                <w:color w:val="auto"/>
              </w:rPr>
            </w:pPr>
          </w:p>
        </w:tc>
      </w:tr>
      <w:tr>
        <w:trPr>
          <w:trHeight w:val="197"/>
        </w:trPr>
        <w:tc>
          <w:tcPr>
            <w:tcW w:w="348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1,259,76</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1,263,32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29,917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506,075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(20,746 )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774,431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-2502535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-2485390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-2502535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-2485390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-2502535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-2485390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-2502535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-2485390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-2502535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-2485390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-2502535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-2485390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-2502535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-2485390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-1336675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-1319530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-1336675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-1319530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-1336675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-1319530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-1336675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-1319530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-1336675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-1319530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-1336675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-1319530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-1336675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-1319530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-307975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-307975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-307975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-307975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-307975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-307975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right="40" w:firstLine="8"/>
        <w:spacing w:after="0" w:line="241"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2023, 371,006 shares of the Company's common stock were not issued and were held back by the Company as partial security for the indemnification obligations in connection with the business combination of Fulgent Pharma, in 2022. 185,503 shares of the Company’s common stock were issued upon expiration of these hold back provisions in November 2023, and 185,503 shares were issued upon expiration of these hold back provisions in May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consolidated operations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(22,936 )</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(27,439 )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20,588</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for credit losses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(4,157 )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(1,984 )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fixed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discount of marketable securities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(2,670 )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(1,192 )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(1,014 )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(8,418 )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realized loss on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(5 )</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(1,393 )</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(3,764 )</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(4,447 )</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Contract liabilities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(598 )</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(2,762 )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(7,519 )</w:t>
            </w:r>
          </w:p>
        </w:tc>
      </w:tr>
      <w:tr>
        <w:trPr>
          <w:trHeight w:val="23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(2,687 )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(3,144 )</w:t>
            </w:r>
          </w:p>
        </w:tc>
      </w:tr>
      <w:tr>
        <w:trPr>
          <w:trHeight w:val="223"/>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11,551</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Borders>
              <w:top w:val="single" w:sz="8" w:color="CFF0FC"/>
            </w:tcBorders>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8"/>
              </w:rPr>
              <w:t>(258,829 )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(250,537 )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(17,000 )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(14,178 )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160,073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258,847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75,599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(39,882 )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(5,450 )</w:t>
            </w:r>
          </w:p>
        </w:tc>
      </w:tr>
      <w:tr>
        <w:trPr>
          <w:trHeight w:val="221"/>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withholding for employee tax obligations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(2,226 )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(1,101 )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(1,229 )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(799 )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paid for finance lease</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(273 )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(463 )</w:t>
            </w: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(225 )</w:t>
            </w: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investment margin loan</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(15,000 )</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2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(3,953 )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(17,360 )</w:t>
            </w:r>
          </w:p>
        </w:tc>
      </w:tr>
      <w:tr>
        <w:trPr>
          <w:trHeight w:val="23"/>
        </w:trPr>
        <w:tc>
          <w:tcPr>
            <w:tcW w:w="77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(78 )</w:t>
            </w: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(178 )</w:t>
            </w:r>
          </w:p>
        </w:tc>
      </w:tr>
      <w:tr>
        <w:trPr>
          <w:trHeight w:val="23"/>
        </w:trPr>
        <w:tc>
          <w:tcPr>
            <w:tcW w:w="7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(32,362 )</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(21,158 )</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97,473</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79,506</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65,111</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fixed assets in accounts payable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28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liabilities</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FF0FC"/>
          </w:tcPr>
          <w:p>
            <w:pPr>
              <w:spacing w:after="0"/>
              <w:rPr>
                <w:sz w:val="20"/>
                <w:szCs w:val="20"/>
                <w:color w:val="auto"/>
              </w:rPr>
            </w:pPr>
          </w:p>
        </w:tc>
      </w:tr>
      <w:tr>
        <w:trPr>
          <w:trHeight w:val="26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reduced due to lease modification and termination</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tcPr>
          <w:p>
            <w:pPr>
              <w:spacing w:after="0"/>
              <w:rPr>
                <w:sz w:val="22"/>
                <w:szCs w:val="22"/>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right-of-use assets reduced due to lease modification and termination</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-4199890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-3007995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-1824990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-1216660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-1199515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 to which the Company formerly referred as its clinical diagnostic business, includes technical laboratory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2023, which are included in the Company’s annual report on Form 10-K filed with the Securities and Exchange Commission, or SEC, on February 28, 2024, or the 2023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2023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2023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See the summary of the Company’s significant accounting policies set forth in the notes to its consolidated financial statements included in the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credit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six months ended June 30, 2024, dollars in thousands,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620" w:type="dxa"/>
            <w:vAlign w:val="bottom"/>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FF0FC"/>
          </w:tcPr>
          <w:p>
            <w:pPr>
              <w:spacing w:after="0"/>
              <w:rPr>
                <w:sz w:val="21"/>
                <w:szCs w:val="21"/>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gain</w:t>
            </w:r>
          </w:p>
        </w:tc>
        <w:tc>
          <w:tcPr>
            <w:tcW w:w="1620" w:type="dxa"/>
            <w:vAlign w:val="bottom"/>
          </w:tcPr>
          <w:p>
            <w:pPr>
              <w:spacing w:after="0"/>
              <w:rPr>
                <w:sz w:val="20"/>
                <w:szCs w:val="20"/>
                <w:color w:val="auto"/>
              </w:rPr>
            </w:pP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(4,157 )</w:t>
            </w: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162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(2,855 )</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21"/>
                <w:szCs w:val="21"/>
                <w:color w:val="auto"/>
              </w:rPr>
            </w:pPr>
          </w:p>
        </w:tc>
      </w:tr>
      <w:tr>
        <w:trPr>
          <w:trHeight w:val="277"/>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June 30, 2024</w:t>
            </w:r>
          </w:p>
        </w:tc>
        <w:tc>
          <w:tcPr>
            <w:tcW w:w="1620" w:type="dxa"/>
            <w:vAlign w:val="bottom"/>
            <w:tcBorders>
              <w:bottom w:val="single" w:sz="8" w:color="auto"/>
            </w:tcBorders>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 Investment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$20.4 million as of June 30, 2024 represents the fair value of redeemable preferred stock of a private company that the Company purchased in July 2021. The investment is classified as available-for-sale debt securities. The fair value of available-for-sale debt security is included in the Condensed Consolidated Balance Sheets. Since the Company intends on holding the preferred stock, and the preferred stock is not redeemable until July 2027, the investment is recorded as a long-term investment, and unrealized gain (loss) is excluded from earnings and reported in other comprehensive income (loss). The unrealized gain (loss) is insignificant in each of the three and six months ended June 30, 2024, and $(0.1) million and $0.5 million in the three and six months ended June 30,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three to fourteen years. See Note 14, </w:t>
      </w:r>
      <w:r>
        <w:rPr>
          <w:rFonts w:ascii="Times New Roman" w:cs="Times New Roman" w:eastAsia="Times New Roman" w:hAnsi="Times New Roman"/>
          <w:sz w:val="18"/>
          <w:szCs w:val="18"/>
          <w:i w:val="1"/>
          <w:iCs w:val="1"/>
          <w:color w:val="auto"/>
        </w:rPr>
        <w:t>Goodwill and Acquisition-Related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Intangibles in-process research &amp; development costs, or IPR&amp;D,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w:t>
      </w:r>
    </w:p>
    <w:p>
      <w:pPr>
        <w:spacing w:after="0" w:line="18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60"/>
        <w:spacing w:after="0" w:line="266" w:lineRule="auto"/>
        <w:rPr>
          <w:sz w:val="20"/>
          <w:szCs w:val="20"/>
          <w:color w:val="auto"/>
        </w:rPr>
      </w:pPr>
      <w:r>
        <w:rPr>
          <w:rFonts w:ascii="Times New Roman" w:cs="Times New Roman" w:eastAsia="Times New Roman" w:hAnsi="Times New Roman"/>
          <w:sz w:val="18"/>
          <w:szCs w:val="18"/>
          <w:color w:val="auto"/>
        </w:rPr>
        <w:t>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76"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 average cost of capital. Under the income-based approach, it requires management's assumptions and judgments regarding economic conditions in the markets in which the company operates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redeemable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and redeemable preferred stock investment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which consist of debt securities and equity securities. As of June 30, 2024,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3"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business, aggregating customers under common control, one customer comprised of $16.9 million or 24% of total revenue in the three months ended June 30, 2024 and $29.6 million or 22% of the Company's revenue in the six months ended June 30, 2024. The same customer contributed $9.1 million or 13% of the Company's revenue in the three months ended June 30, 2023. No customer contributed more than 10% of the Company's revenue in the six months ended June 30, 2023. One customer comprised 19% of total accounts receivable, net, as of June 30, 2024, and 13% of total accounts receivable, net, as of December 31, 2023. For the therapeutic development business, as of June 30, 2024 and December 31, 2023, there is no concentration risk, as there are no customers or revenue, as it does not have any commercialized or approved product candidates.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operations of the laboratory services business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is unable to procure items needed for its therapeutic development activities. The Company’s therapeutic development business also relies on ANP Technologies, Inc., or ANP, for certain laboratory services, equipment, tools, and drug intermediates in connection with research and development efforts.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entities that it does not control but in which it has the ability to exercise significant influence over operating and financial policies. The Company's 25% interest in Boston Molecules, Inc. is accounted for using the equity method but the investment was reduced to zero in 2020 due to full impairment. The Company has not recorded any additional 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Reportable segments are identified as components of an enterprise about which separate discrete financial information is available for evaluation by the chief operating decision-maker, or CODM, in making decisions regarding resource allocation and assessing performance. The Company’s CODM is its Chief Executive Officer. The Company reports its business in two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Loss from these translations is recognized in foreign currency translation loss included in the accompanying Condensed Consolidated Statements of Comprehensive Income (Loss).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Gain or loss from these remeasurements was not significant for the three and six months ended June 30,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Other comprehensive income (loss) consists of net unrealized gain (loss) on available-for-sale debt securities, net of tax, and foreign currency translation adjustments from the Company's subsidiaries not using the U.S. dollar as their functional currency. Reclassification from other comprehensive income (loss) to net loss was $0.3 million and $0.9 million in the three and six months ended June 30, 2024, respectively, and there were no reclassifications from other comprehensive income (loss) to net loss in the three and six months ended June 30, 2023. The tax effect related to net unrealized losses on available-for-sale debt securities was zero in the three and six months ended June 30, 2024 due to the valuation allowance in the current period that precludes the Company from recognizing the deferred tax benefit. The tax effects related to net unrealized gain (loss) on available-for-sale debt securities were $(0.8) million and $1.2 million in the three and six months ended June 30, 2023,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Insurance, (ii) Institutions, including hospitals, medical institutions, other laboratories, governmental bodies, municipalities, and large corporations, or (iii) Patients who pay directly. The Company believes these classifications best depict how the nature, amount, timing, and uncertainty of its revenue and cash flows are affected by economic factors. The following table summarizes revenue from contracts with customers by payor type: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7"/>
        </w:trPr>
        <w:tc>
          <w:tcPr>
            <w:tcW w:w="48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38,950</w:t>
            </w:r>
          </w:p>
        </w:tc>
        <w:tc>
          <w:tcPr>
            <w:tcW w:w="112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34,082</w:t>
            </w:r>
          </w:p>
        </w:tc>
        <w:tc>
          <w:tcPr>
            <w:tcW w:w="6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72,554</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67,612</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1"/>
                <w:szCs w:val="21"/>
                <w:color w:val="auto"/>
              </w:rPr>
            </w:pPr>
          </w:p>
        </w:tc>
      </w:tr>
      <w:tr>
        <w:trPr>
          <w:trHeight w:val="277"/>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three and six months ended June 30, 2024, the Company experienced a change in estimate related to variable consideration. $0.6 million and $1.8 million variable consideration were recognized in the three and six months ended June 30, 2024, respectively, that related to COVID-19 tests completed in the prior periods due to the recent collection efforts, which was included as revenue from insurance in the table above. The Company estimates variable consideration using the expected value method. Any changes in variable consideration estimates that affect transactions are accounted for on a cumulative catch-up basis. There was no material variable consideration recognized in the three and six months ended June 30,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Net receivable from Insurance and Institutional customers represented 44% and 56%, respectively, as of June 30, 2024, and 39% and 61%, respectively, as of December 31, 2023.</w:t>
      </w:r>
    </w:p>
    <w:p>
      <w:pPr>
        <w:spacing w:after="0" w:line="173"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The Company did not have any contract assets as of June 30, 2024 and December 31, 2023. Contract liabilities are recorded when the Company receives payment prior to completing its obligation to transfer goods or services to a customer. Contract liabilities are included in the current liabilities in Condensed Consolidated Balance Sheets. Revenues of $0.4 million and $1.2 million were recognized for the three and six months ended June 30, 2024, respectively, and $0.1 million and $1.7 million were recognized for the three and six months ended June 30, 2023, respectively, related to contract liabilities at the beginning of the respective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Segments. This update improves reportable segment disclosure requirements and requires enhanced disclosures related to significant segment expenses regularly provided to the CODM, the amount for other segment items with descriptions of the composition, segment profit or loss, and clarification on if the CODM uses more than one measurement of a segment's profit or loss in assessing segment performance and deciding how to allocate resources. Amendments in this update are effective for fiscal years beginning after December 15, 2023, and interim periods within fiscal years beginning after December 15, 2024. The Company is currently evaluating the impacts of this amendment on the consolidated financial statements and related disclosure.</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The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The Company is currently evaluating the impacts of this amendment on the consolidated financial statements and related disclosure.</w:t>
      </w:r>
    </w:p>
    <w:p>
      <w:pPr>
        <w:spacing w:after="0" w:line="180"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55,067</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(55,067 )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(55,067 )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246,595</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345,418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(1,511 )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545,839</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793,196</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813,991</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(6,385 )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808,196</w:t>
            </w:r>
          </w:p>
        </w:tc>
        <w:tc>
          <w:tcPr>
            <w:tcW w:w="100" w:type="dxa"/>
            <w:vAlign w:val="bottom"/>
            <w:shd w:val="clear" w:color="auto" w:fill="CFF0FC"/>
          </w:tcPr>
          <w:p>
            <w:pPr>
              <w:spacing w:after="0"/>
              <w:rPr>
                <w:sz w:val="24"/>
                <w:szCs w:val="24"/>
                <w:color w:val="auto"/>
              </w:rPr>
            </w:pPr>
          </w:p>
        </w:tc>
      </w:tr>
      <w:tr>
        <w:trPr>
          <w:trHeight w:val="629"/>
        </w:trPr>
        <w:tc>
          <w:tcPr>
            <w:tcW w:w="48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-4705350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-4705350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-4705350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-3145155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-3145155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-3145155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-1893570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-1893570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-1893570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-1250950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-1250950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-1250950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-925195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-908050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-925195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-908050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-925195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-908050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131"/>
        </w:trPr>
        <w:tc>
          <w:tcPr>
            <w:tcW w:w="4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4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(38,291 )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(38,291 )</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443,150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770,690</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789,726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785,690</w:t>
            </w:r>
          </w:p>
        </w:tc>
        <w:tc>
          <w:tcPr>
            <w:tcW w:w="100" w:type="dxa"/>
            <w:vAlign w:val="bottom"/>
            <w:shd w:val="clear" w:color="auto" w:fill="CFF0FC"/>
          </w:tcPr>
          <w:p>
            <w:pPr>
              <w:spacing w:after="0"/>
              <w:rPr>
                <w:sz w:val="22"/>
                <w:szCs w:val="22"/>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-3805555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-3805555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-3805555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-2245360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-2245360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-2245360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-993775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-993775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-350520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-350520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$6.4 million and $5.9 million as of June 30, 2024 and December 31, 2023, respectively. Proceeds from sale of available-for-sale securities were $18.7 million and $75.6 million for the three and six months ended June 30, 2024, respectively. Gross realized losses on the Company's available-for-sale securities were $0.3 million and $0.9 million for the three and six months ended June 30, 2024, respectively, and the gross realized income was insignificant for the three and six months ended June 30, 2024. There was no sale of available-for-sale securities or realized gain or loss for each of the three and six months ended June 30, 2023. The cost of any marketable securities sold is based on the specific-identification method. The Company did not recognize any credit losses for its available-for-sale debt securities during each of the three and six months ended June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20" w:right="42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5" w:name="page16"/>
    <w:bookmarkEnd w:id="15"/>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are unobservable for the asset or liability.</w:t>
      </w:r>
    </w:p>
    <w:p>
      <w:pPr>
        <w:spacing w:after="0" w:line="3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6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50800</wp:posOffset>
            </wp:positionV>
            <wp:extent cx="39262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16" w:lineRule="exact"/>
        <w:rPr>
          <w:sz w:val="20"/>
          <w:szCs w:val="20"/>
          <w:color w:val="auto"/>
        </w:rPr>
      </w:pPr>
    </w:p>
    <w:p>
      <w:pPr>
        <w:ind w:left="5480"/>
        <w:spacing w:after="0"/>
        <w:tabs>
          <w:tab w:leader="none" w:pos="7020" w:val="left"/>
          <w:tab w:leader="none" w:pos="8620" w:val="left"/>
          <w:tab w:leader="none" w:pos="1022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16510</wp:posOffset>
            </wp:positionV>
            <wp:extent cx="39262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7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443,763</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443,763</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217,983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217,983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863,263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721,112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6"/>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49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r>
      <w:tr>
        <w:trPr>
          <w:trHeight w:val="237"/>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823,981</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107,541</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681,002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-2356485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-2339340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-2356485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-2339340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-2356485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-2339340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June 30, 2024, the Company had preferred stock of a privately held company, which was included in other long-term assets in the accompanying Condensed Consolidated Balance Sheets, and redeemable preferred stock of a private company that were measured using unobservable (Level 3) inputs. The fair value of redeemable preferred stock as of June 30, 2024 and December 31, 2023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June 30,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3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6"/>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5 months to 12 Years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54,152</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52"/>
              <w:spacing w:after="0"/>
              <w:rPr>
                <w:sz w:val="20"/>
                <w:szCs w:val="20"/>
                <w:color w:val="auto"/>
              </w:rPr>
            </w:pPr>
            <w:r>
              <w:rPr>
                <w:rFonts w:ascii="Times New Roman" w:cs="Times New Roman" w:eastAsia="Times New Roman" w:hAnsi="Times New Roman"/>
                <w:sz w:val="18"/>
                <w:szCs w:val="18"/>
                <w:color w:val="auto"/>
                <w:w w:val="96"/>
              </w:rPr>
              <w:t>39 Years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5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5 Years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3"/>
              </w:rPr>
              <w:t>7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5"/>
              </w:rPr>
              <w:t>1 to 5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5 to 15 Years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5"/>
              </w:rPr>
              <w:t>3 to 7 Years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5"/>
              </w:rPr>
              <w:t>3 to 5 Years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r>
      <w:tr>
        <w:trPr>
          <w:trHeight w:val="23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0"/>
                <w:szCs w:val="20"/>
                <w:color w:val="auto"/>
              </w:rPr>
            </w:pPr>
          </w:p>
        </w:tc>
      </w:tr>
      <w:tr>
        <w:trPr>
          <w:trHeight w:val="247"/>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w:t>
            </w:r>
          </w:p>
        </w:tc>
        <w:tc>
          <w:tcPr>
            <w:tcW w:w="100" w:type="dxa"/>
            <w:vAlign w:val="bottom"/>
          </w:tcPr>
          <w:p>
            <w:pPr>
              <w:spacing w:after="0"/>
              <w:rPr>
                <w:sz w:val="20"/>
                <w:szCs w:val="20"/>
                <w:color w:val="auto"/>
              </w:rPr>
            </w:pP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(45,437 )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(51,633 )</w:t>
            </w:r>
          </w:p>
        </w:tc>
      </w:tr>
      <w:tr>
        <w:trPr>
          <w:trHeight w:val="237"/>
        </w:trPr>
        <w:tc>
          <w:tcPr>
            <w:tcW w:w="3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Borders>
              <w:top w:val="single" w:sz="8" w:color="CFF0FC"/>
            </w:tcBorders>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-505460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expenses on fixed assets totaled $4.0 million and $8.6 million for the three and six months ended June 30, 2024, respectively, and $4.1 million and $8.8 million for the three and six months ended June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2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27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30,825</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Vacation accrual</w:t>
            </w:r>
          </w:p>
        </w:tc>
        <w:tc>
          <w:tcPr>
            <w:tcW w:w="2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68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jc w:val="right"/>
              <w:ind w:right="15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6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-2819400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-925195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-908050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Accrued legal liabilities as of June 30, 2024, and December 31, 2023, included $6.9 million in connection with the Company's voluntary disclosure process as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Other accrued liabilities included short-term finance lease liabilities, health insurance liabilities,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64"/>
        </w:trPr>
        <w:tc>
          <w:tcPr>
            <w:tcW w:w="7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8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0"/>
                <w:szCs w:val="20"/>
                <w:color w:val="auto"/>
              </w:rPr>
            </w:pPr>
          </w:p>
        </w:tc>
      </w:tr>
      <w:tr>
        <w:trPr>
          <w:trHeight w:val="247"/>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28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viewed and managed its operations in one reportable segment prior to December 2023. Given the advancement of the therapeutic development business, the Company made certain changes, including the bifurcation of financial information for the Company’s budget and forecast planning process in December 2023. The CODM manages the operations of the Company and reviews discrete financial information to make resource decisions for its two operating segments separately. These are laboratory services and therapeutic development. The laboratory services operating segment offers technical laboratory services and professional interpretation of laboratory results by licensed physicians who specialize in pathology and oncology. The therapeutic development operating segment is a pharmaceutical research and development entity that the Company acquired in November 2022. These operating segments do not meet the aggregation criteria and therefore represent the Company’s reportable segments.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operations and assets for its reportable segments as well as geographic information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Precision diagnostics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Anatomic pathology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53,801</w:t>
            </w: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BioPharma services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20"/>
                <w:szCs w:val="20"/>
                <w:color w:val="auto"/>
              </w:rPr>
            </w:pPr>
          </w:p>
        </w:tc>
      </w:tr>
      <w:tr>
        <w:trPr>
          <w:trHeight w:val="24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shd w:val="clear" w:color="auto" w:fill="CFF0FC"/>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2"/>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24"/>
                <w:szCs w:val="24"/>
                <w:color w:val="auto"/>
              </w:rPr>
            </w:pPr>
          </w:p>
        </w:tc>
        <w:tc>
          <w:tcPr>
            <w:tcW w:w="24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services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(11,823 )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(16,282 )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(28,577 )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(37,885 )</w:t>
            </w:r>
          </w:p>
        </w:tc>
      </w:tr>
      <w:tr>
        <w:trPr>
          <w:trHeight w:val="243"/>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Therapeutic development</w:t>
            </w:r>
          </w:p>
        </w:tc>
        <w:tc>
          <w:tcPr>
            <w:tcW w:w="1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(7,083 )</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(3,516 )</w:t>
            </w:r>
          </w:p>
        </w:tc>
        <w:tc>
          <w:tcPr>
            <w:tcW w:w="3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(12,127 )</w:t>
            </w:r>
          </w:p>
        </w:tc>
        <w:tc>
          <w:tcPr>
            <w:tcW w:w="2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(6,737 )</w:t>
            </w:r>
          </w:p>
        </w:tc>
      </w:tr>
      <w:tr>
        <w:trPr>
          <w:trHeight w:val="20"/>
        </w:trPr>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(18,906 )</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(19,798 )</w:t>
            </w:r>
          </w:p>
        </w:tc>
        <w:tc>
          <w:tcPr>
            <w:tcW w:w="3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(40,704 )</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(44,622 )</w:t>
            </w: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Pr>
          <w:p>
            <w:pPr>
              <w:spacing w:after="0"/>
              <w:rPr>
                <w:sz w:val="20"/>
                <w:szCs w:val="20"/>
                <w:color w:val="auto"/>
              </w:rPr>
            </w:pPr>
          </w:p>
        </w:tc>
      </w:tr>
      <w:tr>
        <w:trPr>
          <w:trHeight w:val="28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(11,214 )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(14,700 )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(25,387 )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(35,749 )</w:t>
            </w:r>
          </w:p>
        </w:tc>
      </w:tr>
      <w:tr>
        <w:trPr>
          <w:trHeight w:val="629"/>
        </w:trPr>
        <w:tc>
          <w:tcPr>
            <w:tcW w:w="53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5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-2785110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-2767965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-2785110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-2767965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-2785110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-2767965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-925195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-908050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-925195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-908050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-925195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tcBorders>
              <w:bottom w:val="single" w:sz="8" w:color="auto"/>
            </w:tcBorders>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800" w:type="dxa"/>
            <w:vAlign w:val="bottom"/>
            <w:gridSpan w:val="2"/>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1,143,531</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1,232,239</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24"/>
                <w:szCs w:val="24"/>
                <w:color w:val="auto"/>
              </w:rPr>
            </w:pPr>
          </w:p>
        </w:tc>
        <w:tc>
          <w:tcPr>
            <w:tcW w:w="278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840" w:type="dxa"/>
            <w:vAlign w:val="bottom"/>
            <w:tcBorders>
              <w:top w:val="single" w:sz="8" w:color="auto"/>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64,194</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63,051</w:t>
            </w:r>
          </w:p>
        </w:tc>
        <w:tc>
          <w:tcPr>
            <w:tcW w:w="800" w:type="dxa"/>
            <w:vAlign w:val="bottom"/>
            <w:gridSpan w:val="2"/>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122,044</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foreign</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7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800" w:type="dxa"/>
            <w:vAlign w:val="bottom"/>
            <w:gridSpan w:val="2"/>
            <w:shd w:val="clear" w:color="auto" w:fill="CFF0FC"/>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88,715</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93,368</w:t>
            </w:r>
          </w:p>
        </w:tc>
        <w:tc>
          <w:tcPr>
            <w:tcW w:w="6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-4388485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-4388485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-4388485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-3368040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-1645285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-1645285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-1645285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-1319530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-1302385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-1319530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-1302385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-1302385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June 30, 2024 consisted of $2.9 million of notes payable related to an installment sale contract the Company entered in February 2022 for a building. The notes payable related to the installment sale are due in February 2030, and carry an interest rate of 1.08%. The current portion and noncurrent portion are $0.4 million and $2.5 million, respectively, and the noncurrent portion is included in the other long-term liabilities in the accompanying Condensed Consolidated Balance Sheets. The related interest expenses for the three and six months ended June 30, 2024 and 2023 were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certain purchase commitments with its vendors, consisting primarily of services, reagent and supplies, computer software, and medical lab equipment. As of June 30, 2024, the Company had non-cancelable purchase obligations of $45.7 million, of which $32.1 million is payable within twelve months, and the remainder, $13.6 million is payable within the next five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the CID. Also, as previously disclosed, the SEC is conducting a non-public formal investigation, which appears to relate to the matters raised in the CID requests and the Company’s Exchange Act reports filed for 2018 through 2020. The Company is fully cooperating with both the U.S. DOJ and the SEC in connection with their requests and investigations. On May 6, 2024, the SEC staff, or the Staff, advised the Company that it has made a preliminary determination to recommend that the SEC file an enforcement action against the Company based on a corporate negligence theory, which, if authorized, would allege violations of Sections 17(a)(2) and 17(a)(3) of the Securities Act of 1933, as amended, Sections 13(a), 13(b)(2)(A) and 13(b)(2)(B) of the Exchange Act, and Rules 13a-1, 13a-13, and 12b-20 thereunder. The Company does not believe that any enforcement recommendation is warranted and, on June 7, 2024, responded to the Staff’s preliminary recommendation. The Company is engaged in ongoing discussions with the SEC staff and the DOJ regarding these matters. The Company cannot predict when these matters will be resolved, the outcome of these matters, or their potential impact, which may materially and adversely affect the Company’s business, prospects, and financial condition.</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Similar to other laboratories in the industry, the Company is currently being audited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The results of the HRSA audit may materially and adversely affect the Company’s business, prospects, and financial condition.</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relation to a recent advisory opinion issued by the Office of Inspector General of the Department of Health and Human Services, the Company’s subsidiary, Symphony Buyer, Inc., or Inform Diagnostics, initiated a voluntary disclosure process with the appropriate government contact. The Company currently has estimated and recorded $6.9 million as a liability in its financial statements in connection with this voluntary disclosure. This estimate may be incorrect, and the actual amount of liability may be lower or may materially exceed this estimate.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Alpharetta, Georgia; and New York, New York.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June 30, 2024 and December 31, 2023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7"/>
        </w:trPr>
        <w:tc>
          <w:tcPr>
            <w:tcW w:w="6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1500" w:type="dxa"/>
            <w:vAlign w:val="bottom"/>
            <w:shd w:val="clear" w:color="auto" w:fill="CFF0FC"/>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500" w:type="dxa"/>
            <w:vAlign w:val="bottom"/>
            <w:shd w:val="clear" w:color="auto" w:fill="CFF0FC"/>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1500" w:type="dxa"/>
            <w:vAlign w:val="bottom"/>
            <w:shd w:val="clear" w:color="auto" w:fill="CFF0FC"/>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operating and finance lease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8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760" w:type="dxa"/>
            <w:vAlign w:val="bottom"/>
            <w:gridSpan w:val="2"/>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tcPr>
          <w:p>
            <w:pPr>
              <w:spacing w:after="0"/>
              <w:rPr>
                <w:sz w:val="20"/>
                <w:szCs w:val="20"/>
                <w:color w:val="auto"/>
              </w:rPr>
            </w:pPr>
          </w:p>
        </w:tc>
        <w:tc>
          <w:tcPr>
            <w:tcW w:w="5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68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and finance leases were the following:</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Borders>
              <w:bottom w:val="single" w:sz="8" w:color="auto"/>
            </w:tcBorders>
            <w:gridSpan w:val="3"/>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5.31 years</w:t>
            </w:r>
          </w:p>
        </w:tc>
        <w:tc>
          <w:tcPr>
            <w:tcW w:w="60" w:type="dxa"/>
            <w:vAlign w:val="bottom"/>
          </w:tcPr>
          <w:p>
            <w:pPr>
              <w:spacing w:after="0"/>
              <w:rPr>
                <w:sz w:val="20"/>
                <w:szCs w:val="20"/>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52"/>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2.28 years</w:t>
            </w:r>
          </w:p>
        </w:tc>
        <w:tc>
          <w:tcPr>
            <w:tcW w:w="60" w:type="dxa"/>
            <w:vAlign w:val="bottom"/>
          </w:tcPr>
          <w:p>
            <w:pPr>
              <w:spacing w:after="0"/>
              <w:rPr>
                <w:sz w:val="21"/>
                <w:szCs w:val="2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-1365250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-1365250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-1365250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6"/>
                <w:szCs w:val="16"/>
                <w:color w:val="auto"/>
              </w:rPr>
            </w:pPr>
          </w:p>
        </w:tc>
      </w:tr>
      <w:tr>
        <w:trPr>
          <w:trHeight w:val="236"/>
        </w:trPr>
        <w:tc>
          <w:tcPr>
            <w:tcW w:w="3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3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0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20"/>
                <w:szCs w:val="20"/>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(1,469 )</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77"/>
        </w:trPr>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760" w:type="dxa"/>
            <w:vAlign w:val="bottom"/>
          </w:tcPr>
          <w:p>
            <w:pPr>
              <w:spacing w:after="0"/>
              <w:rPr>
                <w:sz w:val="24"/>
                <w:szCs w:val="24"/>
                <w:color w:val="auto"/>
              </w:rPr>
            </w:pPr>
          </w:p>
        </w:tc>
        <w:tc>
          <w:tcPr>
            <w:tcW w:w="30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37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-925195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-908050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out space in buildings it owns and leases to third-party tenants under noncancelable operating leases. As of June 30, 2024, the remaining lease term is 6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 The lease income was included in interest and other income, net, in the accompanying Condensed Consolidated Statements of Operations, and was not significant for three and six months ended June 30, 2024 and 2023. Future lease payments from tenants as of June 30, 2024 are not significant.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82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404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4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3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7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0"/>
                <w:szCs w:val="20"/>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42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4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4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$2.1 million and $2.5 million for the three and six months ended June 30, 2024, respectively, compared with $3.1 million and $8.3 million for the three and six months ended June 30, 2023, respectively. The Company’s effective tax rates were 19% and 10% for the three and six months ended June 30, 2024, respectively, compared to 21% and 23% for the three and six months ended June 30, 2023, respectively. The change in the effective tax rate compared to prior periods is due to the valuation allowance in the current period that precludes the Company from recognizing the full benefit from net operating losses.</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tax years. While the timing of the conclusion of the examination is uncertain, the Company believes that adequate amounts have been reserved for adjustments that may result.</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2024, the statutes of limitations will lapse on the Company’s 2020 federal tax year and certain 2019 and 2020 state tax years. The Company does not believe the federal or state statute lapses or any other event will significantly impact the balance of unrecognized tax benefits in the next twelve months.</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received $0.7 million and $7.0 million in income tax refunds in the three and six months ended June 30, 2024, respectively, and an insignificant amount and $0.7 million in the three and six months ended June 30, 2023, respectively. The income tax refunds received, which were due to overpayment in prior years, were not netted in the income tax paid amounts included in the supplemental disclosure in the accompanying Condensed Consolidated Statements of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and six months ended June 30,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2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26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7"/>
        </w:trPr>
        <w:tc>
          <w:tcPr>
            <w:tcW w:w="48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(8,710 )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(11,229 )</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(22,172 )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(26,569 )</w:t>
            </w:r>
          </w:p>
        </w:tc>
      </w:tr>
      <w:tr>
        <w:trPr>
          <w:trHeight w:val="228"/>
        </w:trPr>
        <w:tc>
          <w:tcPr>
            <w:tcW w:w="486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86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(0.38 )</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(0.74 )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r>
      <w:tr>
        <w:trPr>
          <w:trHeight w:val="234"/>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(0.38 )</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(0.74 )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-1151255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-1134110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-1151255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-1134110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-1151255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-1134110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-1151255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-816610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-799465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-816610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-799465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-816610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-799465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-816610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 due to the Company's net loss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237"/>
        </w:trPr>
        <w:tc>
          <w:tcPr>
            <w:tcW w:w="480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50"/>
        </w:trPr>
        <w:tc>
          <w:tcPr>
            <w:tcW w:w="4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7"/>
        </w:trPr>
        <w:tc>
          <w:tcPr>
            <w:tcW w:w="5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660" w:type="dxa"/>
            <w:vAlign w:val="bottom"/>
            <w:gridSpan w:val="3"/>
            <w:shd w:val="clear" w:color="auto" w:fill="CFF0FC"/>
          </w:tcPr>
          <w:p>
            <w:pPr>
              <w:jc w:val="right"/>
              <w:ind w:right="110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2023, the Company also had contingently issuable shares for shares held back in connection with the business combination of Fulgent Pharma, or Pharma Hold Back Shares. In May 2024, the Company released the remaining Pharma Hold Back Shares such that no shares remain contingently issuable in connection with the business combination of Fulgent Pharma.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or the Board, currently serves as the Senior Executive Vice President of AHMC Healthcare Inc., or AHMC. The Company performs testing services, on an arms-length basis, for AHMC, and recognized $22,000 and $117,000 in revenue from AHMC in the three and six months ended June 30, 2023, respectively. The revenue recognized for the three and six months ended June 30, 2024 was not significant. As of June 30, 2024 and December 31, 2023, insignificant amounts were owed to the Company by AHMC, which is included in trade accounts receivable, net, in the accompanying Condensed Consolidated Balance Sheets, in connection with this relationship.</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Ming Hsieh, the Chief Executive Officer and Chairperson of the Board, is on the board of directors and an approximately 20% owner of ANP, from which the Company entered into certain drug-related licensing and development service agreements. The Chief Executive Officer of Fulgent Pharma, Ray Yin, is the Founder, President and Chief Technology Officer of ANP. The Company incurred $0.3 million and $1.0 million related to the licensing and development services in the three and six months ended June 30, 2024, respectively, and $0.5 million and $1.5 million in the three and six months ended June 30, 2023, respectively. As of June 30, 2024 and December 31, 2023, the Company did not owe anything to ANP in connection with these relationships. The Company also entered into an employee service agreement with ANP in April 2023 and recognized insignificant amounts in the three and six months ended June 30, 2024 and 2023, and insignificant amounts were owed to the Company by ANP in connection with the employee service agreement as of June 30, 2024 and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14. Goodwill and Acquisition-Related Intangibles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the carrying amount in the six months ended June 30, 2024. Goodwill, net, as of June 30, 2024 and December 31, 2023 by reporting unit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-187960</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two operating segments represented the two reporting units.</w:t>
      </w:r>
    </w:p>
    <w:p>
      <w:pPr>
        <w:spacing w:after="0" w:line="162"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a full goodwill impairment loss for the goodwill of its laboratory services reporting unit as of December 31, 2023 due to a continued decline in its share price and market capitalization.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December 31, 2023, the Company concluded that the fair values of the therapeutic development reporting unit and the IPR&amp;D asset at December 31, 2023, were greater than the carrying values and that there was no impairment. There have been no significant changes in the six months ended June 30, 2024.</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Summaries of intangible asset balances as of June 30, 2024 and December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260" w:type="dxa"/>
            <w:vAlign w:val="bottom"/>
          </w:tcPr>
          <w:p>
            <w:pPr>
              <w:spacing w:after="0"/>
              <w:rPr>
                <w:sz w:val="16"/>
                <w:szCs w:val="16"/>
                <w:color w:val="auto"/>
              </w:rPr>
            </w:pPr>
          </w:p>
        </w:tc>
        <w:tc>
          <w:tcPr>
            <w:tcW w:w="14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4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(1,612 )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 Years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(15,827 )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67,265</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(1,085 )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6"/>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138,973</w:t>
            </w:r>
          </w:p>
        </w:tc>
        <w:tc>
          <w:tcPr>
            <w:tcW w:w="1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-4268470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-3642995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-3016885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-2391410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-1765300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-1139190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business combination of Fulgent Pharma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$2.0 million and $4.0 million in the three and six months ended June 30, 2024, respectively, and $2.0 million and $3.9 million for the three and six months ended June 30, 2023, respectively.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finite-lived intangible assets recorded as of June 30, 2024, and assuming no subsequent impairment of the underlying assets, the annual amortization expense for intangible assets is expected to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69"/>
        </w:trPr>
        <w:tc>
          <w:tcPr>
            <w:tcW w:w="3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20" w:type="dxa"/>
            <w:vAlign w:val="bottom"/>
            <w:tcBorders>
              <w:top w:val="single" w:sz="8" w:color="auto"/>
            </w:tcBorders>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4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shd w:val="clear" w:color="auto" w:fill="CFF0FC"/>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33,521</w:t>
            </w:r>
          </w:p>
        </w:tc>
        <w:tc>
          <w:tcPr>
            <w:tcW w:w="100" w:type="dxa"/>
            <w:vAlign w:val="bottom"/>
          </w:tcPr>
          <w:p>
            <w:pPr>
              <w:spacing w:after="0"/>
              <w:rPr>
                <w:sz w:val="21"/>
                <w:szCs w:val="21"/>
                <w:color w:val="auto"/>
              </w:rPr>
            </w:pPr>
          </w:p>
        </w:tc>
      </w:tr>
      <w:tr>
        <w:trPr>
          <w:trHeight w:val="27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74,383</w:t>
            </w:r>
          </w:p>
        </w:tc>
        <w:tc>
          <w:tcPr>
            <w:tcW w:w="100" w:type="dxa"/>
            <w:vAlign w:val="bottom"/>
            <w:shd w:val="clear" w:color="auto" w:fill="CFF0FC"/>
          </w:tcPr>
          <w:p>
            <w:pPr>
              <w:spacing w:after="0"/>
              <w:rPr>
                <w:sz w:val="24"/>
                <w:szCs w:val="24"/>
                <w:color w:val="auto"/>
              </w:rPr>
            </w:pPr>
          </w:p>
        </w:tc>
      </w:tr>
      <w:tr>
        <w:trPr>
          <w:trHeight w:val="628"/>
        </w:trPr>
        <w:tc>
          <w:tcPr>
            <w:tcW w:w="3760" w:type="dxa"/>
            <w:vAlign w:val="bottom"/>
            <w:tcBorders>
              <w:top w:val="single" w:sz="8" w:color="CFF0FC"/>
            </w:tcBorders>
          </w:tcPr>
          <w:p>
            <w:pPr>
              <w:spacing w:after="0"/>
              <w:rPr>
                <w:sz w:val="24"/>
                <w:szCs w:val="24"/>
                <w:color w:val="auto"/>
              </w:rPr>
            </w:pPr>
          </w:p>
        </w:tc>
        <w:tc>
          <w:tcPr>
            <w:tcW w:w="384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811"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right="22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zero and 10,000 shares of its common stock, respectively, at an aggregate cost of $0.2 million, under the stock repurchase program. During the three and six months ended June 30, 2023, the Company did not repurchase any shares of its common stock. As of June 30, 2024, a total of approximately $150.5 million remained available for future repurchases of its common stock under the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121"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provides safe harbor match of the employee contribution to his or her 401(k) Plan account. Total Company matching contributions to the 401(k) Plan were $1.0 million and $1.9 million for the three and six months ended June 30, 2024, respectively, and $0.8 million and $1.8 million for the three and six months ended June 30, 2023,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2, 2024, no subsequent events are being reported.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2023, filed with the SEC on February 28, 2024, or the 2023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2023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to which we formerly referred to as our clinical diagnostic business, includes technical laboratory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Part I of the 2023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2023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operations data, see “Item 7. Management’s Discussion and Analysis of Financial Condition and Results of Operations” of the 2023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Statement of Operation Data: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vMerge w:val="continue"/>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3"/>
              </w:rPr>
              <w:t>thousands, except</w:t>
            </w:r>
          </w:p>
        </w:tc>
        <w:tc>
          <w:tcPr>
            <w:tcW w:w="22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4"/>
              </w:rPr>
              <w:t>percentages)</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71,028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20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135,513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134,021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(2,744 )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(6 )%</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69"/>
        </w:trPr>
        <w:tc>
          <w:tcPr>
            <w:tcW w:w="2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26,491</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20,572</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2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29 %</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48,595</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39,383</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9,212</w:t>
            </w: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39 %</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24,920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Selling and marketing</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(2,128 )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(20 )%</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(3,222 )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19 %</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intangible</w:t>
            </w:r>
          </w:p>
        </w:tc>
        <w:tc>
          <w:tcPr>
            <w:tcW w:w="8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1 %</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2"/>
                <w:szCs w:val="12"/>
                <w:color w:val="auto"/>
              </w:rPr>
            </w:pPr>
          </w:p>
        </w:tc>
        <w:tc>
          <w:tcPr>
            <w:tcW w:w="10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1"/>
        </w:trPr>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45,397</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40,370</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2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89,299</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84,005</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60" w:type="dxa"/>
            <w:vAlign w:val="bottom"/>
          </w:tcPr>
          <w:p>
            <w:pPr>
              <w:spacing w:after="0"/>
              <w:rPr>
                <w:sz w:val="14"/>
                <w:szCs w:val="14"/>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(18,906 )</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(19,798 )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(40,704 )</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(44,622 )</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2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5"/>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7,692</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51 %</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15,317</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6,444</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860" w:type="dxa"/>
            <w:vAlign w:val="bottom"/>
          </w:tcPr>
          <w:p>
            <w:pPr>
              <w:spacing w:after="0"/>
              <w:rPr>
                <w:sz w:val="14"/>
                <w:szCs w:val="14"/>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(11,214 )</w:t>
            </w: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(14,700 )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(24 )%</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(25,387 )</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(35,749 )</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2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860" w:type="dxa"/>
            <w:vAlign w:val="bottom"/>
          </w:tcPr>
          <w:p>
            <w:pPr>
              <w:spacing w:after="0"/>
              <w:rPr>
                <w:sz w:val="15"/>
                <w:szCs w:val="15"/>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(2,124 )</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(3,110 )</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(2,451 )</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(8,310 )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20"/>
        </w:trPr>
        <w:tc>
          <w:tcPr>
            <w:tcW w:w="2160" w:type="dxa"/>
            <w:vAlign w:val="bottom"/>
            <w:vMerge w:val="restart"/>
          </w:tcPr>
          <w:p>
            <w:pPr>
              <w:ind w:left="20"/>
              <w:spacing w:after="0" w:line="153" w:lineRule="exact"/>
              <w:rPr>
                <w:sz w:val="20"/>
                <w:szCs w:val="20"/>
                <w:color w:val="auto"/>
              </w:rPr>
            </w:pPr>
            <w:r>
              <w:rPr>
                <w:rFonts w:ascii="Times New Roman" w:cs="Times New Roman" w:eastAsia="Times New Roman" w:hAnsi="Times New Roman"/>
                <w:sz w:val="14"/>
                <w:szCs w:val="14"/>
                <w:color w:val="auto"/>
              </w:rPr>
              <w:t>Net loss from consolidated</w:t>
            </w: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(9,090 )</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(11,590 )</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0" w:type="dxa"/>
            <w:vAlign w:val="bottom"/>
          </w:tcPr>
          <w:p>
            <w:pPr>
              <w:spacing w:after="0"/>
              <w:rPr>
                <w:sz w:val="11"/>
                <w:szCs w:val="11"/>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(22 )%</w:t>
            </w:r>
          </w:p>
        </w:tc>
        <w:tc>
          <w:tcPr>
            <w:tcW w:w="2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(22,936 )</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(27,439 )</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220" w:type="dxa"/>
            <w:vAlign w:val="bottom"/>
          </w:tcPr>
          <w:p>
            <w:pPr>
              <w:spacing w:after="0"/>
              <w:rPr>
                <w:sz w:val="11"/>
                <w:szCs w:val="11"/>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5"/>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8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loss attributable to</w:t>
            </w:r>
          </w:p>
        </w:tc>
        <w:tc>
          <w:tcPr>
            <w:tcW w:w="8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5 %</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(106 )</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loss attributable to Fulgent</w:t>
            </w:r>
          </w:p>
        </w:tc>
        <w:tc>
          <w:tcPr>
            <w:tcW w:w="860" w:type="dxa"/>
            <w:vAlign w:val="bottom"/>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(8,710 )</w:t>
            </w:r>
          </w:p>
        </w:tc>
        <w:tc>
          <w:tcPr>
            <w:tcW w:w="20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(11,229 )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2,519</w:t>
            </w:r>
          </w:p>
        </w:tc>
        <w:tc>
          <w:tcPr>
            <w:tcW w:w="200" w:type="dxa"/>
            <w:vAlign w:val="bottom"/>
          </w:tcPr>
          <w:p>
            <w:pPr>
              <w:spacing w:after="0"/>
              <w:rPr>
                <w:sz w:val="14"/>
                <w:szCs w:val="14"/>
                <w:color w:val="auto"/>
              </w:rPr>
            </w:pPr>
          </w:p>
        </w:tc>
        <w:tc>
          <w:tcPr>
            <w:tcW w:w="1300" w:type="dxa"/>
            <w:vAlign w:val="bottom"/>
            <w:gridSpan w:val="3"/>
          </w:tcPr>
          <w:p>
            <w:pPr>
              <w:jc w:val="right"/>
              <w:ind w:right="48"/>
              <w:spacing w:after="0" w:line="156" w:lineRule="exact"/>
              <w:rPr>
                <w:sz w:val="20"/>
                <w:szCs w:val="20"/>
                <w:color w:val="auto"/>
              </w:rPr>
            </w:pPr>
            <w:r>
              <w:rPr>
                <w:rFonts w:ascii="Times New Roman" w:cs="Times New Roman" w:eastAsia="Times New Roman" w:hAnsi="Times New Roman"/>
                <w:sz w:val="11"/>
                <w:szCs w:val="11"/>
                <w:color w:val="auto"/>
              </w:rPr>
              <w:t xml:space="preserve">(22 )% </w:t>
            </w:r>
            <w:r>
              <w:rPr>
                <w:rFonts w:ascii="Times New Roman" w:cs="Times New Roman" w:eastAsia="Times New Roman" w:hAnsi="Times New Roman"/>
                <w:sz w:val="18"/>
                <w:szCs w:val="18"/>
                <w:color w:val="auto"/>
                <w:vertAlign w:val="superscript"/>
              </w:rPr>
              <w:t>$</w:t>
            </w:r>
          </w:p>
        </w:tc>
        <w:tc>
          <w:tcPr>
            <w:tcW w:w="9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(22,172 )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(26,569 )</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4,397</w:t>
            </w:r>
          </w:p>
        </w:tc>
        <w:tc>
          <w:tcPr>
            <w:tcW w:w="220" w:type="dxa"/>
            <w:vAlign w:val="bottom"/>
          </w:tcPr>
          <w:p>
            <w:pPr>
              <w:spacing w:after="0"/>
              <w:rPr>
                <w:sz w:val="14"/>
                <w:szCs w:val="14"/>
                <w:color w:val="auto"/>
              </w:rPr>
            </w:pPr>
          </w:p>
        </w:tc>
        <w:tc>
          <w:tcPr>
            <w:tcW w:w="10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-1791335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-1791335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-1791335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-1791335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-1791335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-1791335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-1019810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-1019810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-1019810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-1019810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-1019810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-1019810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-788035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-788035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-788035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-788035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-788035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-788035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200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205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305"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5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1"/>
                <w:szCs w:val="11"/>
                <w:color w:val="auto"/>
              </w:rPr>
            </w:pPr>
          </w:p>
        </w:tc>
        <w:tc>
          <w:tcPr>
            <w:tcW w:w="5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laboratory services: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Precision diagnostics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43,144</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31,935</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11,209</w:t>
            </w:r>
          </w:p>
        </w:tc>
        <w:tc>
          <w:tcPr>
            <w:tcW w:w="2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80,590</w:t>
            </w:r>
          </w:p>
        </w:tc>
        <w:tc>
          <w:tcPr>
            <w:tcW w:w="100" w:type="dxa"/>
            <w:vAlign w:val="bottom"/>
          </w:tcPr>
          <w:p>
            <w:pPr>
              <w:spacing w:after="0"/>
              <w:rPr>
                <w:sz w:val="15"/>
                <w:szCs w:val="15"/>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20,750</w:t>
            </w:r>
          </w:p>
        </w:tc>
        <w:tc>
          <w:tcPr>
            <w:tcW w:w="2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Anatomic pathology</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(3,959 )</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(7,263 )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76"/>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BioPharma services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(4,159 )</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(9,923 )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COVID-19</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11 %</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(2,072 )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69"/>
        </w:trPr>
        <w:tc>
          <w:tcPr>
            <w:tcW w:w="37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laboratory services</w:t>
            </w: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71,028</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67,853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3,175</w:t>
            </w:r>
          </w:p>
        </w:tc>
        <w:tc>
          <w:tcPr>
            <w:tcW w:w="220" w:type="dxa"/>
            <w:vAlign w:val="bottom"/>
          </w:tcPr>
          <w:p>
            <w:pPr>
              <w:spacing w:after="0"/>
              <w:rPr>
                <w:sz w:val="14"/>
                <w:szCs w:val="14"/>
                <w:color w:val="auto"/>
              </w:rPr>
            </w:pPr>
          </w:p>
        </w:tc>
        <w:tc>
          <w:tcPr>
            <w:tcW w:w="7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5 %</w:t>
            </w: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135,513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134,021</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1,492</w:t>
            </w:r>
          </w:p>
        </w:tc>
        <w:tc>
          <w:tcPr>
            <w:tcW w:w="220" w:type="dxa"/>
            <w:vAlign w:val="bottom"/>
          </w:tcPr>
          <w:p>
            <w:pPr>
              <w:spacing w:after="0"/>
              <w:rPr>
                <w:sz w:val="14"/>
                <w:szCs w:val="14"/>
                <w:color w:val="auto"/>
              </w:rPr>
            </w:pPr>
          </w:p>
        </w:tc>
        <w:tc>
          <w:tcPr>
            <w:tcW w:w="68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111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200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$3.2 million or 5%, from $67.9 million in the three months ended June 30, 2023 to $71.0 million in the three months ended June 30, 2024. The increase in revenue was due to an increase of $11.2 million in precision diagnostics, partially offset by decreases of $4.0 million in anatomic pathology and $4.2 million in BioPharma services.</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$1.5 million or 1%, from $134.0 million in the six months ended June 30, 2023, to $135.5 million in the six months ended June 30, 2024. The increase in revenue was due to an increase of $20.8 million in precision diagnostics, partially offset by decreases of $7.3 million in anatomic pathology, $9.9 million in BioPharma services, and $2.1 million in COVID-19 testing services.</w:t>
      </w:r>
    </w:p>
    <w:p>
      <w:pPr>
        <w:spacing w:after="0" w:line="176"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increase in precision diagnostics revenue was due to a growth in our reproductive health services, and growth in our specialized oncology tests and testing services. The decrease in anatomic pathology services was due to decreased reimbursement rates from third-party payors. We also have experienced and expect to continue to experience seasonality in our anatomic pathology testing services which are dependent on patients being treated by healthcare providers. The volume of our anatomic pathology testing services can fluctuate during holiday periods and can decline due to extreme adverse weather conditions. The decrease in BioPharma services was attributed to timing of BioPharma service projects. We also expect that our BioPharma services revenue may continue to fluctuate from period to period due in part to the length of the sales cycle and variation in timing amongst projects.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third-party payors; 2) the concentration of our payor base; 3) the competitive advantage we have due to our broad and flexible test menu, detection rate, and turnaround times; and 4) growth in size of an addressable market. Estimated collection amounts from third-party payors are subject to the complexities and ambiguities of billing, reimbursement regulations and claims processing, as well as considerations unique to Medicare and Medicaid programs.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business, aggregating customers that are under common control, one customer comprised of $16.9 million or 24% of total revenue in the three months ended June 30, 2024, and contributed $29.6 million or 22% of total revenue in the six months ended June 30, 2024. The same customer contributed $9.1 million or 13% of total revenue in the three months ended June 30, 2023, and no customer contributed more than 10% of the Company’s revenue in the six months ended June 30, 2023. To reduce this revenue concentration risk, we continue to focus on increasing the number of customers and thereby reducing the concentration.</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Revenue from non-U.S. sources increased $2.0 million or 42%, from $4.8 million in the three months ended June 30, 2023 to $6.8 million in the three months ended June 30, 2024. Revenue from non-U.S. sources increased $4.6 million, or 51%, from $8.9 million in the six months ended June 30, 2023, to $13.5 million in the six months ended June 30, 2024. The increase in revenue from non-U.S. sources between periods were primarily due to new foreign customers and increased sales of our testing services to some of our existing non-U.S.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vMerge w:val="restart"/>
          </w:tcPr>
          <w:p>
            <w:pPr>
              <w:spacing w:after="0"/>
              <w:rPr>
                <w:sz w:val="11"/>
                <w:szCs w:val="11"/>
                <w:color w:val="auto"/>
              </w:rPr>
            </w:pPr>
          </w:p>
        </w:tc>
        <w:tc>
          <w:tcPr>
            <w:tcW w:w="5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7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1"/>
                <w:szCs w:val="11"/>
                <w:color w:val="auto"/>
              </w:rPr>
            </w:pPr>
          </w:p>
        </w:tc>
        <w:tc>
          <w:tcPr>
            <w:tcW w:w="52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47,281</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(2,744 )</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86,918</w:t>
            </w: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94,638</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(7,720 )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 of revenue as a % of revenue</w:t>
            </w:r>
          </w:p>
        </w:tc>
        <w:tc>
          <w:tcPr>
            <w:tcW w:w="180" w:type="dxa"/>
            <w:vAlign w:val="bottom"/>
          </w:tcPr>
          <w:p>
            <w:pPr>
              <w:spacing w:after="0"/>
              <w:rPr>
                <w:sz w:val="16"/>
                <w:szCs w:val="16"/>
                <w:color w:val="auto"/>
              </w:rPr>
            </w:pP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63 %</w:t>
            </w: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64 %</w:t>
            </w:r>
          </w:p>
        </w:tc>
        <w:tc>
          <w:tcPr>
            <w:tcW w:w="1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111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5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 decreased $2.7 million, or 6%, from $47.3 million in the three months ended June 30, 2023 to $44.5 million in the three months ended June 30, 2024. The decrease in consolidated cost of revenue was due to decreases of $2.0 million in consulting and outside labor costs, $0.9 million in software expenses, and $0.8 million in shipping and handling expenses,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305" w:right="259" w:bottom="1440" w:gutter="0" w:footer="0" w:header="0"/>
        </w:sectPr>
      </w:pPr>
    </w:p>
    <w:bookmarkStart w:id="29" w:name="page30"/>
    <w:bookmarkEnd w:id="29"/>
    <w:p>
      <w:pPr>
        <w:ind w:right="500"/>
        <w:spacing w:after="0" w:line="282" w:lineRule="auto"/>
        <w:rPr>
          <w:sz w:val="20"/>
          <w:szCs w:val="20"/>
          <w:color w:val="auto"/>
        </w:rPr>
      </w:pPr>
      <w:r>
        <w:rPr>
          <w:rFonts w:ascii="Times New Roman" w:cs="Times New Roman" w:eastAsia="Times New Roman" w:hAnsi="Times New Roman"/>
          <w:sz w:val="18"/>
          <w:szCs w:val="18"/>
          <w:color w:val="auto"/>
        </w:rPr>
        <w:t>all due to efforts of optimizing cost structures including consolidating service providers and bringing certain processes in house, partially offset by an increase of $0.7 million in facility expenses related to the relocation of our laboratory in Texas.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decreased $7.7 million or 8%, from $94.6 million in the six months ended June 30, 2023 to $86.9 million in the six months ended June 30, 2024. The decrease in consolidated cost of revenue was due to decreases of $4.1 million in consulting and outside labor costs, $1.4 million in shipping and handling expenses, $1.3 million in software expenses, and $0.7 million in reagents and supply expenses, related to the cessation of COVID-19 testing operations, closure of a laboratory, and efforts of optimizing cost structures mentioned above.</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70% in the three months ended June 30, 2023 to 63% in the three months ended June 30, 2024. Our consolidated cost of revenues as a percentage of revenue decreased from 71% in the six months ended June 30, 2023 to 64% in the six months ended June 30, 2024.</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gross profit increased $5.9 million, or 29%, from $20.6 million in the three months ended June 30, 2023 to $26.5 million in the three months ended June 30, 2024, and increased $9.2 million, or 23%, from $39.4 million in the six months ended June 30, 2023 to $48.6 million in the six months ended June 30, 2024. Our gross profit as a percentage of revenue, or gross margin, increased from 30% in the three months ended June 30, 2023 to 37% in the three months ended June 30, 2024, and increased from 29% in the six months ended June 30, 2023 to 36% in the six months ended June 30, 2024. The changes were primarily due to efforts of optimizing cost structures mentioned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vMerge w:val="restart"/>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Laboratory services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5 %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14,655</w:t>
            </w: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Therapeutic development</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9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129 %</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8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1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24,920</w:t>
            </w:r>
          </w:p>
        </w:tc>
        <w:tc>
          <w:tcPr>
            <w:tcW w:w="8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-145415</wp:posOffset>
            </wp:positionV>
            <wp:extent cx="768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-145415</wp:posOffset>
            </wp:positionV>
            <wp:extent cx="768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-145415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-145415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-145415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laboratory services business were mainly for developing our technology and testing services. The research and development expenses were flat for both periods.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business were primarily related to the development of FID-007. The expenses increased $3.5 million or 129% from $2.7 million in the three months ended June 30, 2023 to $6.2 million in the three months ended June 30, 2024, and increased $5.1 million or 99% from $5.2 million in the six months ended June 30, 2023 to $10.3 million in the six months ended June 30, 2024. The increase was primarily due to increased expenses related to a drug study with our contract research organizations. We anticipate research and development expenditures for this segment to continue to increase as we have begun enrollment for the phase 2 study of FID-007 in the second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selling and marketing expenses decreased $2.1 million or 20%, from $10.7 million in the three months ended June 30, 2023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million in the three months ended June 30, 2024. The decrease in consolidated selling and marketing expenses was due to decreases of $0.7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expenses, $0.4 million in consulting and outside labor costs, $0.3 million in facility expense, $0.2 million in marketing expenses, and $0.2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software expenses.</w:t>
      </w:r>
    </w:p>
    <w:p>
      <w:pPr>
        <w:spacing w:after="0" w:line="20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decreased $3.2 million or 16% from $20.8 million in the six months ended June 30, 2023 to $17.6 million in the six months ended June 30, 2024. The decrease in consolidated selling and marketing expenses was primarily due to decreases of $1.1 million in consulting and outside labor costs, $0.8 million in facility expenses, $0.4 million in marketing expenses, $0.3 million in software expenses, and $0.2 million in commission.</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change in selling and marketing expenses for both periods is mainly due to discontinued marketing efforts related to the COVID-19 business and decreased revenue in BioPharma and anatomic pathology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$3.3 million or 19%, from $18.0 million in the three months ended June 30, 2023 to $21.3 million in the three months ended June 30, 2024. The increase in consolidated general and</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30" w:name="page31"/>
    <w:bookmarkEnd w:id="30"/>
    <w:p>
      <w:pPr>
        <w:ind w:right="160"/>
        <w:spacing w:after="0" w:line="282" w:lineRule="auto"/>
        <w:rPr>
          <w:sz w:val="20"/>
          <w:szCs w:val="20"/>
          <w:color w:val="auto"/>
        </w:rPr>
      </w:pPr>
      <w:r>
        <w:rPr>
          <w:rFonts w:ascii="Times New Roman" w:cs="Times New Roman" w:eastAsia="Times New Roman" w:hAnsi="Times New Roman"/>
          <w:sz w:val="18"/>
          <w:szCs w:val="18"/>
          <w:color w:val="auto"/>
        </w:rPr>
        <w:t>administrative expenses was due to increases of $2.6 million in personnel costs including equity-based compensation expenses, $0.7 million in legal fees, and $0.2 million in provision for credit losses, partially offset by a decrease of $0.4 million in business insurance.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general and administrative expenses increased $3.0 million or 8% from $39.8 million in the six months ended June 30, 2023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$42.8 million in the six months ended June 30, 2024. The increase in consolidated general and administrative expenses was due to increases of $4.8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personnel expense including equity-based compensation expenses, $0.8 million in facility expenses, $0.6 million in accounting fees, and $0.4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partially offset by decreases of $2.2 million in provision for credit loss and $1.3 million in business insurance.</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personnel expenses was primarily due to equity awards granted after the second quarter of 2023; the decrease in business insurance was due to savings from consolidating coverages and service providers; the increase in facility expenses was due to the relocation of our facility to Coppell, Texas; and the increase in the accounting fees was due to entities acquired in 2022, which were scoped in for the financial statements and internal control audit and reviews.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represents amortization expenses on the intangible assets that arose from the business combinations in prior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new business combinations in the current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and other income, net, is primarily comprised of net interest income (expenses), which was $7.7 million and $15.3 million in three and six months ended June 30, 2024, respectively, and $5.0 million and $8.8 million for the three and six months ended June 30, 2023, respectively. This interest income, net, related to interest earned on various investments in marketable securities including realized gain or loss on sale of marketable securities, net of interest expenses incurred for our notes payable. The increase in interest income, net, was primarily due to increased interest rates on marketable securities relative to the prior comparative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Benefit from income taxes was $2.1 million and $2.5 million for the three and six months ended June 30, 2024, respectively, compared with $3.1 million and $8.3 million for the three and six months ended June 30, 2023, respectively. The effective tax rates were 19% and 10% for the three and six months ended June 30, 2024, respectively, compared to 21% and 23% for the three and six months ended June 30, 2023. The change in the effective tax rate compared to prior period is due to the valuation allowance in the current period that precludes us from recognizing the benefit from our net operating losses.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the minority shareholders from entities not 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jc w:val="both"/>
        <w:ind w:right="660" w:firstLine="509"/>
        <w:spacing w:after="0" w:line="266" w:lineRule="auto"/>
        <w:rPr>
          <w:sz w:val="20"/>
          <w:szCs w:val="20"/>
          <w:color w:val="auto"/>
        </w:rPr>
      </w:pPr>
      <w:r>
        <w:rPr>
          <w:rFonts w:ascii="Times New Roman" w:cs="Times New Roman" w:eastAsia="Times New Roman" w:hAnsi="Times New Roman"/>
          <w:sz w:val="18"/>
          <w:szCs w:val="18"/>
          <w:color w:val="auto"/>
        </w:rPr>
        <w:t>We had $837.9 million and $847.7 million in cash, cash equivalents, and marketable securities as of June 30, 2024 and December 31, 2023, respectively. Our marketable securities primarily consist of U.S. government and U.S. agency debt securities, U.S. treasury bills, corporate bonds, municipal bonds, and Yankee debt securities.</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our operations, repurchase our stock,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marketable securities will be sufficient to meet our anticipated cash requirements for at least the next 12 months. Cash provided by operations has significantly contributed to our ability to meet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t>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seasonality,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39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16510</wp:posOffset>
            </wp:positionV>
            <wp:extent cx="2143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FF0FC"/>
          </w:tcPr>
          <w:p>
            <w:pPr>
              <w:spacing w:after="0"/>
              <w:rPr>
                <w:sz w:val="21"/>
                <w:szCs w:val="21"/>
                <w:color w:val="auto"/>
              </w:rPr>
            </w:pPr>
          </w:p>
        </w:tc>
      </w:tr>
      <w:tr>
        <w:trPr>
          <w:trHeight w:val="23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(39,882 )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(5,450 )</w:t>
            </w:r>
          </w:p>
        </w:tc>
      </w:tr>
      <w:tr>
        <w:trPr>
          <w:trHeight w:val="247"/>
        </w:trPr>
        <w:tc>
          <w:tcPr>
            <w:tcW w:w="8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(3,953 )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(17,360 )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our operations provided $11.6 million of cash, as compared to $1.8 million provided in the six months ended June 30, 2023. The increase in cash provided from operating activities in the six months ended June 30, 2024, as compared with the corresponding period in 2023 was primarily due to the timing of cash receipts from customers and cash payments for operating expenses. We expect to incur more operating expenses and use more cash in operating activities in the coming quarters as a result of our planned and ongoing clinical trials for FID-007 and as we continue to invest resources to grow our laboratory services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2024 was $39.9 million, which primarily represents $258.8 million for purchases of marketable securities and $17.0 million for purchases of fixed assets, including real estate, partially offset by proceeds of $160.1 million from maturities of marketable securities, and proceeds of $75.6 million from sales of marketable securities.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2023 was $5.5 million, which primarily related to $250.5 million on purchases of marketable securities and $14.2 million on purchases of fixed assets, including real estate, partially offset by $258.8 million related to maturities of marketable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2024 was $4.0 million, which primarily related to $2.2 million common stock withholding for employee tax obligations, $1.2 million for repayment of the notes payable, and $0.2 million for repurchase of common stock.</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2023 was $17.4 million, which primarily related to $15.0 million repayment to the margin loan account and $1.1 million common stock withholding for employee tax obligations.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for the foreseeable future due to the strong cash position as of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we repurchased zero and 10,000 shares of our common stock, respectively, at an aggregate cost of $0.2 million, under the stock repurchase program. During the three and six months ended June 30, 2023, we did not repurchase any shares of our common stock. As of June 30, 2024, a total of approximately $150.5 million remained available for future repurchases of its common stock under the stock repurchase program.</w:t>
      </w:r>
    </w:p>
    <w:p>
      <w:pPr>
        <w:spacing w:after="0" w:line="2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2023 Annual Report.</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our 2023 Annual Report. There were no material changes during the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June 30, 2024. Based on this evaluation, our Chief Executive Officer and Chief Financial Officer concluded that our disclosure controls and procedures were effective as of June 30,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three and six months ended June 30, 2024 that have materially affected or are reasonably likely to materially affect our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6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audits,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disclosures processes; and the 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litigation is inherently uncertain, and there can be no assurances that favorable outcomes will be obtained.</w:t>
      </w:r>
    </w:p>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Except as set forth below and in the Company’s Quarterly Report on Form 10-Q for the quarterly period ended March 31, 2024, filed with the SEC on May 3, 2024, there have been no material changes to the risk factors set forth in Part I, Item 1A, “Risk Factors,” of the 2023 Annual Report.</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our business practices, pay fines, incur significant expenses, or experience losses due to litigation or governmental investigations.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and in the ordinary course of our business, we have been and again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As noted above, we are currently subject to the HRSA audit and have initiated a voluntary disclosure process with the appropriate government contacts. Our activities relating to our products and services are subject to extensive regulation in the United States and foreign jurisdictions. Like many companies in our industry, we have in the ordinary course of business received inquiries, subpoenas, civil investigative demands, or CIDs, and other types of information requests from government authorities. As previously disclosed, we have received a CID issued by the DOJ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our customers named in the CID. As we also disclosed in prior filings, the SEC is conducting a non-public formal investigation, which appears to relate to the subject matters raised in the CID requests and our related disclosures and revenues reported in our Exchange Act reports filed for 2018 through 2020. We are fully cooperating with both the SEC and the U.S. Department of Justice in connection with their requests and investigations. On May 6, 2024, the SEC staff, or the Staff, advised the Company that it has made a preliminary determination to recommend that the SEC file an enforcement action against the Company based on a corporate negligence theory, which, if authorized, would allege violations of Sections 17(a)(2) and 17(a)(3) of the Securities Act of 1933, as amended, Sections 13(a), 13(b)(2)(A) and 13(b)(2)(B) of the Exchange Act, and Rules 13a-1, 13a-13, and 12b-20 thereunder. The Company does not believe that any enforcement recommendation is warranted and, on June 7, 2024, responded to the Staff’s preliminary recommendation. The Company is engaged in ongoing discussions with the SEC staff and the DOJ regarding these matters.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cannot predict when these investigations and matters will be resolved, the outcome of the investigations and matters, or the potential impact on our business, which may ultimately be greater than we expect. In addition, government investigations and litigation generally may divert the attention of our management team and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$146.7 million of the net proceeds from sales of our common stock, of which, $4.5 million was used for contributions to FF Gene Biotech, prior to the FF Gene Biotech acquisition; $126.4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applicable prospectus.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 All purchases listed below were made in the open market at prevailing market prices and were executed pursuant to trading plans we adopted pursuant to Rule 10b5-1under the Exchange Act.</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for the three and six months ended June 30, 2024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3"/>
                <w:szCs w:val="13"/>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68"/>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 Per Share (1)</w:t>
            </w: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9"/>
                <w:szCs w:val="9"/>
                <w:color w:val="auto"/>
              </w:rPr>
            </w:pPr>
          </w:p>
        </w:tc>
        <w:tc>
          <w:tcPr>
            <w:tcW w:w="146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4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2024 (3/1/2024-3/31/2024)</w:t>
            </w: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150,461,000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-187960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Includes commissions for the shares repurchased under the stock repurchase program.</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none of our directors or officers adopted or terminated “Rule 10b5-1 trading arrangement” or “non-Rule 10b5-1 trading arrangement,” as each term is defined in Item 408 of Regulation S-K.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tbl>
      <w:tblPr>
        <w:tblLayout w:type="fixed"/>
        <w:tblInd w:w="12"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5"/>
        </w:trPr>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7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397">
              <w:r>
                <w:rPr>
                  <w:rFonts w:ascii="Times New Roman" w:cs="Times New Roman" w:eastAsia="Times New Roman" w:hAnsi="Times New Roman"/>
                  <w:sz w:val="14"/>
                  <w:szCs w:val="14"/>
                  <w:color w:val="0000FF"/>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9"/>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600" w:type="dxa"/>
            <w:vAlign w:val="bottom"/>
            <w:tcBorders>
              <w:bottom w:val="single" w:sz="8" w:color="0000EE"/>
            </w:tcBorders>
            <w:gridSpan w:val="12"/>
          </w:tcPr>
          <w:p>
            <w:pPr>
              <w:spacing w:after="0"/>
              <w:rPr>
                <w:rFonts w:ascii="Times New Roman" w:cs="Times New Roman" w:eastAsia="Times New Roman" w:hAnsi="Times New Roman"/>
                <w:sz w:val="14"/>
                <w:szCs w:val="14"/>
                <w:color w:val="0000FF"/>
              </w:rPr>
            </w:pPr>
            <w:hyperlink r:id="rId398">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240" w:type="dxa"/>
            <w:vAlign w:val="bottom"/>
            <w:gridSpan w:val="3"/>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4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399">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360" w:type="dxa"/>
            <w:vAlign w:val="bottom"/>
            <w:gridSpan w:val="6"/>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400">
              <w:r>
                <w:rPr>
                  <w:rFonts w:ascii="Times New Roman" w:cs="Times New Roman" w:eastAsia="Times New Roman" w:hAnsi="Times New Roman"/>
                  <w:sz w:val="14"/>
                  <w:szCs w:val="14"/>
                  <w:color w:val="0000FF"/>
                </w:rPr>
                <w:t>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3040" w:type="dxa"/>
            <w:vAlign w:val="bottom"/>
            <w:gridSpan w:val="11"/>
          </w:tcPr>
          <w:p>
            <w:pPr>
              <w:spacing w:after="0"/>
              <w:rPr>
                <w:sz w:val="24"/>
                <w:szCs w:val="24"/>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r>
      <w:tr>
        <w:trPr>
          <w:trHeight w:val="128"/>
        </w:trPr>
        <w:tc>
          <w:tcPr>
            <w:tcW w:w="940" w:type="dxa"/>
            <w:vAlign w:val="bottom"/>
          </w:tcPr>
          <w:p>
            <w:pPr>
              <w:spacing w:after="0"/>
              <w:rPr>
                <w:sz w:val="11"/>
                <w:szCs w:val="11"/>
                <w:color w:val="auto"/>
              </w:rPr>
            </w:pPr>
          </w:p>
        </w:tc>
        <w:tc>
          <w:tcPr>
            <w:tcW w:w="558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260" w:type="dxa"/>
            <w:vAlign w:val="bottom"/>
            <w:gridSpan w:val="4"/>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w w:val="85"/>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300" w:type="dxa"/>
            <w:vAlign w:val="bottom"/>
            <w:gridSpan w:val="5"/>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80" w:type="dxa"/>
            <w:vAlign w:val="bottom"/>
            <w:tcBorders>
              <w:top w:val="single" w:sz="8" w:color="0000FF"/>
            </w:tcBorders>
            <w:gridSpan w:val="5"/>
          </w:tcPr>
          <w:p>
            <w:pPr>
              <w:spacing w:after="0"/>
              <w:rPr>
                <w:sz w:val="11"/>
                <w:szCs w:val="11"/>
                <w:color w:val="auto"/>
              </w:rPr>
            </w:pPr>
          </w:p>
        </w:tc>
        <w:tc>
          <w:tcPr>
            <w:tcW w:w="220" w:type="dxa"/>
            <w:vAlign w:val="bottom"/>
            <w:gridSpan w:val="2"/>
          </w:tcPr>
          <w:p>
            <w:pPr>
              <w:spacing w:after="0"/>
              <w:rPr>
                <w:sz w:val="11"/>
                <w:szCs w:val="11"/>
                <w:color w:val="auto"/>
              </w:rPr>
            </w:pPr>
          </w:p>
        </w:tc>
      </w:tr>
      <w:tr>
        <w:trPr>
          <w:trHeight w:val="295"/>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r>
      <w:tr>
        <w:trPr>
          <w:trHeight w:val="188"/>
        </w:trPr>
        <w:tc>
          <w:tcPr>
            <w:tcW w:w="940" w:type="dxa"/>
            <w:vAlign w:val="bottom"/>
          </w:tcPr>
          <w:p>
            <w:pPr>
              <w:spacing w:after="0"/>
              <w:rPr>
                <w:sz w:val="16"/>
                <w:szCs w:val="16"/>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36" w:lineRule="exact"/>
        <w:rPr>
          <w:sz w:val="20"/>
          <w:szCs w:val="20"/>
          <w:color w:val="auto"/>
        </w:rPr>
      </w:pPr>
    </w:p>
    <w:p>
      <w:pPr>
        <w:ind w:left="952" w:hanging="939"/>
        <w:spacing w:after="0"/>
        <w:tabs>
          <w:tab w:leader="none" w:pos="952"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76" w:lineRule="exact"/>
        <w:rPr>
          <w:rFonts w:ascii="Times New Roman" w:cs="Times New Roman" w:eastAsia="Times New Roman" w:hAnsi="Times New Roman"/>
          <w:sz w:val="14"/>
          <w:szCs w:val="14"/>
          <w:color w:val="auto"/>
        </w:rPr>
      </w:pPr>
    </w:p>
    <w:p>
      <w:pPr>
        <w:ind w:left="292" w:hanging="292"/>
        <w:spacing w:after="0"/>
        <w:tabs>
          <w:tab w:leader="none" w:pos="2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1912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292" w:hanging="292"/>
        <w:spacing w:after="0"/>
        <w:tabs>
          <w:tab w:leader="none" w:pos="29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8"/>
        </w:trPr>
        <w:tc>
          <w:tcPr>
            <w:tcW w:w="11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r>
      <w:tr>
        <w:trPr>
          <w:trHeight w:val="190"/>
        </w:trPr>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419"/>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r>
    </w:tbl>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792" w:space="380"/>
            <w:col w:w="3940"/>
          </w:cols>
          <w:pgMar w:left="328" w:top="981"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08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7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29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205"/>
        </w:trPr>
        <w:tc>
          <w:tcPr>
            <w:tcW w:w="4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Ming Hsieh</w:t>
            </w:r>
          </w:p>
        </w:tc>
      </w:tr>
      <w:tr>
        <w:trPr>
          <w:trHeight w:val="214"/>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2024</w:t>
            </w:r>
          </w:p>
        </w:tc>
        <w:tc>
          <w:tcPr>
            <w:tcW w:w="29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205"/>
        </w:trPr>
        <w:tc>
          <w:tcPr>
            <w:tcW w:w="4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Paul Kim</w:t>
            </w:r>
          </w:p>
        </w:tc>
      </w:tr>
      <w:tr>
        <w:trPr>
          <w:trHeight w:val="234"/>
        </w:trPr>
        <w:tc>
          <w:tcPr>
            <w:tcW w:w="4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Ming Hsieh</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Paul Kim</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June 30, 2024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August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lvl w:ilvl="1">
      <w:lvlJc w:val="left"/>
      <w:lvlText w:val="%2"/>
      <w:numFmt w:val="decimal"/>
      <w:start w:val="10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397" Type="http://schemas.openxmlformats.org/officeDocument/2006/relationships/hyperlink" Target="https://www.sec.gov/Archives/edgar/data/1674930/000119312516700733/d360404dex31.htm" TargetMode="External"/><Relationship Id="rId398" Type="http://schemas.openxmlformats.org/officeDocument/2006/relationships/hyperlink" Target="https://www.sec.gov/Archives/edgar/data/1674930/000119312516700733/d360404dex311.htm" TargetMode="External"/><Relationship Id="rId399" Type="http://schemas.openxmlformats.org/officeDocument/2006/relationships/hyperlink" Target="https://www.sec.gov/Archives/edgar/data/1674930/000156459017017670/flgt-ex312_342.htm" TargetMode="External"/><Relationship Id="rId400"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2024-08-02T06:46:44Z</dcterms:created>
  <dcterms:modified xsi:type="dcterms:W3CDTF">2024-08-02T06:46:44Z</dcterms:modified>
</cp:coreProperties>
</file>